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p>
    <w:p>
      <w:pPr>
        <w:spacing w:before="312" w:beforeLines="100" w:after="156" w:afterLines="50" w:line="440" w:lineRule="exact"/>
        <w:rPr>
          <w:rFonts w:eastAsia="仿宋_GB2312"/>
          <w:sz w:val="28"/>
          <w:szCs w:val="24"/>
        </w:rPr>
      </w:pPr>
      <w:r>
        <w:rPr>
          <w:rFonts w:eastAsia="仿宋_GB2312"/>
          <w:sz w:val="28"/>
          <w:szCs w:val="24"/>
        </w:rPr>
        <w:t>提名奖项：科学技术进步奖</w:t>
      </w:r>
    </w:p>
    <w:tbl>
      <w:tblPr>
        <w:tblStyle w:val="8"/>
        <w:tblW w:w="86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Layout w:type="fixed"/>
        </w:tblPrEx>
        <w:trPr>
          <w:trHeight w:val="913" w:hRule="atLeast"/>
          <w:jc w:val="center"/>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r>
              <w:rPr>
                <w:rFonts w:hint="eastAsia" w:eastAsia="仿宋_GB2312"/>
                <w:sz w:val="24"/>
                <w:szCs w:val="24"/>
              </w:rPr>
              <w:t>大型承人玻璃设施安全控制关键技术及标准应用</w:t>
            </w:r>
          </w:p>
        </w:tc>
      </w:tr>
      <w:tr>
        <w:tblPrEx>
          <w:tblLayout w:type="fixed"/>
        </w:tblPrEx>
        <w:trPr>
          <w:trHeight w:val="561" w:hRule="atLeast"/>
          <w:jc w:val="center"/>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Fonts w:hint="eastAsia" w:eastAsia="仿宋_GB2312"/>
                <w:sz w:val="24"/>
                <w:szCs w:val="24"/>
              </w:rPr>
              <w:t>一等奖</w:t>
            </w:r>
          </w:p>
        </w:tc>
      </w:tr>
      <w:tr>
        <w:tblPrEx>
          <w:tblLayout w:type="fixed"/>
        </w:tblPrEx>
        <w:trPr>
          <w:trHeight w:val="2117" w:hRule="atLeast"/>
          <w:jc w:val="center"/>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GB/T 41121-2021《玻璃水滑道安全技术要求》</w:t>
            </w:r>
          </w:p>
          <w:p>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T/CMES 37002-2022《景区玻璃类观景设施安全规范》</w:t>
            </w:r>
          </w:p>
          <w:p>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GB/T 30020-2023 《玻璃缺陷检测方法</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光弹扫描法》</w:t>
            </w:r>
          </w:p>
          <w:p>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刘小根,包亦望,万德田.精确简便识别钢化玻璃已均质的组合式贴片装置和方法.中国发明专利：ZL 202111124620.2</w:t>
            </w:r>
          </w:p>
          <w:p>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刘小根,包亦望,万德田,郑德志,李娜,梁爽.点支承板材脱落风险检测方法和装置.中国发明专利：ZL 202010025390.3</w:t>
            </w:r>
          </w:p>
          <w:p>
            <w:pPr>
              <w:pStyle w:val="12"/>
              <w:numPr>
                <w:ilvl w:val="0"/>
                <w:numId w:val="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刘小根,郑德志,万德田,马德隆,王亮亮,赵虎.透明材料自然裂纹制备及尖端位置确定方法和系统.中国发明专利：ZL 202110123720.7</w:t>
            </w:r>
          </w:p>
          <w:p>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Chen Shuxian, Xie Xu, Zhuge Hanqing. Hysteretic model for steel piers considering the local buckling of steel plates[J]. Engineering Structures, 2019, 183: 303-318. </w:t>
            </w:r>
          </w:p>
          <w:p>
            <w:pPr>
              <w:pStyle w:val="12"/>
              <w:numPr>
                <w:ilvl w:val="0"/>
                <w:numId w:val="1"/>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Li Shuailing, Xie Xu, Cheng Cheng, et al. A modified Coffin-Manson model for ultra-low cycle fatigue fracture of structural steels considering the effect of stress triaxiality [J]. Engineering Fracture Mechanics, 2020, 237: 107223.</w:t>
            </w:r>
          </w:p>
          <w:p>
            <w:pPr>
              <w:pStyle w:val="12"/>
              <w:numPr>
                <w:ilvl w:val="0"/>
                <w:numId w:val="1"/>
              </w:numPr>
              <w:spacing w:line="360" w:lineRule="auto"/>
              <w:ind w:firstLineChars="0"/>
              <w:rPr>
                <w:rFonts w:eastAsia="方正黑体简体"/>
                <w:sz w:val="32"/>
              </w:rPr>
            </w:pPr>
            <w:r>
              <w:rPr>
                <w:rFonts w:ascii="Times New Roman" w:hAnsi="Times New Roman" w:eastAsia="宋体" w:cs="Times New Roman"/>
                <w:sz w:val="24"/>
                <w:szCs w:val="24"/>
              </w:rPr>
              <w:t xml:space="preserve">Li Shuailing, Xie Xu, Tian Qin, et al. A proposal on ultra-low cycle fatigue damage evaluation of structural steels [J]. Theoretical &amp; Applied Fracture Mechanics, 2021, 114: 102973. </w:t>
            </w:r>
          </w:p>
          <w:p>
            <w:pPr>
              <w:pStyle w:val="12"/>
              <w:numPr>
                <w:ilvl w:val="0"/>
                <w:numId w:val="1"/>
              </w:numPr>
              <w:spacing w:line="360" w:lineRule="auto"/>
              <w:ind w:firstLineChars="0"/>
              <w:rPr>
                <w:rFonts w:eastAsia="方正黑体简体"/>
                <w:sz w:val="32"/>
              </w:rPr>
            </w:pPr>
            <w:r>
              <w:rPr>
                <w:rFonts w:ascii="Times New Roman" w:hAnsi="Times New Roman" w:eastAsia="宋体" w:cs="Times New Roman"/>
                <w:sz w:val="24"/>
                <w:szCs w:val="24"/>
              </w:rPr>
              <w:t>Ran</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Liu, Gongtian Shen, Yong Zhang, et al. Acoustic Emission Monitoring for Bending Failure of Laminated Glass Used on Glass Water Slide[C]</w:t>
            </w:r>
            <w:r>
              <w:rPr>
                <w:rFonts w:hint="eastAsia" w:ascii="Times New Roman" w:hAnsi="Times New Roman" w:eastAsia="宋体" w:cs="Times New Roman"/>
                <w:sz w:val="24"/>
                <w:szCs w:val="24"/>
              </w:rPr>
              <w:t>.</w:t>
            </w:r>
            <w:r>
              <w:rPr>
                <w:rFonts w:ascii="Times New Roman" w:hAnsi="Times New Roman" w:eastAsia="宋体" w:cs="Times New Roman"/>
                <w:sz w:val="24"/>
                <w:szCs w:val="24"/>
              </w:rPr>
              <w:t>Advances in Condition Monitoring and Structural Health Monitoring: WCCM 2019. Springer Singapore, 2021: 561-572.</w:t>
            </w:r>
          </w:p>
        </w:tc>
      </w:tr>
      <w:tr>
        <w:tblPrEx>
          <w:tblLayout w:type="fixed"/>
        </w:tblPrEx>
        <w:trPr>
          <w:trHeight w:val="7510" w:hRule="atLeast"/>
          <w:jc w:val="center"/>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刘然</w:t>
            </w:r>
            <w:r>
              <w:rPr>
                <w:rFonts w:eastAsia="仿宋_GB2312"/>
                <w:bCs/>
                <w:sz w:val="24"/>
                <w:szCs w:val="24"/>
              </w:rPr>
              <w:t>，排名1，</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谢旭</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sz w:val="24"/>
                <w:szCs w:val="24"/>
              </w:rPr>
              <w:t>刘小根</w:t>
            </w:r>
            <w:r>
              <w:rPr>
                <w:rFonts w:eastAsia="仿宋_GB2312"/>
                <w:bCs/>
                <w:sz w:val="24"/>
                <w:szCs w:val="24"/>
              </w:rPr>
              <w:t>，排名3，</w:t>
            </w:r>
            <w:r>
              <w:rPr>
                <w:rFonts w:hint="eastAsia" w:eastAsia="仿宋_GB2312"/>
                <w:bCs/>
                <w:sz w:val="24"/>
                <w:szCs w:val="24"/>
              </w:rPr>
              <w:t>教授级高工</w:t>
            </w:r>
            <w:r>
              <w:rPr>
                <w:rFonts w:eastAsia="仿宋_GB2312"/>
                <w:bCs/>
                <w:sz w:val="24"/>
                <w:szCs w:val="24"/>
              </w:rPr>
              <w:t>，</w:t>
            </w:r>
            <w:r>
              <w:rPr>
                <w:rFonts w:hint="eastAsia" w:eastAsia="仿宋_GB2312"/>
                <w:bCs/>
                <w:sz w:val="24"/>
                <w:szCs w:val="24"/>
              </w:rPr>
              <w:t>中国国检测试控股集团股份有限公司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叶超，</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r>
              <w:rPr>
                <w:rFonts w:eastAsia="仿宋_GB2312"/>
                <w:bCs/>
                <w:sz w:val="24"/>
                <w:szCs w:val="24"/>
              </w:rPr>
              <w:t>；</w:t>
            </w:r>
          </w:p>
          <w:p>
            <w:pPr>
              <w:spacing w:line="440" w:lineRule="exact"/>
              <w:rPr>
                <w:rFonts w:eastAsia="仿宋_GB2312"/>
                <w:sz w:val="24"/>
                <w:szCs w:val="24"/>
              </w:rPr>
            </w:pPr>
            <w:r>
              <w:rPr>
                <w:rFonts w:hint="eastAsia" w:eastAsia="仿宋_GB2312"/>
                <w:sz w:val="24"/>
                <w:szCs w:val="24"/>
              </w:rPr>
              <w:t>王黎明，排名5，</w:t>
            </w:r>
            <w:r>
              <w:rPr>
                <w:rFonts w:hint="eastAsia" w:eastAsia="仿宋_GB2312"/>
                <w:bCs/>
                <w:sz w:val="24"/>
                <w:szCs w:val="24"/>
              </w:rPr>
              <w:t>高级工程师，</w:t>
            </w:r>
            <w:r>
              <w:rPr>
                <w:rFonts w:hint="eastAsia" w:eastAsia="仿宋_GB2312"/>
                <w:sz w:val="24"/>
                <w:szCs w:val="24"/>
              </w:rPr>
              <w:t>浙江省特种设备科学研究院；</w:t>
            </w:r>
          </w:p>
          <w:p>
            <w:pPr>
              <w:spacing w:line="440" w:lineRule="exact"/>
              <w:rPr>
                <w:rFonts w:eastAsia="仿宋_GB2312"/>
                <w:bCs/>
                <w:sz w:val="24"/>
                <w:szCs w:val="24"/>
              </w:rPr>
            </w:pPr>
            <w:r>
              <w:rPr>
                <w:rFonts w:hint="eastAsia" w:eastAsia="仿宋_GB2312"/>
                <w:bCs/>
                <w:sz w:val="24"/>
                <w:szCs w:val="24"/>
              </w:rPr>
              <w:t>张君娇，</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郑志涛，</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sz w:val="24"/>
                <w:szCs w:val="24"/>
              </w:rPr>
              <w:t>中国特种设备检测研究院</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万德田，</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eastAsia="仿宋_GB2312"/>
                <w:bCs/>
                <w:sz w:val="24"/>
                <w:szCs w:val="24"/>
                <w:lang w:eastAsia="zh-CN"/>
              </w:rPr>
              <w:t>教授级高工</w:t>
            </w:r>
            <w:bookmarkStart w:id="0" w:name="_GoBack"/>
            <w:bookmarkEnd w:id="0"/>
            <w:r>
              <w:rPr>
                <w:rFonts w:eastAsia="仿宋_GB2312"/>
                <w:bCs/>
                <w:sz w:val="24"/>
                <w:szCs w:val="24"/>
              </w:rPr>
              <w:t>，</w:t>
            </w:r>
            <w:r>
              <w:rPr>
                <w:rFonts w:hint="eastAsia" w:eastAsia="仿宋_GB2312"/>
                <w:bCs/>
                <w:sz w:val="24"/>
                <w:szCs w:val="24"/>
              </w:rPr>
              <w:t>中国国检测试控股集团股份有限公司</w:t>
            </w:r>
            <w:r>
              <w:rPr>
                <w:rFonts w:eastAsia="仿宋_GB2312"/>
                <w:bCs/>
                <w:sz w:val="24"/>
                <w:szCs w:val="24"/>
              </w:rPr>
              <w:t>；</w:t>
            </w:r>
          </w:p>
          <w:p>
            <w:pPr>
              <w:spacing w:line="440" w:lineRule="exact"/>
              <w:rPr>
                <w:rFonts w:eastAsia="仿宋_GB2312"/>
                <w:sz w:val="24"/>
                <w:szCs w:val="24"/>
              </w:rPr>
            </w:pPr>
            <w:r>
              <w:rPr>
                <w:rFonts w:hint="eastAsia" w:eastAsia="仿宋_GB2312"/>
                <w:sz w:val="24"/>
                <w:szCs w:val="24"/>
              </w:rPr>
              <w:t>蔡中将，排名9，工程师，浙江省特种设备科学研究院；</w:t>
            </w:r>
          </w:p>
          <w:p>
            <w:pPr>
              <w:spacing w:line="440" w:lineRule="exact"/>
              <w:rPr>
                <w:rFonts w:eastAsia="仿宋_GB2312"/>
                <w:sz w:val="24"/>
                <w:szCs w:val="24"/>
              </w:rPr>
            </w:pPr>
            <w:r>
              <w:rPr>
                <w:rFonts w:hint="eastAsia" w:eastAsia="仿宋_GB2312"/>
                <w:sz w:val="24"/>
                <w:szCs w:val="24"/>
              </w:rPr>
              <w:t>苑一琳，排名10，高级工程师，中国特种设备检测研究院；</w:t>
            </w:r>
          </w:p>
          <w:p>
            <w:pPr>
              <w:spacing w:line="440" w:lineRule="exact"/>
              <w:rPr>
                <w:rFonts w:eastAsia="仿宋_GB2312"/>
                <w:sz w:val="24"/>
                <w:szCs w:val="24"/>
              </w:rPr>
            </w:pPr>
            <w:r>
              <w:rPr>
                <w:rFonts w:hint="eastAsia" w:eastAsia="仿宋_GB2312"/>
                <w:sz w:val="24"/>
                <w:szCs w:val="24"/>
              </w:rPr>
              <w:t>张方，排名11，高级工程师，浙江省特种设备科学研究院；</w:t>
            </w:r>
          </w:p>
          <w:p>
            <w:pPr>
              <w:spacing w:line="440" w:lineRule="exact"/>
              <w:rPr>
                <w:rFonts w:hint="eastAsia" w:eastAsia="仿宋_GB2312"/>
                <w:sz w:val="24"/>
                <w:szCs w:val="24"/>
              </w:rPr>
            </w:pPr>
            <w:r>
              <w:rPr>
                <w:rFonts w:hint="eastAsia" w:eastAsia="仿宋_GB2312"/>
                <w:sz w:val="24"/>
                <w:szCs w:val="24"/>
              </w:rPr>
              <w:t>钟婧如，排名12，高级工程师，浙江交工金筑交通建设有限公司</w:t>
            </w:r>
            <w:r>
              <w:rPr>
                <w:rFonts w:hint="eastAsia" w:eastAsia="仿宋_GB2312"/>
                <w:sz w:val="24"/>
                <w:szCs w:val="24"/>
                <w:lang w:eastAsia="zh-CN"/>
              </w:rPr>
              <w:t>（完成单位：</w:t>
            </w:r>
            <w:r>
              <w:rPr>
                <w:rFonts w:hint="eastAsia" w:eastAsia="仿宋_GB2312"/>
                <w:sz w:val="24"/>
                <w:szCs w:val="24"/>
              </w:rPr>
              <w:t>浙江大学</w:t>
            </w:r>
            <w:r>
              <w:rPr>
                <w:rFonts w:hint="eastAsia" w:eastAsia="仿宋_GB2312"/>
                <w:sz w:val="24"/>
                <w:szCs w:val="24"/>
                <w:lang w:eastAsia="zh-CN"/>
              </w:rPr>
              <w:t>）</w:t>
            </w:r>
            <w:r>
              <w:rPr>
                <w:rFonts w:hint="eastAsia" w:eastAsia="仿宋_GB2312"/>
                <w:sz w:val="24"/>
                <w:szCs w:val="24"/>
              </w:rPr>
              <w:t>；</w:t>
            </w:r>
          </w:p>
          <w:p>
            <w:pPr>
              <w:spacing w:line="440" w:lineRule="exact"/>
              <w:rPr>
                <w:rFonts w:eastAsia="仿宋_GB2312"/>
                <w:bCs/>
                <w:sz w:val="24"/>
                <w:szCs w:val="24"/>
              </w:rPr>
            </w:pPr>
            <w:r>
              <w:rPr>
                <w:rFonts w:hint="eastAsia" w:eastAsia="仿宋_GB2312"/>
                <w:sz w:val="24"/>
                <w:szCs w:val="24"/>
              </w:rPr>
              <w:t>孙与康，排名13，高级工程师，</w:t>
            </w:r>
            <w:r>
              <w:rPr>
                <w:rFonts w:hint="eastAsia" w:eastAsia="仿宋_GB2312"/>
                <w:bCs/>
                <w:sz w:val="24"/>
                <w:szCs w:val="24"/>
              </w:rPr>
              <w:t>中国国检测试控股集团股份有限公司。</w:t>
            </w:r>
          </w:p>
        </w:tc>
      </w:tr>
      <w:tr>
        <w:tblPrEx>
          <w:tblLayout w:type="fixed"/>
        </w:tblPrEx>
        <w:trPr>
          <w:trHeight w:val="2387" w:hRule="atLeast"/>
          <w:jc w:val="center"/>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sz w:val="24"/>
                <w:szCs w:val="24"/>
              </w:rPr>
              <w:t>中国特种设备检测研究院</w:t>
            </w:r>
          </w:p>
          <w:p>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中国国检测试控股集团股份有限公司</w:t>
            </w:r>
          </w:p>
          <w:p>
            <w:pPr>
              <w:spacing w:line="440" w:lineRule="exact"/>
              <w:jc w:val="left"/>
              <w:rPr>
                <w:rFonts w:eastAsia="仿宋"/>
                <w:bCs/>
                <w:sz w:val="24"/>
                <w:szCs w:val="24"/>
              </w:rPr>
            </w:pPr>
            <w:r>
              <w:rPr>
                <w:rFonts w:hint="eastAsia" w:eastAsia="仿宋_GB2312"/>
                <w:bCs/>
                <w:sz w:val="24"/>
                <w:szCs w:val="24"/>
              </w:rPr>
              <w:t>4.</w:t>
            </w:r>
            <w:r>
              <w:rPr>
                <w:rFonts w:eastAsia="仿宋_GB2312"/>
                <w:bCs/>
                <w:sz w:val="24"/>
                <w:szCs w:val="24"/>
              </w:rPr>
              <w:t>单位名称：</w:t>
            </w:r>
            <w:r>
              <w:rPr>
                <w:rFonts w:hint="eastAsia" w:eastAsia="仿宋_GB2312"/>
                <w:sz w:val="24"/>
                <w:szCs w:val="24"/>
              </w:rPr>
              <w:t>浙江省特种设备科学研究院</w:t>
            </w:r>
          </w:p>
        </w:tc>
      </w:tr>
      <w:tr>
        <w:tblPrEx>
          <w:tblLayout w:type="fixed"/>
        </w:tblPrEx>
        <w:trPr>
          <w:trHeight w:val="692" w:hRule="atLeast"/>
          <w:jc w:val="center"/>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contextualSpacing/>
              <w:jc w:val="center"/>
              <w:rPr>
                <w:rStyle w:val="10"/>
                <w:b w:val="0"/>
                <w:color w:val="auto"/>
              </w:rPr>
            </w:pPr>
            <w:r>
              <w:rPr>
                <w:rFonts w:eastAsia="仿宋_GB2312"/>
                <w:bCs/>
                <w:sz w:val="24"/>
                <w:szCs w:val="22"/>
              </w:rPr>
              <w:t>浙江大学</w:t>
            </w:r>
          </w:p>
        </w:tc>
      </w:tr>
      <w:tr>
        <w:tblPrEx>
          <w:tblLayout w:type="fixed"/>
        </w:tblPrEx>
        <w:trPr>
          <w:trHeight w:val="3683" w:hRule="atLeast"/>
          <w:jc w:val="center"/>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spacing w:line="440" w:lineRule="exact"/>
              <w:ind w:firstLine="480" w:firstLineChars="200"/>
              <w:rPr>
                <w:rStyle w:val="10"/>
                <w:rFonts w:eastAsia="仿宋_GB2312"/>
                <w:b w:val="0"/>
                <w:color w:val="auto"/>
              </w:rPr>
            </w:pPr>
            <w:r>
              <w:rPr>
                <w:rFonts w:hint="eastAsia" w:eastAsia="仿宋_GB2312"/>
                <w:bCs/>
                <w:sz w:val="24"/>
                <w:szCs w:val="24"/>
              </w:rPr>
              <w:t>玻璃材料作为围护结构已有百年历史，用于承人结构是本世纪初发展起来的新形式。尤其是随着我国旅游业的蓬勃发展，承人玻璃结构得到广泛应用。该成果围绕大型承人玻璃设施安全，研究提出基于人员安全的危险定量判别准则与全寿命周期风险评价方法，建立5类典型大型承人玻璃设施的安全技术要求；提出适用于大型承人玻璃设施人致和风致振动的设计计算方法，以及考虑钢板局部失稳、钢材超低周疲劳开裂的抗震安全实用验算方法；建立长期与短期载荷协同作用下的承人玻璃弯曲强度设计准则，发明模拟实际服役工况的承载性能测试装置，提出基于声发射和数字图像相关技术的评价方法；建立钢化玻璃缺陷类型及分布与其自爆风险等级之间的关联性，发明承人玻璃板块支承松动及脱落风险的检测方法与装置。最终，构建以安全为核心的大型承人玻璃设施技术与标准体系，填补行业空白。成果经过鉴定达到国际领先水平，并在浙江、国内其他省份及海外得到推广应用，以高水平安全支撑浙江省、全国旅游经济的高质量发展，促进了新兴行业的健康发展在和科技进步。综上，该项目创新性强、技术难度大，成果得到全面推广应用，社会经济效益显著。提名该成果为省科学技术进步奖一等奖。</w:t>
            </w:r>
          </w:p>
        </w:tc>
      </w:tr>
    </w:tbl>
    <w:p>
      <w:pPr>
        <w:adjustRightInd w:val="0"/>
        <w:snapToGrid w:val="0"/>
        <w:spacing w:line="560" w:lineRule="exact"/>
        <w:rPr>
          <w:rFonts w:eastAsia="仿宋_GB2312"/>
          <w:sz w:val="32"/>
          <w:szCs w:val="32"/>
        </w:rPr>
      </w:pPr>
    </w:p>
    <w:p>
      <w:pPr>
        <w:widowControl/>
        <w:jc w:val="left"/>
        <w:rPr>
          <w:rFonts w:eastAsia="仿宋_GB2312"/>
          <w:sz w:val="32"/>
          <w:szCs w:val="32"/>
        </w:rPr>
      </w:pPr>
      <w:r>
        <w:rPr>
          <w:rFonts w:eastAsia="仿宋_GB2312"/>
          <w:sz w:val="32"/>
          <w:szCs w:val="32"/>
        </w:rPr>
        <w:br w:type="page"/>
      </w:r>
    </w:p>
    <w:p>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pPr>
        <w:rPr>
          <w:rStyle w:val="10"/>
          <w:rFonts w:eastAsia="方正小标宋简体"/>
          <w:color w:val="auto"/>
          <w:sz w:val="36"/>
          <w:szCs w:val="36"/>
        </w:rPr>
      </w:pPr>
      <w:r>
        <w:rPr>
          <w:rStyle w:val="10"/>
          <w:rFonts w:hint="eastAsia" w:eastAsia="方正小标宋简体"/>
          <w:color w:val="auto"/>
          <w:sz w:val="36"/>
          <w:szCs w:val="36"/>
        </w:rPr>
        <w:t>附表</w:t>
      </w:r>
      <w:r>
        <w:rPr>
          <w:rStyle w:val="10"/>
          <w:rFonts w:hint="eastAsia" w:eastAsia="方正小标宋简体"/>
          <w:color w:val="auto"/>
          <w:sz w:val="36"/>
          <w:szCs w:val="36"/>
        </w:rPr>
        <w:t>1</w:t>
      </w:r>
      <w:r>
        <w:rPr>
          <w:rStyle w:val="10"/>
          <w:rFonts w:hint="eastAsia" w:eastAsia="方正小标宋简体"/>
          <w:color w:val="auto"/>
          <w:sz w:val="36"/>
          <w:szCs w:val="36"/>
        </w:rPr>
        <w:t>：</w:t>
      </w:r>
    </w:p>
    <w:p>
      <w:pPr>
        <w:jc w:val="center"/>
        <w:rPr>
          <w:rStyle w:val="10"/>
          <w:rFonts w:eastAsia="方正小标宋简体"/>
          <w:color w:val="auto"/>
          <w:sz w:val="36"/>
          <w:szCs w:val="36"/>
        </w:rPr>
      </w:pPr>
      <w:r>
        <w:rPr>
          <w:rStyle w:val="10"/>
          <w:rFonts w:eastAsia="方正小标宋简体"/>
          <w:color w:val="auto"/>
          <w:sz w:val="36"/>
          <w:szCs w:val="36"/>
        </w:rPr>
        <w:t>主要知识产权和标准规范目录</w:t>
      </w:r>
    </w:p>
    <w:tbl>
      <w:tblPr>
        <w:tblStyle w:val="8"/>
        <w:tblW w:w="14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850"/>
        <w:gridCol w:w="1560"/>
        <w:gridCol w:w="1417"/>
        <w:gridCol w:w="2014"/>
        <w:gridCol w:w="2664"/>
        <w:gridCol w:w="1701"/>
        <w:gridCol w:w="1278"/>
      </w:tblGrid>
      <w:tr>
        <w:tblPrEx>
          <w:tblLayout w:type="fixed"/>
        </w:tblPrEx>
        <w:trPr>
          <w:trHeight w:val="141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w:t>
            </w:r>
          </w:p>
          <w:p>
            <w:pPr>
              <w:jc w:val="center"/>
              <w:rPr>
                <w:rFonts w:eastAsia="仿宋_GB2312"/>
                <w:sz w:val="24"/>
                <w:szCs w:val="21"/>
              </w:rPr>
            </w:pPr>
            <w:r>
              <w:rPr>
                <w:rFonts w:eastAsia="仿宋_GB2312"/>
                <w:sz w:val="24"/>
                <w:szCs w:val="21"/>
              </w:rPr>
              <w:t>（标准发布）</w:t>
            </w:r>
          </w:p>
          <w:p>
            <w:pPr>
              <w:jc w:val="center"/>
              <w:rPr>
                <w:rFonts w:eastAsia="仿宋_GB2312"/>
                <w:sz w:val="24"/>
                <w:szCs w:val="21"/>
              </w:rPr>
            </w:pPr>
            <w:r>
              <w:rPr>
                <w:rFonts w:eastAsia="仿宋_GB2312"/>
                <w:sz w:val="24"/>
                <w:szCs w:val="21"/>
              </w:rPr>
              <w:t>日期</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国家标准</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玻璃水滑道安全技术要求</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GB/T 41121-2021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2021-12-31</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国家市场监管总局、国家标准化管理委员会</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中国特种设备检测研究院、</w:t>
            </w:r>
            <w:r>
              <w:rPr>
                <w:rFonts w:hint="eastAsia" w:asciiTheme="minorEastAsia" w:hAnsiTheme="minorEastAsia" w:eastAsiaTheme="minorEastAsia"/>
                <w:sz w:val="24"/>
                <w:szCs w:val="24"/>
              </w:rPr>
              <w:t>中国国检测试控股集团股份有限公司</w:t>
            </w:r>
            <w:r>
              <w:rPr>
                <w:rFonts w:hint="eastAsia" w:asciiTheme="minorEastAsia" w:hAnsiTheme="minorEastAsia" w:eastAsiaTheme="minorEastAsia"/>
                <w:sz w:val="24"/>
                <w:szCs w:val="21"/>
              </w:rPr>
              <w:t>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刘然、叶超、刘小根、孙与康等</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有效</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团体标准</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景区玻璃类观景设施安全规范</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T/CMES 37003-2022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1"/>
              </w:rPr>
              <w:t>2022-10-24</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中国机械工程学会</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中国特种设备检测研究院、浙江大学、浙江省特种设备科学研究院等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刘然、叶超、谢旭等</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有效</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国家标准</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wordWrap w:val="0"/>
              <w:spacing w:line="300" w:lineRule="atLeast"/>
              <w:jc w:val="center"/>
              <w:rPr>
                <w:rFonts w:hint="eastAsia" w:asciiTheme="minorEastAsia" w:hAnsiTheme="minorEastAsia" w:eastAsiaTheme="minorEastAsia"/>
                <w:spacing w:val="8"/>
                <w:kern w:val="0"/>
                <w:sz w:val="24"/>
                <w:szCs w:val="24"/>
              </w:rPr>
            </w:pPr>
            <w:r>
              <w:rPr>
                <w:rFonts w:asciiTheme="minorEastAsia" w:hAnsiTheme="minorEastAsia" w:eastAsiaTheme="minorEastAsia"/>
                <w:spacing w:val="8"/>
                <w:sz w:val="24"/>
                <w:szCs w:val="24"/>
              </w:rPr>
              <w:br w:type="textWrapping"/>
            </w:r>
            <w:r>
              <w:rPr>
                <w:rFonts w:hint="eastAsia" w:asciiTheme="minorEastAsia" w:hAnsiTheme="minorEastAsia" w:eastAsiaTheme="minorEastAsia"/>
                <w:spacing w:val="8"/>
                <w:sz w:val="24"/>
                <w:szCs w:val="24"/>
              </w:rPr>
              <w:t>玻璃缺陷检测方法光弹扫描法</w:t>
            </w:r>
          </w:p>
          <w:p>
            <w:pPr>
              <w:jc w:val="center"/>
              <w:rPr>
                <w:rFonts w:hint="eastAsia" w:asciiTheme="minorEastAsia" w:hAnsiTheme="minorEastAsia" w:eastAsiaTheme="minorEastAsia"/>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4"/>
              </w:rPr>
              <w:t>GB/T 30020-2023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asciiTheme="minorEastAsia" w:hAnsiTheme="minorEastAsia" w:eastAsiaTheme="minorEastAsia"/>
                <w:sz w:val="24"/>
                <w:szCs w:val="24"/>
              </w:rPr>
              <w:t>2023-03-17</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shd w:val="clear" w:color="auto" w:fill="FFFFFF"/>
              </w:rPr>
              <w:t>国家市场监督管理总局</w:t>
            </w:r>
            <w:r>
              <w:rPr>
                <w:rFonts w:hint="eastAsia" w:asciiTheme="minorEastAsia" w:hAnsiTheme="minorEastAsia" w:eastAsiaTheme="minorEastAsia"/>
                <w:sz w:val="24"/>
                <w:szCs w:val="24"/>
                <w:shd w:val="clear" w:color="auto" w:fill="FFFFFF"/>
              </w:rPr>
              <w:t>、</w:t>
            </w:r>
            <w:r>
              <w:rPr>
                <w:rFonts w:asciiTheme="minorEastAsia" w:hAnsiTheme="minorEastAsia" w:eastAsiaTheme="minorEastAsia"/>
                <w:sz w:val="24"/>
                <w:szCs w:val="24"/>
                <w:shd w:val="clear" w:color="auto" w:fill="FFFFFF"/>
              </w:rPr>
              <w:t>国家标准化管理委员会</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中国国检测试控股集团股份有限公司等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刘小根、万德田等</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1"/>
              </w:rPr>
            </w:pPr>
            <w:r>
              <w:rPr>
                <w:rFonts w:hint="eastAsia" w:asciiTheme="minorEastAsia" w:hAnsiTheme="minorEastAsia" w:eastAsiaTheme="minorEastAsia"/>
                <w:sz w:val="24"/>
                <w:szCs w:val="24"/>
              </w:rPr>
              <w:t>有效</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精确简便识别钢化玻璃已均质的组合式贴片装置和方法</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202111124620.2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2022-06-20</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221574</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刘小根、包亦望、万德田</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点支承板材脱落风险检测方法和装置</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202010025390.3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2022-04-12</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071777</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fldChar w:fldCharType="begin"/>
            </w:r>
            <w:r>
              <w:instrText xml:space="preserve"> HYPERLINK "https://xueshu.baidu.com/s?wd=author%3A%28%E5%88%98%E5%B0%8F%E6%A0%B9%29%20&amp;tn=SE_baiduxueshu_c1gjeupa&amp;ie=utf-8&amp;sc_f_para=sc_hilight%3Dperson" \t "_blank" </w:instrText>
            </w:r>
            <w:r>
              <w:fldChar w:fldCharType="separate"/>
            </w:r>
            <w:r>
              <w:rPr>
                <w:rFonts w:hint="eastAsia" w:asciiTheme="minorEastAsia" w:hAnsiTheme="minorEastAsia" w:eastAsiaTheme="minorEastAsia"/>
                <w:sz w:val="24"/>
                <w:szCs w:val="24"/>
              </w:rPr>
              <w:t>刘小根</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"https://xueshu.baidu.com/s?wd=author%3A%28%E5%8C%85%E4%BA%A6%E6%9C%9B%29%20&amp;tn=SE_baiduxueshu_c1gjeupa&amp;ie=utf-8&amp;sc_f_para=sc_hilight%3Dperson" \t "_blank" </w:instrText>
            </w:r>
            <w:r>
              <w:fldChar w:fldCharType="separate"/>
            </w:r>
            <w:r>
              <w:rPr>
                <w:rFonts w:hint="eastAsia" w:asciiTheme="minorEastAsia" w:hAnsiTheme="minorEastAsia" w:eastAsiaTheme="minorEastAsia"/>
                <w:sz w:val="24"/>
                <w:szCs w:val="24"/>
              </w:rPr>
              <w:t>包亦望</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"https://xueshu.baidu.com/s?wd=author%3A%28%E4%B8%87%E5%BE%B7%E7%94%B0%29%20&amp;tn=SE_baiduxueshu_c1gjeupa&amp;ie=utf-8&amp;sc_f_para=sc_hilight%3Dperson" \t "_blank" </w:instrText>
            </w:r>
            <w:r>
              <w:fldChar w:fldCharType="separate"/>
            </w:r>
            <w:r>
              <w:rPr>
                <w:rFonts w:hint="eastAsia" w:asciiTheme="minorEastAsia" w:hAnsiTheme="minorEastAsia" w:eastAsiaTheme="minorEastAsia"/>
                <w:sz w:val="24"/>
                <w:szCs w:val="24"/>
              </w:rPr>
              <w:t>万德田</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"https://xueshu.baidu.com/s?wd=author%3A%28%E9%83%91%E5%BE%B7%E5%BF%97%29%20&amp;tn=SE_baiduxueshu_c1gjeupa&amp;ie=utf-8&amp;sc_f_para=sc_hilight%3Dperson" \t "_blank" </w:instrText>
            </w:r>
            <w:r>
              <w:fldChar w:fldCharType="separate"/>
            </w:r>
            <w:r>
              <w:rPr>
                <w:rFonts w:hint="eastAsia" w:asciiTheme="minorEastAsia" w:hAnsiTheme="minorEastAsia" w:eastAsiaTheme="minorEastAsia"/>
                <w:sz w:val="24"/>
                <w:szCs w:val="24"/>
              </w:rPr>
              <w:t>郑德志</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"https://xueshu.baidu.com/s?wd=author%3A%28%E6%9D%8E%E5%A8%9C%29%20&amp;tn=SE_baiduxueshu_c1gjeupa&amp;ie=utf-8&amp;sc_f_para=sc_hilight%3Dperson" \t "_blank" </w:instrText>
            </w:r>
            <w:r>
              <w:fldChar w:fldCharType="separate"/>
            </w:r>
            <w:r>
              <w:rPr>
                <w:rFonts w:hint="eastAsia" w:asciiTheme="minorEastAsia" w:hAnsiTheme="minorEastAsia" w:eastAsiaTheme="minorEastAsia"/>
                <w:sz w:val="24"/>
                <w:szCs w:val="24"/>
              </w:rPr>
              <w:t>李娜</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"https://xueshu.baidu.com/s?wd=author%3A%28%E6%A2%81%E7%88%BD%29%20&amp;tn=SE_baiduxueshu_c1gjeupa&amp;ie=utf-8&amp;sc_f_para=sc_hilight%3Dperson" \t "_blank" </w:instrText>
            </w:r>
            <w:r>
              <w:fldChar w:fldCharType="separate"/>
            </w:r>
            <w:r>
              <w:rPr>
                <w:rFonts w:hint="eastAsia" w:asciiTheme="minorEastAsia" w:hAnsiTheme="minorEastAsia" w:eastAsiaTheme="minorEastAsia"/>
                <w:sz w:val="24"/>
                <w:szCs w:val="24"/>
              </w:rPr>
              <w:t>梁爽</w:t>
            </w:r>
            <w:r>
              <w:rPr>
                <w:rFonts w:hint="eastAsia" w:asciiTheme="minorEastAsia" w:hAnsiTheme="minorEastAsia" w:eastAsiaTheme="minorEastAsia"/>
                <w:sz w:val="24"/>
                <w:szCs w:val="24"/>
              </w:rPr>
              <w:fldChar w:fldCharType="end"/>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r>
        <w:tblPrEx>
          <w:tblLayout w:type="fixed"/>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发明专利</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透明材料自然裂纹制备及尖端位置确定方法和系统</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ZL 202110123720.7</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2021-06-08</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第5</w:t>
            </w:r>
            <w:r>
              <w:rPr>
                <w:rFonts w:asciiTheme="minorEastAsia" w:hAnsiTheme="minorEastAsia" w:eastAsiaTheme="minorEastAsia"/>
                <w:sz w:val="24"/>
                <w:szCs w:val="24"/>
              </w:rPr>
              <w:t>979121</w:t>
            </w:r>
            <w:r>
              <w:rPr>
                <w:rFonts w:hint="eastAsia" w:asciiTheme="minorEastAsia" w:hAnsiTheme="minorEastAsia" w:eastAsiaTheme="minorEastAsia"/>
                <w:sz w:val="24"/>
                <w:szCs w:val="24"/>
              </w:rPr>
              <w:t>号</w:t>
            </w:r>
          </w:p>
        </w:tc>
        <w:tc>
          <w:tcPr>
            <w:tcW w:w="2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中国国检测试控股集团股份有限公司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fldChar w:fldCharType="begin"/>
            </w:r>
            <w:r>
              <w:instrText xml:space="preserve"> HYPERLINK "https://xueshu.baidu.com/s?wd=author%3A%28%E5%88%98%E5%B0%8F%E6%A0%B9%29%20&amp;tn=SE_baiduxueshu_c1gjeupa&amp;ie=utf-8&amp;sc_f_para=sc_hilight%3Dperson" \t "_blank" </w:instrText>
            </w:r>
            <w:r>
              <w:fldChar w:fldCharType="separate"/>
            </w:r>
            <w:r>
              <w:rPr>
                <w:rFonts w:hint="eastAsia" w:asciiTheme="minorEastAsia" w:hAnsiTheme="minorEastAsia" w:eastAsiaTheme="minorEastAsia"/>
                <w:sz w:val="24"/>
                <w:szCs w:val="24"/>
              </w:rPr>
              <w:t>刘小根</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"https://xueshu.baidu.com/s?wd=author%3A%28%E9%83%91%E5%BE%B7%E5%BF%97%29%20&amp;tn=SE_baiduxueshu_c1gjeupa&amp;ie=utf-8&amp;sc_f_para=sc_hilight%3Dperson" \t "_blank" </w:instrText>
            </w:r>
            <w:r>
              <w:fldChar w:fldCharType="separate"/>
            </w:r>
            <w:r>
              <w:rPr>
                <w:rFonts w:hint="eastAsia" w:asciiTheme="minorEastAsia" w:hAnsiTheme="minorEastAsia" w:eastAsiaTheme="minorEastAsia"/>
                <w:sz w:val="24"/>
                <w:szCs w:val="24"/>
              </w:rPr>
              <w:t>郑德志</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"https://xueshu.baidu.com/s?wd=author%3A%28%E4%B8%87%E5%BE%B7%E7%94%B0%29%20&amp;tn=SE_baiduxueshu_c1gjeupa&amp;ie=utf-8&amp;sc_f_para=sc_hilight%3Dperson" \t "_blank" </w:instrText>
            </w:r>
            <w:r>
              <w:fldChar w:fldCharType="separate"/>
            </w:r>
            <w:r>
              <w:rPr>
                <w:rFonts w:hint="eastAsia" w:asciiTheme="minorEastAsia" w:hAnsiTheme="minorEastAsia" w:eastAsiaTheme="minorEastAsia"/>
                <w:sz w:val="24"/>
                <w:szCs w:val="24"/>
              </w:rPr>
              <w:t>万德田</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"https://xueshu.baidu.com/s?wd=author%3A%28%E9%A9%AC%E5%BE%B7%E9%9A%86%29%20&amp;tn=SE_baiduxueshu_c1gjeupa&amp;ie=utf-8&amp;sc_f_para=sc_hilight%3Dperson" \t "_blank" </w:instrText>
            </w:r>
            <w:r>
              <w:fldChar w:fldCharType="separate"/>
            </w:r>
            <w:r>
              <w:rPr>
                <w:rFonts w:hint="eastAsia" w:asciiTheme="minorEastAsia" w:hAnsiTheme="minorEastAsia" w:eastAsiaTheme="minorEastAsia"/>
                <w:sz w:val="24"/>
                <w:szCs w:val="24"/>
              </w:rPr>
              <w:t>马德隆</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"https://xueshu.baidu.com/s?wd=author%3A%28%E7%8E%8B%E4%BA%AE%E4%BA%AE%29%20&amp;tn=SE_baiduxueshu_c1gjeupa&amp;ie=utf-8&amp;sc_f_para=sc_hilight%3Dperson" \t "_blank" </w:instrText>
            </w:r>
            <w:r>
              <w:fldChar w:fldCharType="separate"/>
            </w:r>
            <w:r>
              <w:rPr>
                <w:rFonts w:hint="eastAsia" w:asciiTheme="minorEastAsia" w:hAnsiTheme="minorEastAsia" w:eastAsiaTheme="minorEastAsia"/>
                <w:sz w:val="24"/>
                <w:szCs w:val="24"/>
              </w:rPr>
              <w:t>王亮亮</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w:t>
            </w:r>
            <w:r>
              <w:fldChar w:fldCharType="begin"/>
            </w:r>
            <w:r>
              <w:instrText xml:space="preserve"> HYPERLINK "https://xueshu.baidu.com/s?wd=author%3A%28%E8%B5%B5%E8%99%8E%29%20&amp;tn=SE_baiduxueshu_c1gjeupa&amp;ie=utf-8&amp;sc_f_para=sc_hilight%3Dperson" \t "_blank" </w:instrText>
            </w:r>
            <w:r>
              <w:fldChar w:fldCharType="separate"/>
            </w:r>
            <w:r>
              <w:rPr>
                <w:rFonts w:hint="eastAsia" w:asciiTheme="minorEastAsia" w:hAnsiTheme="minorEastAsia" w:eastAsiaTheme="minorEastAsia"/>
                <w:sz w:val="24"/>
                <w:szCs w:val="24"/>
              </w:rPr>
              <w:t>赵虎</w:t>
            </w:r>
            <w:r>
              <w:rPr>
                <w:rFonts w:hint="eastAsia" w:asciiTheme="minorEastAsia" w:hAnsiTheme="minorEastAsia" w:eastAsiaTheme="minorEastAsia"/>
                <w:sz w:val="24"/>
                <w:szCs w:val="24"/>
              </w:rPr>
              <w:fldChar w:fldCharType="end"/>
            </w: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有效</w:t>
            </w:r>
          </w:p>
        </w:tc>
      </w:tr>
    </w:tbl>
    <w:p>
      <w:pPr>
        <w:spacing w:before="100" w:beforeAutospacing="1" w:after="100" w:afterAutospacing="1"/>
        <w:rPr>
          <w:rFonts w:eastAsia="黑体"/>
          <w:kern w:val="0"/>
          <w:sz w:val="32"/>
          <w:szCs w:val="32"/>
        </w:rPr>
        <w:sectPr>
          <w:pgSz w:w="15842" w:h="12242" w:orient="landscape"/>
          <w:pgMar w:top="1418" w:right="1247" w:bottom="1134" w:left="1247" w:header="851" w:footer="794" w:gutter="0"/>
          <w:cols w:space="720" w:num="1"/>
        </w:sectPr>
      </w:pPr>
    </w:p>
    <w:p>
      <w:pPr>
        <w:rPr>
          <w:rStyle w:val="10"/>
          <w:rFonts w:eastAsia="方正小标宋简体"/>
          <w:color w:val="auto"/>
          <w:sz w:val="36"/>
          <w:szCs w:val="36"/>
        </w:rPr>
      </w:pPr>
      <w:r>
        <w:rPr>
          <w:rStyle w:val="10"/>
          <w:rFonts w:hint="eastAsia" w:eastAsia="方正小标宋简体"/>
          <w:color w:val="auto"/>
          <w:sz w:val="36"/>
          <w:szCs w:val="36"/>
        </w:rPr>
        <w:t>附表</w:t>
      </w:r>
      <w:r>
        <w:rPr>
          <w:rStyle w:val="10"/>
          <w:rFonts w:hint="eastAsia" w:eastAsia="方正小标宋简体"/>
          <w:color w:val="auto"/>
          <w:sz w:val="36"/>
          <w:szCs w:val="36"/>
        </w:rPr>
        <w:t>2</w:t>
      </w:r>
      <w:r>
        <w:rPr>
          <w:rStyle w:val="10"/>
          <w:rFonts w:hint="eastAsia" w:eastAsia="方正小标宋简体"/>
          <w:color w:val="auto"/>
          <w:sz w:val="36"/>
          <w:szCs w:val="36"/>
        </w:rPr>
        <w:t>：</w:t>
      </w:r>
    </w:p>
    <w:p>
      <w:pPr>
        <w:jc w:val="center"/>
        <w:rPr>
          <w:rStyle w:val="10"/>
          <w:rFonts w:eastAsia="方正小标宋简体"/>
          <w:color w:val="auto"/>
          <w:sz w:val="36"/>
          <w:szCs w:val="36"/>
        </w:rPr>
      </w:pPr>
    </w:p>
    <w:p>
      <w:pPr>
        <w:jc w:val="center"/>
        <w:rPr>
          <w:rStyle w:val="10"/>
          <w:rFonts w:eastAsia="方正小标宋简体"/>
          <w:color w:val="auto"/>
          <w:sz w:val="36"/>
          <w:szCs w:val="36"/>
        </w:rPr>
      </w:pPr>
      <w:r>
        <w:rPr>
          <w:rStyle w:val="10"/>
          <w:rFonts w:eastAsia="方正小标宋简体"/>
          <w:color w:val="auto"/>
          <w:sz w:val="36"/>
          <w:szCs w:val="36"/>
        </w:rPr>
        <w:t>代表性论文专著目录</w:t>
      </w:r>
    </w:p>
    <w:tbl>
      <w:tblPr>
        <w:tblStyle w:val="8"/>
        <w:tblW w:w="92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4223"/>
        <w:gridCol w:w="1299"/>
        <w:gridCol w:w="1497"/>
        <w:gridCol w:w="973"/>
      </w:tblGrid>
      <w:tr>
        <w:tblPrEx>
          <w:tblLayout w:type="fixed"/>
        </w:tblPrEx>
        <w:trPr>
          <w:trHeight w:val="1445" w:hRule="exact"/>
          <w:jc w:val="center"/>
        </w:trPr>
        <w:tc>
          <w:tcPr>
            <w:tcW w:w="1282" w:type="dxa"/>
            <w:vAlign w:val="center"/>
          </w:tcPr>
          <w:p>
            <w:pPr>
              <w:jc w:val="center"/>
              <w:rPr>
                <w:rFonts w:eastAsia="仿宋_GB2312"/>
                <w:sz w:val="24"/>
              </w:rPr>
            </w:pPr>
            <w:r>
              <w:rPr>
                <w:rFonts w:eastAsia="仿宋_GB2312"/>
                <w:sz w:val="24"/>
              </w:rPr>
              <w:t>作 者</w:t>
            </w:r>
          </w:p>
        </w:tc>
        <w:tc>
          <w:tcPr>
            <w:tcW w:w="4223" w:type="dxa"/>
            <w:vAlign w:val="center"/>
          </w:tcPr>
          <w:p>
            <w:pPr>
              <w:jc w:val="center"/>
              <w:rPr>
                <w:rFonts w:eastAsia="仿宋_GB2312"/>
                <w:sz w:val="24"/>
              </w:rPr>
            </w:pPr>
            <w:r>
              <w:rPr>
                <w:rFonts w:eastAsia="仿宋_GB2312"/>
                <w:sz w:val="24"/>
              </w:rPr>
              <w:t>论文专著名称/刊物</w:t>
            </w:r>
          </w:p>
        </w:tc>
        <w:tc>
          <w:tcPr>
            <w:tcW w:w="1299" w:type="dxa"/>
            <w:tcMar>
              <w:top w:w="0" w:type="dxa"/>
              <w:left w:w="0" w:type="dxa"/>
              <w:bottom w:w="0" w:type="dxa"/>
              <w:right w:w="0" w:type="dxa"/>
            </w:tcMar>
            <w:vAlign w:val="center"/>
          </w:tcPr>
          <w:p>
            <w:pPr>
              <w:jc w:val="center"/>
              <w:rPr>
                <w:rFonts w:eastAsia="仿宋_GB2312"/>
                <w:sz w:val="24"/>
              </w:rPr>
            </w:pPr>
            <w:r>
              <w:rPr>
                <w:rFonts w:eastAsia="仿宋_GB2312"/>
                <w:sz w:val="24"/>
              </w:rPr>
              <w:t>年卷</w:t>
            </w:r>
          </w:p>
          <w:p>
            <w:pPr>
              <w:jc w:val="center"/>
              <w:rPr>
                <w:rFonts w:eastAsia="仿宋_GB2312"/>
                <w:szCs w:val="21"/>
              </w:rPr>
            </w:pPr>
            <w:r>
              <w:rPr>
                <w:rFonts w:eastAsia="仿宋_GB2312"/>
                <w:sz w:val="24"/>
              </w:rPr>
              <w:t>页码</w:t>
            </w:r>
          </w:p>
        </w:tc>
        <w:tc>
          <w:tcPr>
            <w:tcW w:w="1497" w:type="dxa"/>
            <w:tcMar>
              <w:top w:w="0" w:type="dxa"/>
              <w:left w:w="0" w:type="dxa"/>
              <w:bottom w:w="0" w:type="dxa"/>
              <w:right w:w="0" w:type="dxa"/>
            </w:tcMar>
            <w:vAlign w:val="center"/>
          </w:tcPr>
          <w:p>
            <w:pPr>
              <w:jc w:val="center"/>
              <w:rPr>
                <w:rFonts w:eastAsia="仿宋_GB2312"/>
                <w:sz w:val="24"/>
              </w:rPr>
            </w:pPr>
            <w:r>
              <w:rPr>
                <w:rFonts w:eastAsia="仿宋_GB2312"/>
                <w:sz w:val="24"/>
              </w:rPr>
              <w:t>发表</w:t>
            </w:r>
          </w:p>
          <w:p>
            <w:pPr>
              <w:jc w:val="center"/>
              <w:rPr>
                <w:rFonts w:eastAsia="仿宋_GB2312"/>
                <w:sz w:val="24"/>
              </w:rPr>
            </w:pPr>
            <w:r>
              <w:rPr>
                <w:rFonts w:eastAsia="仿宋_GB2312"/>
                <w:sz w:val="24"/>
              </w:rPr>
              <w:t>时间</w:t>
            </w:r>
          </w:p>
          <w:p>
            <w:pPr>
              <w:jc w:val="center"/>
              <w:rPr>
                <w:rFonts w:eastAsia="仿宋_GB2312"/>
                <w:sz w:val="24"/>
              </w:rPr>
            </w:pPr>
            <w:r>
              <w:rPr>
                <w:rFonts w:eastAsia="仿宋_GB2312"/>
                <w:sz w:val="24"/>
              </w:rPr>
              <w:t>（年、月）</w:t>
            </w:r>
          </w:p>
        </w:tc>
        <w:tc>
          <w:tcPr>
            <w:tcW w:w="973" w:type="dxa"/>
            <w:tcMar>
              <w:top w:w="0" w:type="dxa"/>
              <w:left w:w="0" w:type="dxa"/>
              <w:bottom w:w="0" w:type="dxa"/>
              <w:right w:w="0" w:type="dxa"/>
            </w:tcMar>
            <w:vAlign w:val="center"/>
          </w:tcPr>
          <w:p>
            <w:pPr>
              <w:jc w:val="center"/>
              <w:rPr>
                <w:rFonts w:eastAsia="仿宋_GB2312"/>
                <w:sz w:val="24"/>
              </w:rPr>
            </w:pPr>
            <w:r>
              <w:rPr>
                <w:rFonts w:eastAsia="仿宋_GB2312"/>
                <w:sz w:val="24"/>
              </w:rPr>
              <w:t>他引</w:t>
            </w:r>
          </w:p>
          <w:p>
            <w:pPr>
              <w:jc w:val="center"/>
              <w:rPr>
                <w:rFonts w:eastAsia="仿宋_GB2312"/>
                <w:sz w:val="24"/>
              </w:rPr>
            </w:pPr>
            <w:r>
              <w:rPr>
                <w:rFonts w:eastAsia="仿宋_GB2312"/>
                <w:sz w:val="24"/>
              </w:rPr>
              <w:t>总次数</w:t>
            </w:r>
          </w:p>
        </w:tc>
      </w:tr>
      <w:tr>
        <w:tblPrEx>
          <w:tblLayout w:type="fixed"/>
        </w:tblPrEx>
        <w:trPr>
          <w:trHeight w:val="1774" w:hRule="exact"/>
          <w:jc w:val="center"/>
        </w:trPr>
        <w:tc>
          <w:tcPr>
            <w:tcW w:w="1282" w:type="dxa"/>
            <w:vAlign w:val="center"/>
          </w:tcPr>
          <w:p>
            <w:pPr>
              <w:rPr>
                <w:rFonts w:hint="eastAsia" w:ascii="仿宋" w:hAnsi="仿宋" w:eastAsia="仿宋"/>
                <w:sz w:val="24"/>
                <w:szCs w:val="24"/>
              </w:rPr>
            </w:pPr>
            <w:r>
              <w:rPr>
                <w:rFonts w:hint="eastAsia"/>
              </w:rPr>
              <w:t>陈书娴,谢旭,诸葛翰卿</w:t>
            </w:r>
          </w:p>
        </w:tc>
        <w:tc>
          <w:tcPr>
            <w:tcW w:w="4223" w:type="dxa"/>
            <w:vAlign w:val="center"/>
          </w:tcPr>
          <w:p>
            <w:pPr>
              <w:rPr>
                <w:rFonts w:eastAsia="仿宋"/>
                <w:sz w:val="24"/>
                <w:szCs w:val="24"/>
              </w:rPr>
            </w:pPr>
            <w:r>
              <w:rPr>
                <w:rFonts w:eastAsia="仿宋"/>
                <w:sz w:val="24"/>
                <w:szCs w:val="24"/>
              </w:rPr>
              <w:t>Hysteretic model for steel piers considering the local buckling of steel plates</w:t>
            </w:r>
          </w:p>
          <w:p>
            <w:pPr>
              <w:rPr>
                <w:rFonts w:eastAsia="仿宋"/>
                <w:sz w:val="24"/>
                <w:szCs w:val="24"/>
              </w:rPr>
            </w:pPr>
            <w:r>
              <w:rPr>
                <w:rFonts w:eastAsia="仿宋"/>
                <w:sz w:val="24"/>
                <w:szCs w:val="24"/>
              </w:rPr>
              <w:t>/Engineering Structures</w:t>
            </w:r>
          </w:p>
        </w:tc>
        <w:tc>
          <w:tcPr>
            <w:tcW w:w="1299" w:type="dxa"/>
            <w:vAlign w:val="center"/>
          </w:tcPr>
          <w:p>
            <w:pPr>
              <w:jc w:val="center"/>
              <w:rPr>
                <w:rFonts w:eastAsia="仿宋"/>
                <w:sz w:val="24"/>
                <w:szCs w:val="24"/>
              </w:rPr>
            </w:pPr>
            <w:r>
              <w:rPr>
                <w:rFonts w:hint="eastAsia" w:eastAsia="仿宋"/>
                <w:sz w:val="24"/>
                <w:szCs w:val="24"/>
              </w:rPr>
              <w:t>2</w:t>
            </w:r>
            <w:r>
              <w:rPr>
                <w:rFonts w:eastAsia="仿宋"/>
                <w:sz w:val="24"/>
                <w:szCs w:val="24"/>
              </w:rPr>
              <w:t>019,</w:t>
            </w:r>
          </w:p>
          <w:p>
            <w:pPr>
              <w:jc w:val="center"/>
              <w:rPr>
                <w:rFonts w:eastAsia="仿宋"/>
                <w:sz w:val="24"/>
                <w:szCs w:val="24"/>
              </w:rPr>
            </w:pPr>
            <w:r>
              <w:rPr>
                <w:rFonts w:eastAsia="仿宋"/>
                <w:sz w:val="24"/>
                <w:szCs w:val="24"/>
              </w:rPr>
              <w:t>183: 303-318.</w:t>
            </w:r>
          </w:p>
        </w:tc>
        <w:tc>
          <w:tcPr>
            <w:tcW w:w="1497" w:type="dxa"/>
            <w:vAlign w:val="center"/>
          </w:tcPr>
          <w:p>
            <w:pPr>
              <w:jc w:val="center"/>
              <w:rPr>
                <w:rFonts w:eastAsia="仿宋"/>
                <w:sz w:val="24"/>
                <w:szCs w:val="24"/>
              </w:rPr>
            </w:pPr>
            <w:r>
              <w:rPr>
                <w:rFonts w:eastAsia="仿宋"/>
                <w:sz w:val="24"/>
                <w:szCs w:val="24"/>
              </w:rPr>
              <w:t>2019-04</w:t>
            </w:r>
          </w:p>
        </w:tc>
        <w:tc>
          <w:tcPr>
            <w:tcW w:w="973" w:type="dxa"/>
            <w:vAlign w:val="center"/>
          </w:tcPr>
          <w:p>
            <w:pPr>
              <w:jc w:val="center"/>
              <w:rPr>
                <w:rFonts w:eastAsia="仿宋"/>
                <w:sz w:val="24"/>
                <w:szCs w:val="24"/>
              </w:rPr>
            </w:pPr>
            <w:r>
              <w:rPr>
                <w:rFonts w:hint="eastAsia" w:eastAsia="仿宋"/>
                <w:sz w:val="24"/>
                <w:szCs w:val="24"/>
              </w:rPr>
              <w:t>22</w:t>
            </w:r>
          </w:p>
        </w:tc>
      </w:tr>
      <w:tr>
        <w:tblPrEx>
          <w:tblLayout w:type="fixed"/>
        </w:tblPrEx>
        <w:trPr>
          <w:trHeight w:val="2449" w:hRule="exact"/>
          <w:jc w:val="center"/>
        </w:trPr>
        <w:tc>
          <w:tcPr>
            <w:tcW w:w="1282" w:type="dxa"/>
            <w:vAlign w:val="center"/>
          </w:tcPr>
          <w:p>
            <w:pPr>
              <w:rPr>
                <w:rFonts w:hint="eastAsia" w:ascii="仿宋" w:hAnsi="仿宋" w:eastAsia="仿宋"/>
                <w:sz w:val="24"/>
                <w:szCs w:val="24"/>
              </w:rPr>
            </w:pPr>
            <w:r>
              <w:rPr>
                <w:rFonts w:hint="eastAsia"/>
              </w:rPr>
              <w:t>李帅领,谢旭,成程</w:t>
            </w:r>
          </w:p>
        </w:tc>
        <w:tc>
          <w:tcPr>
            <w:tcW w:w="4223" w:type="dxa"/>
            <w:vAlign w:val="center"/>
          </w:tcPr>
          <w:p>
            <w:pPr>
              <w:rPr>
                <w:rFonts w:eastAsia="仿宋"/>
                <w:sz w:val="24"/>
                <w:szCs w:val="24"/>
              </w:rPr>
            </w:pPr>
            <w:r>
              <w:rPr>
                <w:rFonts w:eastAsia="仿宋"/>
                <w:sz w:val="24"/>
                <w:szCs w:val="24"/>
              </w:rPr>
              <w:t>A modified Coffin-Manson model for ultra-low cycle fatigue fracture of structural steels considering the effect of stress triaxiality</w:t>
            </w:r>
          </w:p>
          <w:p>
            <w:pPr>
              <w:rPr>
                <w:rFonts w:eastAsia="仿宋"/>
                <w:sz w:val="24"/>
                <w:szCs w:val="24"/>
              </w:rPr>
            </w:pPr>
            <w:r>
              <w:rPr>
                <w:rFonts w:eastAsia="仿宋"/>
                <w:sz w:val="24"/>
                <w:szCs w:val="24"/>
              </w:rPr>
              <w:t>/</w:t>
            </w:r>
            <w:r>
              <w:t xml:space="preserve"> </w:t>
            </w:r>
            <w:r>
              <w:rPr>
                <w:rFonts w:eastAsia="仿宋"/>
                <w:sz w:val="24"/>
                <w:szCs w:val="24"/>
              </w:rPr>
              <w:t>Engineering Fracture Mechanics</w:t>
            </w:r>
          </w:p>
        </w:tc>
        <w:tc>
          <w:tcPr>
            <w:tcW w:w="1299" w:type="dxa"/>
            <w:vAlign w:val="center"/>
          </w:tcPr>
          <w:p>
            <w:pPr>
              <w:jc w:val="center"/>
              <w:rPr>
                <w:rFonts w:eastAsia="仿宋"/>
                <w:sz w:val="24"/>
                <w:szCs w:val="24"/>
              </w:rPr>
            </w:pPr>
            <w:r>
              <w:rPr>
                <w:rFonts w:hint="eastAsia" w:eastAsia="仿宋"/>
                <w:sz w:val="24"/>
                <w:szCs w:val="24"/>
              </w:rPr>
              <w:t>2</w:t>
            </w:r>
            <w:r>
              <w:rPr>
                <w:rFonts w:eastAsia="仿宋"/>
                <w:sz w:val="24"/>
                <w:szCs w:val="24"/>
              </w:rPr>
              <w:t>020,</w:t>
            </w:r>
          </w:p>
          <w:p>
            <w:pPr>
              <w:jc w:val="center"/>
              <w:rPr>
                <w:rFonts w:eastAsia="仿宋"/>
                <w:sz w:val="24"/>
                <w:szCs w:val="24"/>
              </w:rPr>
            </w:pPr>
            <w:r>
              <w:rPr>
                <w:rFonts w:eastAsia="仿宋"/>
                <w:sz w:val="24"/>
                <w:szCs w:val="24"/>
              </w:rPr>
              <w:t>237: 107223</w:t>
            </w:r>
          </w:p>
        </w:tc>
        <w:tc>
          <w:tcPr>
            <w:tcW w:w="1497" w:type="dxa"/>
            <w:vAlign w:val="center"/>
          </w:tcPr>
          <w:p>
            <w:pPr>
              <w:jc w:val="center"/>
              <w:rPr>
                <w:rFonts w:eastAsia="仿宋"/>
                <w:sz w:val="24"/>
                <w:szCs w:val="24"/>
              </w:rPr>
            </w:pPr>
            <w:r>
              <w:rPr>
                <w:sz w:val="24"/>
                <w:szCs w:val="24"/>
              </w:rPr>
              <w:t>2020-</w:t>
            </w:r>
            <w:r>
              <w:rPr>
                <w:rFonts w:hint="eastAsia"/>
                <w:sz w:val="24"/>
                <w:szCs w:val="24"/>
              </w:rPr>
              <w:t>10</w:t>
            </w:r>
          </w:p>
        </w:tc>
        <w:tc>
          <w:tcPr>
            <w:tcW w:w="973" w:type="dxa"/>
            <w:vAlign w:val="center"/>
          </w:tcPr>
          <w:p>
            <w:pPr>
              <w:jc w:val="center"/>
              <w:rPr>
                <w:rFonts w:eastAsia="仿宋"/>
                <w:sz w:val="24"/>
                <w:szCs w:val="24"/>
              </w:rPr>
            </w:pPr>
            <w:r>
              <w:rPr>
                <w:rFonts w:hint="eastAsia" w:eastAsia="仿宋"/>
                <w:sz w:val="24"/>
                <w:szCs w:val="24"/>
              </w:rPr>
              <w:t>20</w:t>
            </w:r>
          </w:p>
        </w:tc>
      </w:tr>
      <w:tr>
        <w:tblPrEx>
          <w:tblLayout w:type="fixed"/>
        </w:tblPrEx>
        <w:trPr>
          <w:trHeight w:val="1933" w:hRule="exact"/>
          <w:jc w:val="center"/>
        </w:trPr>
        <w:tc>
          <w:tcPr>
            <w:tcW w:w="1282" w:type="dxa"/>
            <w:vAlign w:val="center"/>
          </w:tcPr>
          <w:p>
            <w:pPr/>
            <w:r>
              <w:rPr>
                <w:rFonts w:hint="eastAsia" w:ascii="仿宋" w:hAnsi="仿宋" w:eastAsia="仿宋"/>
                <w:sz w:val="24"/>
                <w:szCs w:val="24"/>
              </w:rPr>
              <w:t>李帅领,谢旭,田钦等</w:t>
            </w:r>
          </w:p>
        </w:tc>
        <w:tc>
          <w:tcPr>
            <w:tcW w:w="4223" w:type="dxa"/>
            <w:vAlign w:val="center"/>
          </w:tcPr>
          <w:p>
            <w:pPr>
              <w:rPr>
                <w:rFonts w:eastAsia="仿宋"/>
                <w:sz w:val="24"/>
                <w:szCs w:val="24"/>
              </w:rPr>
            </w:pPr>
            <w:r>
              <w:rPr>
                <w:rFonts w:eastAsia="仿宋"/>
                <w:sz w:val="24"/>
                <w:szCs w:val="24"/>
              </w:rPr>
              <w:t>A proposal on ultra-low cycle fatigue damage evaluation of structural steels/Theoretical &amp; Applied Fracture Mechanics</w:t>
            </w:r>
          </w:p>
        </w:tc>
        <w:tc>
          <w:tcPr>
            <w:tcW w:w="1299" w:type="dxa"/>
            <w:vAlign w:val="center"/>
          </w:tcPr>
          <w:p>
            <w:pPr>
              <w:jc w:val="center"/>
              <w:rPr>
                <w:rFonts w:eastAsia="仿宋"/>
                <w:sz w:val="24"/>
                <w:szCs w:val="24"/>
              </w:rPr>
            </w:pPr>
            <w:r>
              <w:rPr>
                <w:rFonts w:hint="eastAsia" w:eastAsia="仿宋"/>
                <w:sz w:val="24"/>
                <w:szCs w:val="24"/>
              </w:rPr>
              <w:t>2</w:t>
            </w:r>
            <w:r>
              <w:rPr>
                <w:rFonts w:eastAsia="仿宋"/>
                <w:sz w:val="24"/>
                <w:szCs w:val="24"/>
              </w:rPr>
              <w:t>021,</w:t>
            </w:r>
          </w:p>
          <w:p>
            <w:pPr>
              <w:jc w:val="center"/>
              <w:rPr>
                <w:rFonts w:eastAsia="仿宋"/>
                <w:sz w:val="24"/>
                <w:szCs w:val="24"/>
              </w:rPr>
            </w:pPr>
            <w:r>
              <w:rPr>
                <w:rFonts w:hint="eastAsia" w:eastAsia="仿宋"/>
                <w:sz w:val="24"/>
                <w:szCs w:val="24"/>
              </w:rPr>
              <w:t>1</w:t>
            </w:r>
            <w:r>
              <w:rPr>
                <w:rFonts w:eastAsia="仿宋"/>
                <w:sz w:val="24"/>
                <w:szCs w:val="24"/>
              </w:rPr>
              <w:t>14,</w:t>
            </w:r>
          </w:p>
          <w:p>
            <w:pPr>
              <w:jc w:val="center"/>
              <w:rPr>
                <w:rFonts w:eastAsia="仿宋"/>
                <w:sz w:val="24"/>
                <w:szCs w:val="24"/>
              </w:rPr>
            </w:pPr>
            <w:r>
              <w:rPr>
                <w:rFonts w:eastAsia="仿宋"/>
                <w:sz w:val="24"/>
                <w:szCs w:val="24"/>
              </w:rPr>
              <w:t>102973</w:t>
            </w:r>
          </w:p>
          <w:p>
            <w:pPr>
              <w:jc w:val="center"/>
              <w:rPr>
                <w:rFonts w:eastAsia="仿宋"/>
                <w:sz w:val="24"/>
                <w:szCs w:val="24"/>
              </w:rPr>
            </w:pPr>
          </w:p>
        </w:tc>
        <w:tc>
          <w:tcPr>
            <w:tcW w:w="1497" w:type="dxa"/>
            <w:vAlign w:val="center"/>
          </w:tcPr>
          <w:p>
            <w:pPr>
              <w:jc w:val="center"/>
              <w:rPr>
                <w:sz w:val="24"/>
                <w:szCs w:val="24"/>
              </w:rPr>
            </w:pPr>
            <w:r>
              <w:rPr>
                <w:rFonts w:hint="eastAsia"/>
                <w:sz w:val="24"/>
                <w:szCs w:val="24"/>
              </w:rPr>
              <w:t>2</w:t>
            </w:r>
            <w:r>
              <w:rPr>
                <w:sz w:val="24"/>
                <w:szCs w:val="24"/>
              </w:rPr>
              <w:t>021-07</w:t>
            </w:r>
          </w:p>
        </w:tc>
        <w:tc>
          <w:tcPr>
            <w:tcW w:w="973" w:type="dxa"/>
            <w:vAlign w:val="center"/>
          </w:tcPr>
          <w:p>
            <w:pPr>
              <w:jc w:val="center"/>
              <w:rPr>
                <w:rFonts w:eastAsia="仿宋"/>
                <w:sz w:val="24"/>
                <w:szCs w:val="24"/>
              </w:rPr>
            </w:pPr>
            <w:r>
              <w:rPr>
                <w:rFonts w:hint="eastAsia" w:eastAsia="仿宋"/>
                <w:sz w:val="24"/>
                <w:szCs w:val="24"/>
              </w:rPr>
              <w:t>10</w:t>
            </w:r>
          </w:p>
        </w:tc>
      </w:tr>
      <w:tr>
        <w:tblPrEx>
          <w:tblLayout w:type="fixed"/>
        </w:tblPrEx>
        <w:trPr>
          <w:trHeight w:val="2750" w:hRule="exact"/>
          <w:jc w:val="center"/>
        </w:trPr>
        <w:tc>
          <w:tcPr>
            <w:tcW w:w="1282" w:type="dxa"/>
            <w:vAlign w:val="center"/>
          </w:tcPr>
          <w:p>
            <w:pPr>
              <w:rPr>
                <w:rFonts w:hint="eastAsia" w:ascii="仿宋" w:hAnsi="仿宋" w:eastAsia="仿宋"/>
                <w:sz w:val="24"/>
                <w:szCs w:val="24"/>
              </w:rPr>
            </w:pPr>
            <w:r>
              <w:rPr>
                <w:rFonts w:hint="eastAsia" w:ascii="仿宋" w:hAnsi="仿宋" w:eastAsia="仿宋"/>
                <w:sz w:val="24"/>
                <w:szCs w:val="24"/>
              </w:rPr>
              <w:t>刘然,沈功田,张勇等</w:t>
            </w:r>
          </w:p>
        </w:tc>
        <w:tc>
          <w:tcPr>
            <w:tcW w:w="4223" w:type="dxa"/>
            <w:vAlign w:val="center"/>
          </w:tcPr>
          <w:p>
            <w:pPr>
              <w:widowControl/>
              <w:wordWrap w:val="0"/>
              <w:spacing w:line="300" w:lineRule="atLeast"/>
              <w:rPr>
                <w:rFonts w:eastAsia="仿宋"/>
                <w:spacing w:val="8"/>
                <w:kern w:val="0"/>
                <w:sz w:val="24"/>
                <w:szCs w:val="24"/>
              </w:rPr>
            </w:pPr>
            <w:r>
              <w:rPr>
                <w:rFonts w:eastAsia="仿宋"/>
                <w:spacing w:val="8"/>
                <w:kern w:val="0"/>
                <w:sz w:val="24"/>
                <w:szCs w:val="24"/>
              </w:rPr>
              <w:t>Acoustic Emission Monitoring for Bending Failure of Laminated Glass Used on Glass Water Slide/Advances in Condition Monitoring and Structural Health Monitoring</w:t>
            </w:r>
            <w:r>
              <w:rPr>
                <w:rFonts w:hint="eastAsia" w:eastAsia="仿宋"/>
                <w:spacing w:val="8"/>
                <w:kern w:val="0"/>
                <w:sz w:val="24"/>
                <w:szCs w:val="24"/>
              </w:rPr>
              <w:t>（第二届世界状态监测大会最佳论文奖）</w:t>
            </w:r>
          </w:p>
        </w:tc>
        <w:tc>
          <w:tcPr>
            <w:tcW w:w="1299" w:type="dxa"/>
            <w:vAlign w:val="center"/>
          </w:tcPr>
          <w:p>
            <w:pPr>
              <w:jc w:val="center"/>
              <w:rPr>
                <w:rFonts w:eastAsia="仿宋"/>
                <w:sz w:val="24"/>
                <w:szCs w:val="24"/>
              </w:rPr>
            </w:pPr>
            <w:r>
              <w:rPr>
                <w:sz w:val="24"/>
                <w:szCs w:val="24"/>
              </w:rPr>
              <w:t>2021: 561-572.</w:t>
            </w:r>
          </w:p>
        </w:tc>
        <w:tc>
          <w:tcPr>
            <w:tcW w:w="1497" w:type="dxa"/>
            <w:vAlign w:val="center"/>
          </w:tcPr>
          <w:p>
            <w:pPr>
              <w:jc w:val="center"/>
              <w:rPr>
                <w:rFonts w:eastAsia="仿宋"/>
                <w:sz w:val="24"/>
                <w:szCs w:val="24"/>
              </w:rPr>
            </w:pPr>
            <w:r>
              <w:rPr>
                <w:rFonts w:hint="eastAsia" w:eastAsia="仿宋"/>
                <w:sz w:val="24"/>
                <w:szCs w:val="24"/>
              </w:rPr>
              <w:t>2</w:t>
            </w:r>
            <w:r>
              <w:rPr>
                <w:rFonts w:eastAsia="仿宋"/>
                <w:sz w:val="24"/>
                <w:szCs w:val="24"/>
              </w:rPr>
              <w:t>021-02</w:t>
            </w:r>
          </w:p>
        </w:tc>
        <w:tc>
          <w:tcPr>
            <w:tcW w:w="973" w:type="dxa"/>
            <w:vAlign w:val="center"/>
          </w:tcPr>
          <w:p>
            <w:pPr>
              <w:jc w:val="center"/>
              <w:rPr>
                <w:rFonts w:eastAsia="仿宋"/>
                <w:sz w:val="24"/>
                <w:szCs w:val="24"/>
              </w:rPr>
            </w:pPr>
            <w:r>
              <w:rPr>
                <w:rFonts w:hint="eastAsia" w:eastAsia="仿宋"/>
                <w:sz w:val="24"/>
                <w:szCs w:val="24"/>
              </w:rPr>
              <w:t>1</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Microsoft YaHei UI"/>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0" w:usb1="00000000" w:usb2="00000010"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3EB8"/>
    <w:multiLevelType w:val="multilevel"/>
    <w:tmpl w:val="66B73EB8"/>
    <w:lvl w:ilvl="0" w:tentative="0">
      <w:start w:val="1"/>
      <w:numFmt w:val="decimal"/>
      <w:lvlText w:val="[%1]"/>
      <w:lvlJc w:val="left"/>
      <w:pPr>
        <w:ind w:left="440" w:hanging="440"/>
      </w:pPr>
      <w:rPr>
        <w:rFonts w:hint="default" w:ascii="Times New Roman" w:hAnsi="Times New Roman" w:cs="Times New Roman"/>
        <w:sz w:val="24"/>
        <w:szCs w:val="2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9">
    <w:name w:val="标题 1 字符"/>
    <w:basedOn w:val="6"/>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6"/>
    <w:link w:val="3"/>
    <w:qFormat/>
    <w:uiPriority w:val="99"/>
    <w:rPr>
      <w:rFonts w:ascii="Times New Roman" w:hAnsi="Times New Roman" w:eastAsia="宋体" w:cs="Times New Roman"/>
      <w:szCs w:val="20"/>
    </w:rPr>
  </w:style>
  <w:style w:type="paragraph" w:customStyle="1"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页眉 字符"/>
    <w:basedOn w:val="6"/>
    <w:link w:val="5"/>
    <w:uiPriority w:val="99"/>
    <w:rPr>
      <w:rFonts w:ascii="Times New Roman" w:hAnsi="Times New Roman" w:eastAsia="宋体" w:cs="Times New Roman"/>
      <w:sz w:val="18"/>
      <w:szCs w:val="18"/>
    </w:rPr>
  </w:style>
  <w:style w:type="character" w:customStyle="1" w:styleId="14">
    <w:name w:val="页脚 字符"/>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856</Words>
  <Characters>4884</Characters>
  <Lines>40</Lines>
  <Paragraphs>11</Paragraphs>
  <ScaleCrop>false</ScaleCrop>
  <LinksUpToDate>false</LinksUpToDate>
  <CharactersWithSpaces>5729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2024-08-04T01:21:00Z</dcterms:created>
  <dc:creator>ZJU</dc:creator>
  <cp:lastModifiedBy>iPhone</cp:lastModifiedBy>
  <dcterms:modified xsi:type="dcterms:W3CDTF">2024-08-05T13:32:16Z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0BA201C785EDF6DE1C62B06657B8E7F1_31</vt:lpwstr>
  </property>
  <property fmtid="{D5CDD505-2E9C-101B-9397-08002B2CF9AE}" pid="3" name="KSOProductBuildVer">
    <vt:lpwstr>2052-12.14.1</vt:lpwstr>
  </property>
</Properties>
</file>