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78" w:rsidRDefault="00130878">
      <w:pPr>
        <w:rPr>
          <w:rFonts w:eastAsia="仿宋_GB2312"/>
          <w:sz w:val="24"/>
          <w:szCs w:val="32"/>
        </w:rPr>
      </w:pPr>
    </w:p>
    <w:p w:rsidR="00130878" w:rsidRDefault="008C0034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130878" w:rsidRDefault="008C003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提名奖项：（自然科学奖）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130878">
        <w:trPr>
          <w:trHeight w:val="647"/>
        </w:trPr>
        <w:tc>
          <w:tcPr>
            <w:tcW w:w="2269" w:type="dxa"/>
            <w:vAlign w:val="center"/>
          </w:tcPr>
          <w:p w:rsidR="00130878" w:rsidRDefault="008C003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130878" w:rsidRDefault="007F41D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F41D0">
              <w:rPr>
                <w:rStyle w:val="title1"/>
                <w:rFonts w:eastAsia="仿宋_GB2312" w:hint="eastAsia"/>
                <w:b w:val="0"/>
                <w:color w:val="auto"/>
              </w:rPr>
              <w:t>食品中伴生危害物的氧化应激损伤机理及其防控机制</w:t>
            </w:r>
          </w:p>
        </w:tc>
      </w:tr>
      <w:tr w:rsidR="00130878">
        <w:trPr>
          <w:trHeight w:val="561"/>
        </w:trPr>
        <w:tc>
          <w:tcPr>
            <w:tcW w:w="2269" w:type="dxa"/>
            <w:vAlign w:val="center"/>
          </w:tcPr>
          <w:p w:rsidR="00130878" w:rsidRDefault="008C003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130878" w:rsidRDefault="008C003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130878">
        <w:trPr>
          <w:trHeight w:val="2461"/>
        </w:trPr>
        <w:tc>
          <w:tcPr>
            <w:tcW w:w="2269" w:type="dxa"/>
            <w:vAlign w:val="center"/>
          </w:tcPr>
          <w:p w:rsidR="00130878" w:rsidRDefault="008C003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130878" w:rsidRDefault="008C003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130878" w:rsidRDefault="008C003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提名书的代表性论文专著目录、主要知识产权和标准规范</w:t>
            </w:r>
            <w:r>
              <w:rPr>
                <w:rFonts w:eastAsia="仿宋_GB2312" w:hint="eastAsia"/>
                <w:bCs/>
                <w:sz w:val="24"/>
                <w:szCs w:val="24"/>
              </w:rPr>
              <w:t>见附表</w:t>
            </w:r>
          </w:p>
          <w:p w:rsidR="00130878" w:rsidRDefault="0013087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130878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130878" w:rsidRDefault="008C003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130878" w:rsidRDefault="008C003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陈卫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130878" w:rsidRDefault="001865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孙崇德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C0034">
              <w:rPr>
                <w:rFonts w:eastAsia="仿宋_GB2312"/>
                <w:bCs/>
                <w:sz w:val="24"/>
                <w:szCs w:val="24"/>
              </w:rPr>
              <w:t>2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 w:rsidR="008C0034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 w:rsidR="008C003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130878" w:rsidRDefault="008C003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徐阳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130878" w:rsidRDefault="001865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谢佳宏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C0034">
              <w:rPr>
                <w:rFonts w:eastAsia="仿宋_GB2312"/>
                <w:bCs/>
                <w:sz w:val="24"/>
                <w:szCs w:val="24"/>
              </w:rPr>
              <w:t>4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130878" w:rsidRDefault="001865C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李玉婷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8C0034">
              <w:rPr>
                <w:rFonts w:eastAsia="仿宋_GB2312"/>
                <w:bCs/>
                <w:sz w:val="24"/>
                <w:szCs w:val="24"/>
              </w:rPr>
              <w:t>5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 w:rsidR="008C0034"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，</w:t>
            </w:r>
            <w:r w:rsidR="008C003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8C0034"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130878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130878" w:rsidRDefault="008C003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130878" w:rsidRPr="001865CB" w:rsidRDefault="008C0034" w:rsidP="001865CB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130878">
        <w:trPr>
          <w:trHeight w:val="692"/>
        </w:trPr>
        <w:tc>
          <w:tcPr>
            <w:tcW w:w="2269" w:type="dxa"/>
            <w:vAlign w:val="center"/>
          </w:tcPr>
          <w:p w:rsidR="00130878" w:rsidRDefault="008C003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130878" w:rsidRDefault="008C0034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130878">
        <w:trPr>
          <w:trHeight w:val="3683"/>
        </w:trPr>
        <w:tc>
          <w:tcPr>
            <w:tcW w:w="2269" w:type="dxa"/>
            <w:vAlign w:val="center"/>
          </w:tcPr>
          <w:p w:rsidR="00130878" w:rsidRDefault="008C003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190135" w:rsidRDefault="008C0034" w:rsidP="00190135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该项目紧密围绕</w:t>
            </w:r>
            <w:r w:rsidR="0086526C">
              <w:rPr>
                <w:rFonts w:eastAsia="仿宋_GB2312" w:hint="eastAsia"/>
                <w:sz w:val="24"/>
              </w:rPr>
              <w:t>我国</w:t>
            </w:r>
            <w:bookmarkStart w:id="0" w:name="_GoBack"/>
            <w:bookmarkEnd w:id="0"/>
            <w:r w:rsidR="0086526C">
              <w:rPr>
                <w:rFonts w:eastAsia="仿宋_GB2312" w:hint="eastAsia"/>
                <w:sz w:val="24"/>
              </w:rPr>
              <w:t>食品安全与</w:t>
            </w:r>
            <w:r w:rsidR="001865CB">
              <w:rPr>
                <w:rFonts w:eastAsia="仿宋_GB2312" w:hint="eastAsia"/>
                <w:sz w:val="24"/>
              </w:rPr>
              <w:t>健康中国战略</w:t>
            </w:r>
            <w:r>
              <w:rPr>
                <w:rFonts w:eastAsia="仿宋_GB2312" w:hint="eastAsia"/>
                <w:sz w:val="24"/>
              </w:rPr>
              <w:t>需求，在国家自然科学基金</w:t>
            </w:r>
            <w:r w:rsidR="001865CB">
              <w:rPr>
                <w:rFonts w:eastAsia="仿宋_GB2312" w:hint="eastAsia"/>
                <w:sz w:val="24"/>
              </w:rPr>
              <w:t>、浙江省杰出青年基金</w:t>
            </w:r>
            <w:r>
              <w:rPr>
                <w:rFonts w:eastAsia="仿宋_GB2312" w:hint="eastAsia"/>
                <w:sz w:val="24"/>
              </w:rPr>
              <w:t>等项目支持下，开展了</w:t>
            </w:r>
            <w:r w:rsidR="001865CB" w:rsidRPr="001865CB">
              <w:rPr>
                <w:rFonts w:eastAsia="仿宋_GB2312" w:hint="eastAsia"/>
                <w:sz w:val="24"/>
              </w:rPr>
              <w:t>食品中伴生危害物的氧化应激损伤机理及其防控机制</w:t>
            </w:r>
            <w:r w:rsidR="001865CB">
              <w:rPr>
                <w:rFonts w:eastAsia="仿宋_GB2312" w:hint="eastAsia"/>
                <w:sz w:val="24"/>
              </w:rPr>
              <w:t>研究</w:t>
            </w:r>
            <w:r>
              <w:rPr>
                <w:rFonts w:eastAsia="仿宋_GB2312" w:hint="eastAsia"/>
                <w:sz w:val="24"/>
              </w:rPr>
              <w:t>。</w:t>
            </w:r>
            <w:r w:rsidR="001865CB" w:rsidRPr="001865CB">
              <w:rPr>
                <w:rFonts w:eastAsia="仿宋_GB2312" w:hint="eastAsia"/>
                <w:sz w:val="24"/>
              </w:rPr>
              <w:t>揭示了食品中常见伴生危害物（</w:t>
            </w:r>
            <w:r w:rsidR="001865CB">
              <w:rPr>
                <w:rFonts w:eastAsia="仿宋_GB2312" w:hint="eastAsia"/>
                <w:sz w:val="24"/>
              </w:rPr>
              <w:t>氨基甲酸乙酯、丙烯酰胺、棕榈酸</w:t>
            </w:r>
            <w:r w:rsidR="00356D2B">
              <w:rPr>
                <w:rFonts w:eastAsia="仿宋_GB2312" w:hint="eastAsia"/>
                <w:sz w:val="24"/>
              </w:rPr>
              <w:t>等</w:t>
            </w:r>
            <w:r w:rsidR="001865CB" w:rsidRPr="001865CB">
              <w:rPr>
                <w:rFonts w:eastAsia="仿宋_GB2312" w:hint="eastAsia"/>
                <w:sz w:val="24"/>
              </w:rPr>
              <w:t>）引发</w:t>
            </w:r>
            <w:r w:rsidR="001865CB">
              <w:rPr>
                <w:rFonts w:eastAsia="仿宋_GB2312" w:hint="eastAsia"/>
                <w:sz w:val="24"/>
              </w:rPr>
              <w:t>细胞</w:t>
            </w:r>
            <w:r w:rsidR="001865CB" w:rsidRPr="001865CB">
              <w:rPr>
                <w:rFonts w:eastAsia="仿宋_GB2312" w:hint="eastAsia"/>
                <w:sz w:val="24"/>
              </w:rPr>
              <w:t>氧化应激</w:t>
            </w:r>
            <w:r w:rsidR="007522D6">
              <w:rPr>
                <w:rFonts w:eastAsia="仿宋_GB2312" w:hint="eastAsia"/>
                <w:sz w:val="24"/>
              </w:rPr>
              <w:t>损伤</w:t>
            </w:r>
            <w:r w:rsidR="001865CB" w:rsidRPr="001865CB">
              <w:rPr>
                <w:rFonts w:eastAsia="仿宋_GB2312" w:hint="eastAsia"/>
                <w:sz w:val="24"/>
              </w:rPr>
              <w:t>的毒性效应，</w:t>
            </w:r>
            <w:r w:rsidR="001865CB" w:rsidRPr="007522D6">
              <w:rPr>
                <w:rFonts w:eastAsia="仿宋_GB2312" w:hint="eastAsia"/>
                <w:sz w:val="24"/>
              </w:rPr>
              <w:t>阐明了</w:t>
            </w:r>
            <w:r w:rsidR="005F0CF3" w:rsidRPr="007522D6">
              <w:rPr>
                <w:rFonts w:eastAsia="仿宋_GB2312" w:hint="eastAsia"/>
                <w:sz w:val="24"/>
              </w:rPr>
              <w:t>天然食品</w:t>
            </w:r>
            <w:r w:rsidR="001865CB" w:rsidRPr="007522D6">
              <w:rPr>
                <w:rFonts w:eastAsia="仿宋_GB2312" w:hint="eastAsia"/>
                <w:sz w:val="24"/>
              </w:rPr>
              <w:t>功能因子及其模拟胃肠消化</w:t>
            </w:r>
            <w:proofErr w:type="gramStart"/>
            <w:r w:rsidR="001865CB" w:rsidRPr="007522D6">
              <w:rPr>
                <w:rFonts w:eastAsia="仿宋_GB2312" w:hint="eastAsia"/>
                <w:sz w:val="24"/>
              </w:rPr>
              <w:t>物改善</w:t>
            </w:r>
            <w:proofErr w:type="gramEnd"/>
            <w:r w:rsidR="001865CB" w:rsidRPr="007522D6">
              <w:rPr>
                <w:rFonts w:eastAsia="仿宋_GB2312" w:hint="eastAsia"/>
                <w:sz w:val="24"/>
              </w:rPr>
              <w:t>食品伴生</w:t>
            </w:r>
            <w:r w:rsidR="001865CB">
              <w:rPr>
                <w:rFonts w:eastAsia="仿宋_GB2312" w:hint="eastAsia"/>
                <w:sz w:val="24"/>
              </w:rPr>
              <w:t>危害物诱导氧化应激损伤</w:t>
            </w:r>
            <w:r>
              <w:rPr>
                <w:rFonts w:eastAsia="仿宋_GB2312" w:hint="eastAsia"/>
                <w:sz w:val="24"/>
              </w:rPr>
              <w:t>的分子机理，为</w:t>
            </w:r>
            <w:r w:rsidR="001865CB" w:rsidRPr="001865CB">
              <w:rPr>
                <w:rFonts w:eastAsia="仿宋_GB2312" w:hint="eastAsia"/>
                <w:sz w:val="24"/>
              </w:rPr>
              <w:t>防控食品伴生危害物引发的毒性效应提供理论依据与新靶点</w:t>
            </w:r>
            <w:r>
              <w:rPr>
                <w:rFonts w:eastAsia="仿宋_GB2312" w:hint="eastAsia"/>
                <w:sz w:val="24"/>
              </w:rPr>
              <w:t>。研究成果</w:t>
            </w:r>
            <w:r>
              <w:rPr>
                <w:rFonts w:eastAsia="仿宋_GB2312" w:hint="eastAsia"/>
                <w:sz w:val="24"/>
              </w:rPr>
              <w:lastRenderedPageBreak/>
              <w:t>具有原创性，获得了国内外同行的高度评价，总体处国际领先水平。</w:t>
            </w:r>
          </w:p>
          <w:p w:rsidR="00130878" w:rsidRDefault="008C0034" w:rsidP="00190135">
            <w:pPr>
              <w:spacing w:line="440" w:lineRule="exact"/>
              <w:ind w:firstLineChars="200" w:firstLine="480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sz w:val="24"/>
              </w:rPr>
              <w:t>经审阅，申请书及附件真实有效，相关栏目填写符合浙江省科技奖励要求，按规定进行公示无异议。</w:t>
            </w:r>
            <w:r>
              <w:rPr>
                <w:rFonts w:eastAsia="仿宋_GB2312" w:hint="eastAsia"/>
                <w:b/>
                <w:sz w:val="24"/>
              </w:rPr>
              <w:t>提名该成果为省自然科学奖一等奖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</w:tr>
    </w:tbl>
    <w:p w:rsidR="00130878" w:rsidRDefault="0013087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 w:rsidR="001308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0878" w:rsidRDefault="008C0034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7103"/>
        <w:gridCol w:w="3352"/>
        <w:gridCol w:w="2231"/>
      </w:tblGrid>
      <w:tr w:rsidR="00130878">
        <w:trPr>
          <w:jc w:val="center"/>
        </w:trPr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878" w:rsidRDefault="008C0034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878" w:rsidRDefault="008C0034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论文专著名称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刊名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878" w:rsidRDefault="008C0034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年卷页码（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xx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xx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卷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xx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页）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878" w:rsidRDefault="008C0034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发表时间（年、月）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1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1" w:name="OLE_LINK20"/>
            <w:bookmarkStart w:id="2" w:name="OLE_LINK21"/>
            <w:r w:rsidRPr="00403A01">
              <w:rPr>
                <w:szCs w:val="21"/>
              </w:rPr>
              <w:t>Transcription factor EB (TFEB)-mediated autophagy protects against ethyl carbamate-induced cytotoxicity</w:t>
            </w:r>
            <w:bookmarkEnd w:id="1"/>
            <w:bookmarkEnd w:id="2"/>
            <w:r w:rsidRPr="00403A01">
              <w:rPr>
                <w:rFonts w:hint="eastAsia"/>
                <w:szCs w:val="21"/>
              </w:rPr>
              <w:t>/</w:t>
            </w:r>
            <w:r w:rsidRPr="00403A01">
              <w:rPr>
                <w:szCs w:val="21"/>
              </w:rPr>
              <w:t>Journal of Hazardous Materials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3A43A3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2019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364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卷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281-292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201</w:t>
            </w:r>
            <w:r w:rsidR="007F2064">
              <w:rPr>
                <w:rFonts w:ascii="Times New Roman"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 w:rsidR="007F2064">
              <w:rPr>
                <w:rFonts w:ascii="Times New Roman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2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3" w:name="OLE_LINK2"/>
            <w:bookmarkStart w:id="4" w:name="OLE_LINK3"/>
            <w:bookmarkStart w:id="5" w:name="OLE_LINK13"/>
            <w:r w:rsidRPr="00403A01">
              <w:rPr>
                <w:szCs w:val="21"/>
              </w:rPr>
              <w:t>Comparison of the protective effect of black and white mulberry against ethyl carbamate-induced cytotoxicity and oxidative damage</w:t>
            </w:r>
            <w:bookmarkStart w:id="6" w:name="OLE_LINK12"/>
            <w:bookmarkStart w:id="7" w:name="OLE_LINK11"/>
            <w:bookmarkEnd w:id="3"/>
            <w:bookmarkEnd w:id="4"/>
            <w:bookmarkEnd w:id="5"/>
            <w:r w:rsidRPr="00403A01">
              <w:rPr>
                <w:szCs w:val="21"/>
              </w:rPr>
              <w:t>/Food Chemistry</w:t>
            </w:r>
            <w:bookmarkEnd w:id="6"/>
            <w:bookmarkEnd w:id="7"/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3A43A3" w:rsidRDefault="003A43A3" w:rsidP="001865CB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2018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>243</w:t>
            </w:r>
            <w:r>
              <w:rPr>
                <w:rFonts w:hint="eastAsia"/>
                <w:color w:val="000000" w:themeColor="text1"/>
                <w:szCs w:val="21"/>
              </w:rPr>
              <w:t>卷</w:t>
            </w:r>
            <w:r>
              <w:rPr>
                <w:color w:val="000000" w:themeColor="text1"/>
                <w:szCs w:val="21"/>
              </w:rPr>
              <w:t>65-73</w:t>
            </w:r>
            <w:r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color w:val="000000" w:themeColor="text1"/>
                <w:szCs w:val="21"/>
              </w:rPr>
              <w:t>01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8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</w:t>
            </w:r>
            <w:r>
              <w:rPr>
                <w:rFonts w:eastAsia="仿宋_GB2312"/>
                <w:color w:val="000000" w:themeColor="text1"/>
                <w:szCs w:val="21"/>
              </w:rPr>
              <w:t>3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月</w:t>
            </w:r>
          </w:p>
        </w:tc>
      </w:tr>
      <w:tr w:rsidR="001865CB">
        <w:trPr>
          <w:trHeight w:val="717"/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3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8" w:name="OLE_LINK10"/>
            <w:r w:rsidRPr="00403A01">
              <w:rPr>
                <w:szCs w:val="21"/>
              </w:rPr>
              <w:t>Ethyl carbamate: An emerging food and environmental toxicant</w:t>
            </w:r>
            <w:bookmarkEnd w:id="8"/>
            <w:r w:rsidRPr="00403A01">
              <w:rPr>
                <w:szCs w:val="21"/>
              </w:rPr>
              <w:t>/Food Chemistry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3A43A3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201</w:t>
            </w:r>
            <w:r w:rsidRPr="003A43A3">
              <w:rPr>
                <w:rFonts w:asci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 w:rsidRPr="003A43A3">
              <w:rPr>
                <w:rFonts w:ascii="Times New Roman"/>
                <w:color w:val="000000" w:themeColor="text1"/>
                <w:sz w:val="21"/>
                <w:szCs w:val="21"/>
              </w:rPr>
              <w:t>24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卷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312-321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201</w:t>
            </w:r>
            <w:r w:rsidR="003A43A3">
              <w:rPr>
                <w:rFonts w:asci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年</w:t>
            </w:r>
            <w:r w:rsidR="003A43A3">
              <w:rPr>
                <w:rFonts w:ascii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4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r w:rsidRPr="00403A01">
              <w:rPr>
                <w:szCs w:val="21"/>
              </w:rPr>
              <w:t>Blackberry subjected to in vitro gastrointestinal digestion affords protection against Ethyl Carbamate-induced cytotoxicity/Food Chemistry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3A43A3" w:rsidRDefault="003A43A3" w:rsidP="001865CB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2016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>212</w:t>
            </w:r>
            <w:r>
              <w:rPr>
                <w:rFonts w:hint="eastAsia"/>
                <w:color w:val="000000" w:themeColor="text1"/>
                <w:szCs w:val="21"/>
              </w:rPr>
              <w:t>卷</w:t>
            </w:r>
            <w:r>
              <w:rPr>
                <w:color w:val="000000" w:themeColor="text1"/>
                <w:szCs w:val="21"/>
              </w:rPr>
              <w:t>620-627</w:t>
            </w:r>
            <w:r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color w:val="000000" w:themeColor="text1"/>
                <w:szCs w:val="21"/>
              </w:rPr>
              <w:t>01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6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2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5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9" w:name="OLE_LINK4"/>
            <w:bookmarkStart w:id="10" w:name="OLE_LINK5"/>
            <w:r w:rsidRPr="00403A01">
              <w:rPr>
                <w:szCs w:val="21"/>
              </w:rPr>
              <w:t>Protective property of mulberry digest against oxidative stress - A potential approach to ameliorate dietary acrylamide-induced cytotoxicity</w:t>
            </w:r>
            <w:bookmarkEnd w:id="9"/>
            <w:bookmarkEnd w:id="10"/>
            <w:r w:rsidRPr="00403A01">
              <w:rPr>
                <w:szCs w:val="21"/>
              </w:rPr>
              <w:t>/Food Chemistry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3A43A3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2017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 w:rsidRPr="003A43A3">
              <w:rPr>
                <w:rFonts w:ascii="Times New Roman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30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卷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306-315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01</w:t>
            </w:r>
            <w:r w:rsidR="003A43A3">
              <w:rPr>
                <w:rFonts w:ascii="Times New Roman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 w:rsidR="003A43A3">
              <w:rPr>
                <w:rFonts w:ascii="Times New Roman"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6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11" w:name="OLE_LINK6"/>
            <w:bookmarkStart w:id="12" w:name="OLE_LINK7"/>
            <w:r w:rsidRPr="00403A01">
              <w:rPr>
                <w:szCs w:val="21"/>
              </w:rPr>
              <w:t xml:space="preserve">Systematic evaluation of phenolic compounds and protective capacity of a new mulberry cultivar J33 against palmitic acid-induced </w:t>
            </w:r>
            <w:proofErr w:type="spellStart"/>
            <w:r w:rsidRPr="00403A01">
              <w:rPr>
                <w:szCs w:val="21"/>
              </w:rPr>
              <w:t>lipotoxicity</w:t>
            </w:r>
            <w:proofErr w:type="spellEnd"/>
            <w:r w:rsidRPr="00403A01">
              <w:rPr>
                <w:szCs w:val="21"/>
              </w:rPr>
              <w:t xml:space="preserve"> using a simulated digestion method</w:t>
            </w:r>
            <w:bookmarkEnd w:id="11"/>
            <w:bookmarkEnd w:id="12"/>
            <w:r w:rsidRPr="00403A01">
              <w:rPr>
                <w:szCs w:val="21"/>
              </w:rPr>
              <w:t>/Food Chemistry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3A43A3" w:rsidRDefault="003A43A3" w:rsidP="001865CB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2018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>258</w:t>
            </w:r>
            <w:r>
              <w:rPr>
                <w:rFonts w:hint="eastAsia"/>
                <w:color w:val="000000" w:themeColor="text1"/>
                <w:szCs w:val="21"/>
              </w:rPr>
              <w:t>卷</w:t>
            </w:r>
            <w:r>
              <w:rPr>
                <w:color w:val="000000" w:themeColor="text1"/>
                <w:szCs w:val="21"/>
              </w:rPr>
              <w:t>43-55</w:t>
            </w:r>
            <w:r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color w:val="000000" w:themeColor="text1"/>
                <w:szCs w:val="21"/>
              </w:rPr>
              <w:t>018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8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7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bookmarkStart w:id="13" w:name="OLE_LINK8"/>
            <w:bookmarkStart w:id="14" w:name="OLE_LINK9"/>
            <w:r w:rsidRPr="00403A01">
              <w:rPr>
                <w:szCs w:val="21"/>
              </w:rPr>
              <w:t xml:space="preserve">Polysaccharide from </w:t>
            </w:r>
            <w:r>
              <w:rPr>
                <w:szCs w:val="21"/>
              </w:rPr>
              <w:t>m</w:t>
            </w:r>
            <w:r w:rsidRPr="00403A01">
              <w:rPr>
                <w:szCs w:val="21"/>
              </w:rPr>
              <w:t xml:space="preserve">ulberry </w:t>
            </w:r>
            <w:r>
              <w:rPr>
                <w:szCs w:val="21"/>
              </w:rPr>
              <w:t>f</w:t>
            </w:r>
            <w:r w:rsidRPr="00403A01">
              <w:rPr>
                <w:szCs w:val="21"/>
              </w:rPr>
              <w:t>ruit (</w:t>
            </w:r>
            <w:proofErr w:type="spellStart"/>
            <w:r w:rsidRPr="00403A01">
              <w:rPr>
                <w:szCs w:val="21"/>
              </w:rPr>
              <w:t>Morus</w:t>
            </w:r>
            <w:proofErr w:type="spellEnd"/>
            <w:r w:rsidRPr="00403A01">
              <w:rPr>
                <w:szCs w:val="21"/>
              </w:rPr>
              <w:t xml:space="preserve"> alba L.) </w:t>
            </w:r>
            <w:r>
              <w:rPr>
                <w:szCs w:val="21"/>
              </w:rPr>
              <w:t>p</w:t>
            </w:r>
            <w:r w:rsidRPr="00403A01">
              <w:rPr>
                <w:szCs w:val="21"/>
              </w:rPr>
              <w:t xml:space="preserve">rotects against </w:t>
            </w:r>
            <w:r>
              <w:rPr>
                <w:szCs w:val="21"/>
              </w:rPr>
              <w:t>p</w:t>
            </w:r>
            <w:r w:rsidRPr="00403A01">
              <w:rPr>
                <w:szCs w:val="21"/>
              </w:rPr>
              <w:t>almitic-</w:t>
            </w:r>
            <w:r>
              <w:rPr>
                <w:szCs w:val="21"/>
              </w:rPr>
              <w:t>a</w:t>
            </w:r>
            <w:r w:rsidRPr="00403A01">
              <w:rPr>
                <w:szCs w:val="21"/>
              </w:rPr>
              <w:t>cid-</w:t>
            </w:r>
            <w:r>
              <w:rPr>
                <w:szCs w:val="21"/>
              </w:rPr>
              <w:t>i</w:t>
            </w:r>
            <w:r w:rsidRPr="00403A01">
              <w:rPr>
                <w:szCs w:val="21"/>
              </w:rPr>
              <w:t xml:space="preserve">nduced </w:t>
            </w:r>
            <w:r>
              <w:rPr>
                <w:szCs w:val="21"/>
              </w:rPr>
              <w:t>h</w:t>
            </w:r>
            <w:r w:rsidRPr="00403A01">
              <w:rPr>
                <w:szCs w:val="21"/>
              </w:rPr>
              <w:t xml:space="preserve">epatocyte </w:t>
            </w:r>
            <w:proofErr w:type="spellStart"/>
            <w:r>
              <w:rPr>
                <w:szCs w:val="21"/>
              </w:rPr>
              <w:t>l</w:t>
            </w:r>
            <w:r w:rsidRPr="00403A01">
              <w:rPr>
                <w:szCs w:val="21"/>
              </w:rPr>
              <w:t>ipotoxicity</w:t>
            </w:r>
            <w:proofErr w:type="spellEnd"/>
            <w:r w:rsidRPr="00403A01">
              <w:rPr>
                <w:szCs w:val="21"/>
              </w:rPr>
              <w:t xml:space="preserve"> by </w:t>
            </w:r>
            <w:r>
              <w:rPr>
                <w:szCs w:val="21"/>
              </w:rPr>
              <w:t>a</w:t>
            </w:r>
            <w:r w:rsidRPr="00403A01">
              <w:rPr>
                <w:szCs w:val="21"/>
              </w:rPr>
              <w:t xml:space="preserve">ctivating the Nrf2/ARE </w:t>
            </w:r>
            <w:r>
              <w:rPr>
                <w:szCs w:val="21"/>
              </w:rPr>
              <w:t>s</w:t>
            </w:r>
            <w:r w:rsidRPr="00403A01">
              <w:rPr>
                <w:szCs w:val="21"/>
              </w:rPr>
              <w:t xml:space="preserve">ignaling </w:t>
            </w:r>
            <w:r>
              <w:rPr>
                <w:szCs w:val="21"/>
              </w:rPr>
              <w:t>p</w:t>
            </w:r>
            <w:r w:rsidRPr="00403A01">
              <w:rPr>
                <w:szCs w:val="21"/>
              </w:rPr>
              <w:t>athway</w:t>
            </w:r>
            <w:bookmarkEnd w:id="13"/>
            <w:bookmarkEnd w:id="14"/>
            <w:r w:rsidRPr="00403A01">
              <w:rPr>
                <w:rFonts w:hint="eastAsia"/>
                <w:szCs w:val="21"/>
              </w:rPr>
              <w:t>/</w:t>
            </w:r>
            <w:r w:rsidRPr="00403A01">
              <w:rPr>
                <w:szCs w:val="21"/>
              </w:rPr>
              <w:t xml:space="preserve">Journal of </w:t>
            </w:r>
            <w:r>
              <w:rPr>
                <w:szCs w:val="21"/>
              </w:rPr>
              <w:t>a</w:t>
            </w:r>
            <w:r w:rsidRPr="00403A01">
              <w:rPr>
                <w:szCs w:val="21"/>
              </w:rPr>
              <w:t xml:space="preserve">gricultural and </w:t>
            </w:r>
            <w:r>
              <w:rPr>
                <w:szCs w:val="21"/>
              </w:rPr>
              <w:t>f</w:t>
            </w:r>
            <w:r w:rsidRPr="00403A01">
              <w:rPr>
                <w:szCs w:val="21"/>
              </w:rPr>
              <w:t xml:space="preserve">ood </w:t>
            </w:r>
            <w:r>
              <w:rPr>
                <w:szCs w:val="21"/>
              </w:rPr>
              <w:t>c</w:t>
            </w:r>
            <w:r w:rsidRPr="00403A01">
              <w:rPr>
                <w:szCs w:val="21"/>
              </w:rPr>
              <w:t>hemistry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3A43A3" w:rsidRDefault="003A43A3" w:rsidP="001865CB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>68</w:t>
            </w:r>
            <w:r>
              <w:rPr>
                <w:rFonts w:hint="eastAsia"/>
                <w:color w:val="000000" w:themeColor="text1"/>
                <w:szCs w:val="21"/>
              </w:rPr>
              <w:t>卷</w:t>
            </w:r>
            <w:r w:rsidRPr="003A43A3">
              <w:rPr>
                <w:color w:val="000000" w:themeColor="text1"/>
                <w:szCs w:val="21"/>
              </w:rPr>
              <w:t>13016-13024</w:t>
            </w:r>
            <w:r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color w:val="000000" w:themeColor="text1"/>
                <w:szCs w:val="21"/>
              </w:rPr>
              <w:t>0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11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月</w:t>
            </w:r>
          </w:p>
        </w:tc>
      </w:tr>
      <w:tr w:rsidR="001865CB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jc w:val="center"/>
              <w:rPr>
                <w:rFonts w:eastAsia="仿宋_GB2312"/>
                <w:szCs w:val="21"/>
              </w:rPr>
            </w:pPr>
            <w:r w:rsidRPr="00403A01">
              <w:rPr>
                <w:rFonts w:eastAsia="仿宋_GB2312"/>
                <w:szCs w:val="21"/>
              </w:rPr>
              <w:t>8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403A01" w:rsidRDefault="001865CB" w:rsidP="001865CB">
            <w:pPr>
              <w:rPr>
                <w:rFonts w:eastAsia="仿宋_GB2312"/>
                <w:szCs w:val="21"/>
              </w:rPr>
            </w:pPr>
            <w:r w:rsidRPr="00403A01">
              <w:rPr>
                <w:szCs w:val="21"/>
              </w:rPr>
              <w:t>Malvidin-3-O-arabinoside ameliorates ethyl carbamate-induced oxidative damage by stimulating AMPK-mediated autophagy/Food &amp; Function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Pr="003A43A3" w:rsidRDefault="003A43A3" w:rsidP="001865CB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Cs w:val="21"/>
              </w:rPr>
              <w:t>卷</w:t>
            </w:r>
            <w:r w:rsidRPr="003A43A3">
              <w:rPr>
                <w:color w:val="000000" w:themeColor="text1"/>
                <w:szCs w:val="21"/>
              </w:rPr>
              <w:t>10317-10328</w:t>
            </w:r>
            <w:r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CB" w:rsidRDefault="001865CB" w:rsidP="001865CB">
            <w:pPr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color w:val="000000" w:themeColor="text1"/>
                <w:szCs w:val="21"/>
              </w:rPr>
              <w:t>0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年</w:t>
            </w:r>
            <w:r w:rsidR="003A43A3">
              <w:rPr>
                <w:rFonts w:eastAsia="仿宋_GB2312"/>
                <w:color w:val="000000" w:themeColor="text1"/>
                <w:szCs w:val="21"/>
              </w:rPr>
              <w:t>12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月</w:t>
            </w:r>
          </w:p>
        </w:tc>
      </w:tr>
    </w:tbl>
    <w:p w:rsidR="00130878" w:rsidRDefault="0013087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130878" w:rsidRDefault="0013087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130878" w:rsidRDefault="0013087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130878" w:rsidRDefault="008C0034">
      <w:pPr>
        <w:jc w:val="center"/>
        <w:rPr>
          <w:rFonts w:eastAsia="黑体"/>
          <w:sz w:val="32"/>
          <w:szCs w:val="32"/>
        </w:rPr>
      </w:pPr>
      <w:bookmarkStart w:id="15" w:name="_Hlk95815157"/>
      <w:r>
        <w:rPr>
          <w:rFonts w:eastAsia="黑体"/>
          <w:sz w:val="32"/>
          <w:szCs w:val="32"/>
        </w:rPr>
        <w:t>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  <w:bookmarkEnd w:id="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696"/>
        <w:gridCol w:w="1176"/>
        <w:gridCol w:w="2136"/>
      </w:tblGrid>
      <w:tr w:rsidR="00130878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:rsidR="00130878" w:rsidRDefault="008C0034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</w:tr>
      <w:tr w:rsidR="00130878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7F2064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F2064">
              <w:rPr>
                <w:rFonts w:eastAsia="仿宋_GB2312" w:hint="eastAsia"/>
                <w:sz w:val="24"/>
                <w:szCs w:val="21"/>
              </w:rPr>
              <w:t>一种黑莓提取物及其在制备肝脏细胞氧化损伤抑制剂中的应用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</w:t>
            </w:r>
            <w:r w:rsidR="007F2064" w:rsidRPr="007F2064">
              <w:rPr>
                <w:rFonts w:eastAsia="仿宋_GB2312"/>
                <w:sz w:val="24"/>
                <w:szCs w:val="24"/>
              </w:rPr>
              <w:t>201510018395.2</w:t>
            </w:r>
          </w:p>
        </w:tc>
      </w:tr>
      <w:tr w:rsidR="00130878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7F2064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F2064">
              <w:rPr>
                <w:rFonts w:eastAsia="仿宋_GB2312" w:hint="eastAsia"/>
                <w:sz w:val="24"/>
                <w:szCs w:val="24"/>
              </w:rPr>
              <w:t>一种二氢杨梅素在制备肝脏细胞氧化损伤的抑制剂中的应用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</w:t>
            </w:r>
            <w:r w:rsidR="007F2064" w:rsidRPr="007F2064">
              <w:rPr>
                <w:rFonts w:eastAsia="仿宋_GB2312"/>
                <w:sz w:val="24"/>
                <w:szCs w:val="24"/>
              </w:rPr>
              <w:t>201410398304.8</w:t>
            </w:r>
          </w:p>
        </w:tc>
      </w:tr>
      <w:tr w:rsidR="00130878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7F2064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F2064">
              <w:rPr>
                <w:rFonts w:eastAsia="仿宋_GB2312" w:hint="eastAsia"/>
                <w:sz w:val="24"/>
                <w:szCs w:val="24"/>
              </w:rPr>
              <w:t>一种分离制备矮牵牛素</w:t>
            </w:r>
            <w:r w:rsidRPr="007F2064">
              <w:rPr>
                <w:rFonts w:eastAsia="仿宋_GB2312" w:hint="eastAsia"/>
                <w:sz w:val="24"/>
                <w:szCs w:val="24"/>
              </w:rPr>
              <w:t>-3-O-</w:t>
            </w:r>
            <w:r w:rsidRPr="007F2064">
              <w:rPr>
                <w:rFonts w:eastAsia="仿宋_GB2312" w:hint="eastAsia"/>
                <w:sz w:val="24"/>
                <w:szCs w:val="24"/>
              </w:rPr>
              <w:t>葡萄糖苷的方法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</w:t>
            </w:r>
            <w:r w:rsidR="007F2064" w:rsidRPr="007F2064">
              <w:rPr>
                <w:rFonts w:eastAsia="仿宋_GB2312"/>
                <w:sz w:val="24"/>
                <w:szCs w:val="24"/>
              </w:rPr>
              <w:t>201810549124.3</w:t>
            </w:r>
          </w:p>
        </w:tc>
      </w:tr>
      <w:tr w:rsidR="00130878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7F2064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F2064">
              <w:rPr>
                <w:rFonts w:eastAsia="仿宋_GB2312" w:hint="eastAsia"/>
                <w:sz w:val="24"/>
                <w:szCs w:val="24"/>
              </w:rPr>
              <w:t>一种分离制备矮牵牛素</w:t>
            </w:r>
            <w:r w:rsidRPr="007F2064">
              <w:rPr>
                <w:rFonts w:eastAsia="仿宋_GB2312" w:hint="eastAsia"/>
                <w:sz w:val="24"/>
                <w:szCs w:val="24"/>
              </w:rPr>
              <w:t>-3-O-(6-O-</w:t>
            </w:r>
            <w:r w:rsidRPr="007F2064">
              <w:rPr>
                <w:rFonts w:eastAsia="仿宋_GB2312" w:hint="eastAsia"/>
                <w:sz w:val="24"/>
                <w:szCs w:val="24"/>
              </w:rPr>
              <w:t>对香豆酰</w:t>
            </w:r>
            <w:r w:rsidRPr="007F2064">
              <w:rPr>
                <w:rFonts w:eastAsia="仿宋_GB2312" w:hint="eastAsia"/>
                <w:sz w:val="24"/>
                <w:szCs w:val="24"/>
              </w:rPr>
              <w:t>)</w:t>
            </w:r>
            <w:r w:rsidRPr="007F2064">
              <w:rPr>
                <w:rFonts w:eastAsia="仿宋_GB2312" w:hint="eastAsia"/>
                <w:sz w:val="24"/>
                <w:szCs w:val="24"/>
              </w:rPr>
              <w:t>葡萄糖苷的方法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</w:t>
            </w:r>
            <w:r w:rsidR="007F2064" w:rsidRPr="007F2064">
              <w:rPr>
                <w:sz w:val="24"/>
                <w:szCs w:val="24"/>
              </w:rPr>
              <w:t>202010961037.6</w:t>
            </w:r>
          </w:p>
        </w:tc>
      </w:tr>
      <w:tr w:rsidR="00130878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7F2064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F2064">
              <w:rPr>
                <w:rFonts w:eastAsia="仿宋_GB2312" w:hint="eastAsia"/>
                <w:sz w:val="24"/>
                <w:szCs w:val="24"/>
              </w:rPr>
              <w:t>一种分离制备酰化花色苷的方法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78" w:rsidRDefault="008C003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</w:t>
            </w:r>
            <w:r w:rsidR="007F2064" w:rsidRPr="007F2064">
              <w:rPr>
                <w:rFonts w:eastAsia="仿宋_GB2312"/>
                <w:sz w:val="24"/>
                <w:szCs w:val="24"/>
              </w:rPr>
              <w:t>202010961038.0</w:t>
            </w:r>
          </w:p>
        </w:tc>
      </w:tr>
    </w:tbl>
    <w:p w:rsidR="00130878" w:rsidRDefault="0013087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1308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2D" w:rsidRDefault="00237B2D" w:rsidP="007F41D0">
      <w:r>
        <w:separator/>
      </w:r>
    </w:p>
  </w:endnote>
  <w:endnote w:type="continuationSeparator" w:id="0">
    <w:p w:rsidR="00237B2D" w:rsidRDefault="00237B2D" w:rsidP="007F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2D" w:rsidRDefault="00237B2D" w:rsidP="007F41D0">
      <w:r>
        <w:separator/>
      </w:r>
    </w:p>
  </w:footnote>
  <w:footnote w:type="continuationSeparator" w:id="0">
    <w:p w:rsidR="00237B2D" w:rsidRDefault="00237B2D" w:rsidP="007F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C9DA"/>
    <w:multiLevelType w:val="singleLevel"/>
    <w:tmpl w:val="33AEC9D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3OTM5M2NlYWJlMzA1MjdkMmM4NTcxOTlkZjAxOTYifQ=="/>
  </w:docVars>
  <w:rsids>
    <w:rsidRoot w:val="007A378A"/>
    <w:rsid w:val="000E735D"/>
    <w:rsid w:val="00130878"/>
    <w:rsid w:val="001865CB"/>
    <w:rsid w:val="00190135"/>
    <w:rsid w:val="001B121B"/>
    <w:rsid w:val="001F3577"/>
    <w:rsid w:val="00237B2D"/>
    <w:rsid w:val="002643F3"/>
    <w:rsid w:val="00270F4E"/>
    <w:rsid w:val="0028067C"/>
    <w:rsid w:val="00285AEF"/>
    <w:rsid w:val="002E4924"/>
    <w:rsid w:val="002F3190"/>
    <w:rsid w:val="00320839"/>
    <w:rsid w:val="00346B31"/>
    <w:rsid w:val="00356D2B"/>
    <w:rsid w:val="003A43A3"/>
    <w:rsid w:val="004279E9"/>
    <w:rsid w:val="00453823"/>
    <w:rsid w:val="004C3CCF"/>
    <w:rsid w:val="004F29F0"/>
    <w:rsid w:val="00527812"/>
    <w:rsid w:val="00535429"/>
    <w:rsid w:val="0053784C"/>
    <w:rsid w:val="005956FF"/>
    <w:rsid w:val="005F0CF3"/>
    <w:rsid w:val="006651CA"/>
    <w:rsid w:val="006A711A"/>
    <w:rsid w:val="006E762E"/>
    <w:rsid w:val="00742D68"/>
    <w:rsid w:val="007522D6"/>
    <w:rsid w:val="00797869"/>
    <w:rsid w:val="007A378A"/>
    <w:rsid w:val="007A43AF"/>
    <w:rsid w:val="007F2064"/>
    <w:rsid w:val="007F41D0"/>
    <w:rsid w:val="00856C4E"/>
    <w:rsid w:val="0086526C"/>
    <w:rsid w:val="008C0034"/>
    <w:rsid w:val="008D1015"/>
    <w:rsid w:val="008E4395"/>
    <w:rsid w:val="00973275"/>
    <w:rsid w:val="00A129CD"/>
    <w:rsid w:val="00AD6CAD"/>
    <w:rsid w:val="00AF4855"/>
    <w:rsid w:val="00B272D7"/>
    <w:rsid w:val="00B87749"/>
    <w:rsid w:val="00B933D0"/>
    <w:rsid w:val="00BA7F4E"/>
    <w:rsid w:val="00C03F73"/>
    <w:rsid w:val="00C34A16"/>
    <w:rsid w:val="00D3011A"/>
    <w:rsid w:val="00D35475"/>
    <w:rsid w:val="00D55F83"/>
    <w:rsid w:val="00DA7DF2"/>
    <w:rsid w:val="00DB10C9"/>
    <w:rsid w:val="00DB2706"/>
    <w:rsid w:val="00DE4943"/>
    <w:rsid w:val="00E178A4"/>
    <w:rsid w:val="00E74C2D"/>
    <w:rsid w:val="00F87E65"/>
    <w:rsid w:val="00FE47B0"/>
    <w:rsid w:val="057C274B"/>
    <w:rsid w:val="25DE1EE7"/>
    <w:rsid w:val="369115A4"/>
    <w:rsid w:val="55D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8685B"/>
  <w15:docId w15:val="{2B1E1BFF-7FC3-48E9-B3B3-B9F915B5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720"/>
      </w:tabs>
      <w:spacing w:after="100" w:afterAutospacing="1" w:line="360" w:lineRule="auto"/>
      <w:jc w:val="left"/>
    </w:pPr>
    <w:rPr>
      <w:rFonts w:ascii="仿宋_GB2312" w:eastAsia="仿宋_GB2312" w:hAnsi="宋体"/>
      <w:b/>
      <w:bCs/>
      <w:kern w:val="0"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FF2-ACA1-46BA-818D-FEE6B783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zjuchenwei</cp:lastModifiedBy>
  <cp:revision>7</cp:revision>
  <dcterms:created xsi:type="dcterms:W3CDTF">2024-08-06T09:28:00Z</dcterms:created>
  <dcterms:modified xsi:type="dcterms:W3CDTF">2024-08-07T13:45:00Z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429CDC908D214B5197F99C02E5A1D624</vt:lpwstr>
  </property>
</Properties>
</file>