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（单位提名）</w:t>
      </w:r>
    </w:p>
    <w:p w:rsidR="007A378A" w:rsidRPr="007A378A" w:rsidRDefault="007A378A" w:rsidP="007A378A">
      <w:pPr>
        <w:spacing w:line="440" w:lineRule="exact"/>
        <w:rPr>
          <w:rFonts w:eastAsia="仿宋_GB2312"/>
          <w:sz w:val="28"/>
          <w:szCs w:val="24"/>
        </w:rPr>
      </w:pPr>
      <w:r w:rsidRPr="007A378A">
        <w:rPr>
          <w:rFonts w:eastAsia="仿宋_GB2312"/>
          <w:sz w:val="28"/>
          <w:szCs w:val="24"/>
        </w:rPr>
        <w:t>提名奖项：自然科学奖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rsidTr="00CC64D3">
        <w:trPr>
          <w:trHeight w:val="647"/>
        </w:trPr>
        <w:tc>
          <w:tcPr>
            <w:tcW w:w="2156" w:type="dxa"/>
            <w:vAlign w:val="center"/>
          </w:tcPr>
          <w:p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rsidR="007A378A" w:rsidRPr="007A378A" w:rsidRDefault="008A07A6" w:rsidP="0000285E">
            <w:pPr>
              <w:jc w:val="center"/>
              <w:rPr>
                <w:rStyle w:val="title1"/>
                <w:rFonts w:eastAsia="仿宋_GB2312"/>
                <w:b w:val="0"/>
                <w:color w:val="auto"/>
                <w:sz w:val="28"/>
              </w:rPr>
            </w:pPr>
            <w:r w:rsidRPr="008A07A6">
              <w:rPr>
                <w:rStyle w:val="title1"/>
                <w:rFonts w:eastAsia="仿宋_GB2312" w:hint="eastAsia"/>
                <w:b w:val="0"/>
                <w:color w:val="auto"/>
                <w:sz w:val="28"/>
              </w:rPr>
              <w:t>有机</w:t>
            </w:r>
            <w:r w:rsidRPr="008A07A6">
              <w:rPr>
                <w:rStyle w:val="title1"/>
                <w:rFonts w:eastAsia="仿宋_GB2312" w:hint="eastAsia"/>
                <w:b w:val="0"/>
                <w:color w:val="auto"/>
                <w:sz w:val="28"/>
              </w:rPr>
              <w:t>/</w:t>
            </w:r>
            <w:r w:rsidRPr="008A07A6">
              <w:rPr>
                <w:rStyle w:val="title1"/>
                <w:rFonts w:eastAsia="仿宋_GB2312" w:hint="eastAsia"/>
                <w:b w:val="0"/>
                <w:color w:val="auto"/>
                <w:sz w:val="28"/>
              </w:rPr>
              <w:t>无机复合光伏材料微纳结构调控与性能研究</w:t>
            </w:r>
          </w:p>
        </w:tc>
      </w:tr>
      <w:tr w:rsidR="007A378A" w:rsidRPr="007A378A" w:rsidTr="00CC64D3">
        <w:trPr>
          <w:trHeight w:val="561"/>
        </w:trPr>
        <w:tc>
          <w:tcPr>
            <w:tcW w:w="2156" w:type="dxa"/>
            <w:vAlign w:val="center"/>
          </w:tcPr>
          <w:p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rsidR="007A378A" w:rsidRPr="007A378A" w:rsidRDefault="00077C87" w:rsidP="0000285E">
            <w:pPr>
              <w:jc w:val="center"/>
              <w:rPr>
                <w:rStyle w:val="title1"/>
                <w:rFonts w:eastAsia="仿宋_GB2312"/>
                <w:b w:val="0"/>
                <w:color w:val="auto"/>
                <w:sz w:val="28"/>
              </w:rPr>
            </w:pPr>
            <w:r>
              <w:rPr>
                <w:rStyle w:val="title1"/>
                <w:rFonts w:eastAsia="仿宋_GB2312" w:hint="eastAsia"/>
                <w:b w:val="0"/>
                <w:color w:val="auto"/>
                <w:sz w:val="28"/>
              </w:rPr>
              <w:t>一等奖</w:t>
            </w:r>
          </w:p>
        </w:tc>
      </w:tr>
      <w:tr w:rsidR="007A378A" w:rsidRPr="007A378A" w:rsidTr="00CC64D3">
        <w:trPr>
          <w:trHeight w:val="2461"/>
        </w:trPr>
        <w:tc>
          <w:tcPr>
            <w:tcW w:w="2156" w:type="dxa"/>
            <w:vAlign w:val="center"/>
          </w:tcPr>
          <w:p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rsidR="007A378A" w:rsidRPr="00CC64D3" w:rsidRDefault="004252A5" w:rsidP="004252A5">
            <w:pPr>
              <w:spacing w:line="440" w:lineRule="exact"/>
              <w:jc w:val="left"/>
              <w:rPr>
                <w:rFonts w:eastAsia="方正黑体简体"/>
                <w:sz w:val="32"/>
                <w:szCs w:val="22"/>
              </w:rPr>
            </w:pPr>
            <w:r>
              <w:rPr>
                <w:rFonts w:eastAsia="仿宋_GB2312" w:hint="eastAsia"/>
                <w:bCs/>
                <w:sz w:val="24"/>
                <w:szCs w:val="24"/>
              </w:rPr>
              <w:t>8</w:t>
            </w:r>
            <w:r>
              <w:rPr>
                <w:rFonts w:eastAsia="仿宋_GB2312" w:hint="eastAsia"/>
                <w:bCs/>
                <w:sz w:val="24"/>
                <w:szCs w:val="24"/>
              </w:rPr>
              <w:t>篇</w:t>
            </w:r>
            <w:r w:rsidR="00CC64D3" w:rsidRPr="00CC64D3">
              <w:rPr>
                <w:rFonts w:eastAsia="仿宋_GB2312"/>
                <w:bCs/>
                <w:sz w:val="24"/>
                <w:szCs w:val="24"/>
              </w:rPr>
              <w:t>代表性论文专著目录</w:t>
            </w:r>
            <w:r w:rsidR="00CC64D3" w:rsidRPr="00CC64D3">
              <w:rPr>
                <w:rFonts w:eastAsia="仿宋_GB2312" w:hint="eastAsia"/>
                <w:bCs/>
                <w:sz w:val="24"/>
                <w:szCs w:val="24"/>
              </w:rPr>
              <w:t>和</w:t>
            </w:r>
            <w:r>
              <w:rPr>
                <w:rFonts w:eastAsia="仿宋_GB2312" w:hint="eastAsia"/>
                <w:bCs/>
                <w:sz w:val="24"/>
                <w:szCs w:val="24"/>
              </w:rPr>
              <w:t>5</w:t>
            </w:r>
            <w:r>
              <w:rPr>
                <w:rFonts w:eastAsia="仿宋_GB2312" w:hint="eastAsia"/>
                <w:bCs/>
                <w:sz w:val="24"/>
                <w:szCs w:val="24"/>
              </w:rPr>
              <w:t>件</w:t>
            </w:r>
            <w:r w:rsidR="00CC64D3" w:rsidRPr="00CC64D3">
              <w:rPr>
                <w:rFonts w:eastAsia="仿宋_GB2312"/>
                <w:bCs/>
                <w:sz w:val="24"/>
                <w:szCs w:val="24"/>
              </w:rPr>
              <w:t>主要知识产权目录</w:t>
            </w:r>
          </w:p>
        </w:tc>
      </w:tr>
      <w:tr w:rsidR="007A378A" w:rsidRPr="007A378A" w:rsidTr="00CC64D3">
        <w:trPr>
          <w:trHeight w:val="1958"/>
        </w:trPr>
        <w:tc>
          <w:tcPr>
            <w:tcW w:w="2156" w:type="dxa"/>
            <w:tcBorders>
              <w:right w:val="single" w:sz="4" w:space="0" w:color="auto"/>
            </w:tcBorders>
            <w:vAlign w:val="center"/>
          </w:tcPr>
          <w:p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rsidR="007A378A" w:rsidRPr="007A378A" w:rsidRDefault="00077C87" w:rsidP="0000285E">
            <w:pPr>
              <w:spacing w:line="440" w:lineRule="exact"/>
              <w:rPr>
                <w:rFonts w:eastAsia="仿宋_GB2312"/>
                <w:bCs/>
                <w:sz w:val="24"/>
                <w:szCs w:val="24"/>
              </w:rPr>
            </w:pPr>
            <w:r>
              <w:rPr>
                <w:rFonts w:eastAsia="仿宋_GB2312" w:hint="eastAsia"/>
                <w:bCs/>
                <w:sz w:val="24"/>
                <w:szCs w:val="24"/>
              </w:rPr>
              <w:t>陈红征</w:t>
            </w:r>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rsidR="007A378A" w:rsidRPr="007A378A" w:rsidRDefault="00077C87" w:rsidP="0000285E">
            <w:pPr>
              <w:spacing w:line="440" w:lineRule="exact"/>
              <w:rPr>
                <w:rFonts w:eastAsia="仿宋_GB2312"/>
                <w:bCs/>
                <w:sz w:val="24"/>
                <w:szCs w:val="24"/>
              </w:rPr>
            </w:pPr>
            <w:r>
              <w:rPr>
                <w:rFonts w:eastAsia="仿宋_GB2312" w:hint="eastAsia"/>
                <w:bCs/>
                <w:sz w:val="24"/>
                <w:szCs w:val="24"/>
              </w:rPr>
              <w:t>吴刚</w:t>
            </w:r>
            <w:r w:rsidR="007A378A" w:rsidRPr="007A378A">
              <w:rPr>
                <w:rFonts w:eastAsia="仿宋_GB2312"/>
                <w:bCs/>
                <w:sz w:val="24"/>
                <w:szCs w:val="24"/>
              </w:rPr>
              <w:t>，排名</w:t>
            </w:r>
            <w:r w:rsidR="007A378A" w:rsidRPr="007A378A">
              <w:rPr>
                <w:rFonts w:eastAsia="仿宋_GB2312"/>
                <w:bCs/>
                <w:sz w:val="24"/>
                <w:szCs w:val="24"/>
              </w:rPr>
              <w:t>2</w:t>
            </w:r>
            <w:r w:rsidR="007A378A" w:rsidRPr="007A378A">
              <w:rPr>
                <w:rFonts w:eastAsia="仿宋_GB2312"/>
                <w:bCs/>
                <w:sz w:val="24"/>
                <w:szCs w:val="24"/>
              </w:rPr>
              <w:t>，</w:t>
            </w:r>
            <w:r>
              <w:rPr>
                <w:rFonts w:eastAsia="仿宋_GB2312" w:hint="eastAsia"/>
                <w:bCs/>
                <w:sz w:val="24"/>
                <w:szCs w:val="24"/>
              </w:rPr>
              <w:t>教授</w:t>
            </w:r>
            <w:r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rsidR="007A378A" w:rsidRPr="007A378A" w:rsidRDefault="00077C87" w:rsidP="0000285E">
            <w:pPr>
              <w:spacing w:line="440" w:lineRule="exact"/>
              <w:rPr>
                <w:rFonts w:eastAsia="仿宋_GB2312"/>
                <w:bCs/>
                <w:sz w:val="24"/>
                <w:szCs w:val="24"/>
              </w:rPr>
            </w:pPr>
            <w:r>
              <w:rPr>
                <w:rFonts w:eastAsia="仿宋_GB2312" w:hint="eastAsia"/>
                <w:bCs/>
                <w:sz w:val="24"/>
                <w:szCs w:val="24"/>
              </w:rPr>
              <w:t>左立见</w:t>
            </w:r>
            <w:r w:rsidR="007A378A" w:rsidRPr="007A378A">
              <w:rPr>
                <w:rFonts w:eastAsia="仿宋_GB2312"/>
                <w:bCs/>
                <w:sz w:val="24"/>
                <w:szCs w:val="24"/>
              </w:rPr>
              <w:t>，排名</w:t>
            </w:r>
            <w:r w:rsidR="007A378A" w:rsidRPr="007A378A">
              <w:rPr>
                <w:rFonts w:eastAsia="仿宋_GB2312"/>
                <w:bCs/>
                <w:sz w:val="24"/>
                <w:szCs w:val="24"/>
              </w:rPr>
              <w:t>3</w:t>
            </w:r>
            <w:r w:rsidR="007A378A" w:rsidRPr="007A378A">
              <w:rPr>
                <w:rFonts w:eastAsia="仿宋_GB2312"/>
                <w:bCs/>
                <w:sz w:val="24"/>
                <w:szCs w:val="24"/>
              </w:rPr>
              <w:t>，</w:t>
            </w:r>
            <w:r>
              <w:rPr>
                <w:rFonts w:eastAsia="仿宋_GB2312" w:hint="eastAsia"/>
                <w:bCs/>
                <w:sz w:val="24"/>
                <w:szCs w:val="24"/>
              </w:rPr>
              <w:t>特聘研究员</w:t>
            </w:r>
            <w:r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rsidR="007A378A" w:rsidRDefault="00077C87" w:rsidP="00077C87">
            <w:pPr>
              <w:spacing w:line="440" w:lineRule="exact"/>
              <w:rPr>
                <w:rFonts w:eastAsia="仿宋_GB2312"/>
                <w:bCs/>
                <w:sz w:val="24"/>
                <w:szCs w:val="24"/>
              </w:rPr>
            </w:pPr>
            <w:r>
              <w:rPr>
                <w:rFonts w:eastAsia="仿宋_GB2312" w:hint="eastAsia"/>
                <w:bCs/>
                <w:sz w:val="24"/>
                <w:szCs w:val="24"/>
              </w:rPr>
              <w:t>李寒莹</w:t>
            </w:r>
            <w:r w:rsidRPr="007A378A">
              <w:rPr>
                <w:rFonts w:eastAsia="仿宋_GB2312"/>
                <w:bCs/>
                <w:sz w:val="24"/>
                <w:szCs w:val="24"/>
              </w:rPr>
              <w:t>，排名</w:t>
            </w:r>
            <w:r>
              <w:rPr>
                <w:rFonts w:eastAsia="仿宋_GB2312"/>
                <w:bCs/>
                <w:sz w:val="24"/>
                <w:szCs w:val="24"/>
              </w:rPr>
              <w:t>4</w:t>
            </w:r>
            <w:r w:rsidRPr="007A378A">
              <w:rPr>
                <w:rFonts w:eastAsia="仿宋_GB2312"/>
                <w:bCs/>
                <w:sz w:val="24"/>
                <w:szCs w:val="24"/>
              </w:rPr>
              <w:t>，</w:t>
            </w:r>
            <w:r>
              <w:rPr>
                <w:rFonts w:eastAsia="仿宋_GB2312" w:hint="eastAsia"/>
                <w:bCs/>
                <w:sz w:val="24"/>
                <w:szCs w:val="24"/>
              </w:rPr>
              <w:t>教授</w:t>
            </w:r>
            <w:r w:rsidRPr="007A378A">
              <w:rPr>
                <w:rFonts w:eastAsia="仿宋_GB2312"/>
                <w:bCs/>
                <w:sz w:val="24"/>
                <w:szCs w:val="24"/>
              </w:rPr>
              <w:t>，</w:t>
            </w:r>
            <w:r>
              <w:rPr>
                <w:rFonts w:eastAsia="仿宋_GB2312" w:hint="eastAsia"/>
                <w:bCs/>
                <w:sz w:val="24"/>
                <w:szCs w:val="24"/>
              </w:rPr>
              <w:t>浙江大学</w:t>
            </w:r>
            <w:r w:rsidRPr="007A378A">
              <w:rPr>
                <w:rFonts w:eastAsia="仿宋_GB2312"/>
                <w:bCs/>
                <w:sz w:val="24"/>
                <w:szCs w:val="24"/>
              </w:rPr>
              <w:t>；</w:t>
            </w:r>
          </w:p>
          <w:p w:rsidR="00077C87" w:rsidRPr="00077C87" w:rsidRDefault="00077C87" w:rsidP="00077C87">
            <w:pPr>
              <w:spacing w:line="440" w:lineRule="exact"/>
              <w:rPr>
                <w:rFonts w:eastAsia="仿宋_GB2312"/>
                <w:bCs/>
                <w:sz w:val="24"/>
                <w:szCs w:val="24"/>
              </w:rPr>
            </w:pPr>
            <w:r>
              <w:rPr>
                <w:rFonts w:eastAsia="仿宋_GB2312" w:hint="eastAsia"/>
                <w:bCs/>
                <w:sz w:val="24"/>
                <w:szCs w:val="24"/>
              </w:rPr>
              <w:t>傅伟飞</w:t>
            </w:r>
            <w:r w:rsidRPr="007A378A">
              <w:rPr>
                <w:rFonts w:eastAsia="仿宋_GB2312"/>
                <w:bCs/>
                <w:sz w:val="24"/>
                <w:szCs w:val="24"/>
              </w:rPr>
              <w:t>，排名</w:t>
            </w:r>
            <w:r>
              <w:rPr>
                <w:rFonts w:eastAsia="仿宋_GB2312"/>
                <w:bCs/>
                <w:sz w:val="24"/>
                <w:szCs w:val="24"/>
              </w:rPr>
              <w:t>5</w:t>
            </w:r>
            <w:r w:rsidRPr="007A378A">
              <w:rPr>
                <w:rFonts w:eastAsia="仿宋_GB2312"/>
                <w:bCs/>
                <w:sz w:val="24"/>
                <w:szCs w:val="24"/>
              </w:rPr>
              <w:t>，</w:t>
            </w:r>
            <w:r>
              <w:rPr>
                <w:rFonts w:eastAsia="仿宋_GB2312" w:hint="eastAsia"/>
                <w:bCs/>
                <w:sz w:val="24"/>
                <w:szCs w:val="24"/>
              </w:rPr>
              <w:t>副研究员</w:t>
            </w:r>
            <w:r w:rsidRPr="007A378A">
              <w:rPr>
                <w:rFonts w:eastAsia="仿宋_GB2312"/>
                <w:bCs/>
                <w:sz w:val="24"/>
                <w:szCs w:val="24"/>
              </w:rPr>
              <w:t>，</w:t>
            </w:r>
            <w:r w:rsidR="004252A5">
              <w:rPr>
                <w:rFonts w:eastAsia="仿宋_GB2312" w:hint="eastAsia"/>
                <w:bCs/>
                <w:sz w:val="24"/>
                <w:szCs w:val="24"/>
              </w:rPr>
              <w:t>浙江大学</w:t>
            </w:r>
          </w:p>
        </w:tc>
      </w:tr>
      <w:tr w:rsidR="007A378A" w:rsidRPr="007A378A" w:rsidTr="000838BF">
        <w:trPr>
          <w:trHeight w:val="1606"/>
        </w:trPr>
        <w:tc>
          <w:tcPr>
            <w:tcW w:w="2156" w:type="dxa"/>
            <w:tcBorders>
              <w:right w:val="single" w:sz="4" w:space="0" w:color="auto"/>
            </w:tcBorders>
            <w:vAlign w:val="center"/>
          </w:tcPr>
          <w:p w:rsidR="007A378A" w:rsidRPr="007A378A" w:rsidRDefault="007A378A" w:rsidP="0000285E">
            <w:pPr>
              <w:spacing w:line="440" w:lineRule="exact"/>
              <w:jc w:val="center"/>
              <w:rPr>
                <w:rFonts w:eastAsia="仿宋"/>
                <w:bCs/>
                <w:sz w:val="24"/>
                <w:szCs w:val="24"/>
              </w:rPr>
            </w:pPr>
            <w:r w:rsidRPr="007A378A">
              <w:rPr>
                <w:rFonts w:eastAsia="仿宋"/>
                <w:bCs/>
                <w:sz w:val="28"/>
                <w:szCs w:val="24"/>
              </w:rPr>
              <w:t>主要完成单位</w:t>
            </w:r>
          </w:p>
        </w:tc>
        <w:tc>
          <w:tcPr>
            <w:tcW w:w="6520" w:type="dxa"/>
            <w:tcBorders>
              <w:left w:val="single" w:sz="4" w:space="0" w:color="auto"/>
            </w:tcBorders>
            <w:vAlign w:val="center"/>
          </w:tcPr>
          <w:p w:rsidR="007A378A" w:rsidRPr="007A378A" w:rsidRDefault="007A378A" w:rsidP="004252A5">
            <w:pPr>
              <w:spacing w:line="440" w:lineRule="exact"/>
              <w:jc w:val="left"/>
              <w:rPr>
                <w:rFonts w:eastAsia="仿宋"/>
                <w:bCs/>
                <w:sz w:val="24"/>
                <w:szCs w:val="24"/>
              </w:rPr>
            </w:pPr>
            <w:r w:rsidRPr="007A378A">
              <w:rPr>
                <w:rFonts w:eastAsia="仿宋_GB2312"/>
                <w:bCs/>
                <w:sz w:val="24"/>
                <w:szCs w:val="24"/>
              </w:rPr>
              <w:t>1.</w:t>
            </w:r>
            <w:r w:rsidR="007A41C6">
              <w:rPr>
                <w:rFonts w:eastAsia="仿宋_GB2312"/>
                <w:bCs/>
                <w:sz w:val="24"/>
                <w:szCs w:val="24"/>
              </w:rPr>
              <w:t xml:space="preserve"> </w:t>
            </w:r>
            <w:r w:rsidR="00077C87">
              <w:rPr>
                <w:rFonts w:eastAsia="仿宋_GB2312" w:hint="eastAsia"/>
                <w:bCs/>
                <w:sz w:val="24"/>
                <w:szCs w:val="24"/>
              </w:rPr>
              <w:t>浙江大学；</w:t>
            </w:r>
          </w:p>
        </w:tc>
      </w:tr>
      <w:tr w:rsidR="007A378A" w:rsidRPr="007A378A" w:rsidTr="00CC64D3">
        <w:trPr>
          <w:trHeight w:val="692"/>
        </w:trPr>
        <w:tc>
          <w:tcPr>
            <w:tcW w:w="2156" w:type="dxa"/>
            <w:vAlign w:val="center"/>
          </w:tcPr>
          <w:p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rsidR="007A378A" w:rsidRPr="007A378A" w:rsidRDefault="00077C87" w:rsidP="0000285E">
            <w:pPr>
              <w:contextualSpacing/>
              <w:jc w:val="center"/>
              <w:rPr>
                <w:rStyle w:val="title1"/>
                <w:b w:val="0"/>
                <w:color w:val="auto"/>
              </w:rPr>
            </w:pPr>
            <w:r>
              <w:rPr>
                <w:rStyle w:val="title1"/>
                <w:rFonts w:hint="eastAsia"/>
                <w:b w:val="0"/>
                <w:color w:val="auto"/>
              </w:rPr>
              <w:t>浙江大学</w:t>
            </w:r>
          </w:p>
        </w:tc>
      </w:tr>
      <w:tr w:rsidR="007A378A" w:rsidRPr="007A378A" w:rsidTr="00CC64D3">
        <w:trPr>
          <w:trHeight w:val="3683"/>
        </w:trPr>
        <w:tc>
          <w:tcPr>
            <w:tcW w:w="2156" w:type="dxa"/>
            <w:vAlign w:val="center"/>
          </w:tcPr>
          <w:p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rsidR="000838BF" w:rsidRPr="000838BF" w:rsidRDefault="000838BF" w:rsidP="000838BF">
            <w:pPr>
              <w:ind w:firstLineChars="200" w:firstLine="480"/>
              <w:contextualSpacing/>
              <w:rPr>
                <w:rStyle w:val="title1"/>
                <w:rFonts w:hint="eastAsia"/>
                <w:b w:val="0"/>
                <w:color w:val="auto"/>
              </w:rPr>
            </w:pPr>
            <w:r w:rsidRPr="000838BF">
              <w:rPr>
                <w:rStyle w:val="title1"/>
                <w:rFonts w:hint="eastAsia"/>
                <w:b w:val="0"/>
                <w:color w:val="auto"/>
              </w:rPr>
              <w:t>可溶液加工的低成本、高效率光伏材料与器件是保障能源自给，实现可持续发展的重要物质基础。本项目在国家自然科学重大项目等的资助下，顺应材料科学复合化和有序化的发展趋势，通过创新的材料设计与结构调控思路以及材料</w:t>
            </w:r>
            <w:r w:rsidRPr="000838BF">
              <w:rPr>
                <w:rStyle w:val="title1"/>
                <w:rFonts w:hint="eastAsia"/>
                <w:b w:val="0"/>
                <w:color w:val="auto"/>
              </w:rPr>
              <w:t>-</w:t>
            </w:r>
            <w:r w:rsidRPr="000838BF">
              <w:rPr>
                <w:rStyle w:val="title1"/>
                <w:rFonts w:hint="eastAsia"/>
                <w:b w:val="0"/>
                <w:color w:val="auto"/>
              </w:rPr>
              <w:t>器件一体化的学术思想，围绕有机</w:t>
            </w:r>
            <w:r w:rsidRPr="000838BF">
              <w:rPr>
                <w:rStyle w:val="title1"/>
                <w:rFonts w:hint="eastAsia"/>
                <w:b w:val="0"/>
                <w:color w:val="auto"/>
              </w:rPr>
              <w:t>-</w:t>
            </w:r>
            <w:r w:rsidRPr="000838BF">
              <w:rPr>
                <w:rStyle w:val="title1"/>
                <w:rFonts w:hint="eastAsia"/>
                <w:b w:val="0"/>
                <w:color w:val="auto"/>
              </w:rPr>
              <w:t>无机有序复合钙钛矿光伏电池，在国际上率先研究了二维层状结构复合钙钛矿材料的光伏特性，开辟了二维钙钛矿光伏材料的新方向；建立了有序复合钙钛矿薄膜的系列制备新技术和界面修饰新方法，设计研制出国际首例基于溶液加工钙钛矿多晶薄膜以及单晶的平面异质结光伏器件，在理论和技术上有重大创新，引起国际广泛关注，带动了国际上相关方向的研究，对推动钙钛矿光伏技术的产业化应用具有重要意义。</w:t>
            </w:r>
          </w:p>
          <w:p w:rsidR="007A378A" w:rsidRPr="007A378A" w:rsidRDefault="000838BF" w:rsidP="000838BF">
            <w:pPr>
              <w:ind w:firstLineChars="200" w:firstLine="480"/>
              <w:contextualSpacing/>
              <w:rPr>
                <w:rStyle w:val="title1"/>
                <w:b w:val="0"/>
                <w:color w:val="auto"/>
              </w:rPr>
            </w:pPr>
            <w:bookmarkStart w:id="0" w:name="_GoBack"/>
            <w:bookmarkEnd w:id="0"/>
            <w:r w:rsidRPr="000838BF">
              <w:rPr>
                <w:rStyle w:val="title1"/>
                <w:rFonts w:hint="eastAsia"/>
                <w:b w:val="0"/>
                <w:color w:val="auto"/>
              </w:rPr>
              <w:t>特此提名申报</w:t>
            </w:r>
            <w:r w:rsidRPr="000838BF">
              <w:rPr>
                <w:rStyle w:val="title1"/>
                <w:rFonts w:hint="eastAsia"/>
                <w:b w:val="0"/>
                <w:color w:val="auto"/>
              </w:rPr>
              <w:t>2023</w:t>
            </w:r>
            <w:r w:rsidRPr="000838BF">
              <w:rPr>
                <w:rStyle w:val="title1"/>
                <w:rFonts w:hint="eastAsia"/>
                <w:b w:val="0"/>
                <w:color w:val="auto"/>
              </w:rPr>
              <w:t>年度浙江省自然科学奖一等奖。</w:t>
            </w:r>
          </w:p>
        </w:tc>
      </w:tr>
    </w:tbl>
    <w:p w:rsidR="002B32BA" w:rsidRDefault="00DB73B5"/>
    <w:p w:rsidR="00ED3347" w:rsidRPr="00393723" w:rsidRDefault="00ED3347" w:rsidP="004252A5">
      <w:pPr>
        <w:adjustRightInd w:val="0"/>
        <w:snapToGrid w:val="0"/>
        <w:spacing w:beforeLines="50" w:before="156"/>
        <w:rPr>
          <w:sz w:val="24"/>
          <w:szCs w:val="24"/>
        </w:rPr>
      </w:pPr>
      <w:r w:rsidRPr="00393723">
        <w:rPr>
          <w:rFonts w:hint="eastAsia"/>
          <w:sz w:val="24"/>
          <w:szCs w:val="24"/>
        </w:rPr>
        <w:lastRenderedPageBreak/>
        <w:t>代表性论文目录</w:t>
      </w:r>
      <w:r w:rsidR="004252A5">
        <w:rPr>
          <w:rFonts w:hint="eastAsia"/>
          <w:sz w:val="24"/>
          <w:szCs w:val="24"/>
        </w:rPr>
        <w:t>：</w:t>
      </w:r>
    </w:p>
    <w:p w:rsidR="00ED3347" w:rsidRPr="00393723" w:rsidRDefault="00ED3347" w:rsidP="00ED3347">
      <w:pPr>
        <w:numPr>
          <w:ilvl w:val="0"/>
          <w:numId w:val="1"/>
        </w:numPr>
        <w:tabs>
          <w:tab w:val="left" w:pos="945"/>
          <w:tab w:val="left" w:pos="2160"/>
          <w:tab w:val="left" w:pos="2880"/>
          <w:tab w:val="left" w:pos="3600"/>
          <w:tab w:val="left" w:pos="4320"/>
          <w:tab w:val="left" w:pos="5040"/>
          <w:tab w:val="left" w:pos="5760"/>
          <w:tab w:val="left" w:pos="6480"/>
          <w:tab w:val="left" w:pos="7200"/>
          <w:tab w:val="left" w:pos="7920"/>
        </w:tabs>
        <w:adjustRightInd w:val="0"/>
        <w:snapToGrid w:val="0"/>
        <w:ind w:left="567" w:hanging="567"/>
        <w:rPr>
          <w:sz w:val="24"/>
          <w:szCs w:val="24"/>
        </w:rPr>
      </w:pPr>
      <w:r w:rsidRPr="00393723">
        <w:rPr>
          <w:rFonts w:hint="eastAsia"/>
          <w:bCs/>
          <w:kern w:val="0"/>
          <w:sz w:val="24"/>
          <w:szCs w:val="24"/>
        </w:rPr>
        <w:t>杨志胜，杨立功</w:t>
      </w:r>
      <w:r w:rsidRPr="00393723">
        <w:rPr>
          <w:rFonts w:hint="eastAsia"/>
          <w:bCs/>
          <w:kern w:val="0"/>
          <w:sz w:val="24"/>
          <w:szCs w:val="24"/>
        </w:rPr>
        <w:t>*</w:t>
      </w:r>
      <w:r w:rsidRPr="00393723">
        <w:rPr>
          <w:rFonts w:hint="eastAsia"/>
          <w:bCs/>
          <w:kern w:val="0"/>
          <w:sz w:val="24"/>
          <w:szCs w:val="24"/>
        </w:rPr>
        <w:t>，吴</w:t>
      </w:r>
      <w:r w:rsidRPr="00393723">
        <w:rPr>
          <w:rFonts w:hint="eastAsia"/>
          <w:bCs/>
          <w:kern w:val="0"/>
          <w:sz w:val="24"/>
          <w:szCs w:val="24"/>
        </w:rPr>
        <w:t xml:space="preserve"> </w:t>
      </w:r>
      <w:r w:rsidRPr="00393723">
        <w:rPr>
          <w:rFonts w:hint="eastAsia"/>
          <w:bCs/>
          <w:kern w:val="0"/>
          <w:sz w:val="24"/>
          <w:szCs w:val="24"/>
        </w:rPr>
        <w:t>刚，汪</w:t>
      </w:r>
      <w:r w:rsidRPr="00393723">
        <w:rPr>
          <w:rFonts w:hint="eastAsia"/>
          <w:bCs/>
          <w:kern w:val="0"/>
          <w:sz w:val="24"/>
          <w:szCs w:val="24"/>
        </w:rPr>
        <w:t xml:space="preserve"> </w:t>
      </w:r>
      <w:r w:rsidRPr="00393723">
        <w:rPr>
          <w:rFonts w:hint="eastAsia"/>
          <w:bCs/>
          <w:kern w:val="0"/>
          <w:sz w:val="24"/>
          <w:szCs w:val="24"/>
        </w:rPr>
        <w:t>茫，陈红征</w:t>
      </w:r>
      <w:r w:rsidRPr="00393723">
        <w:rPr>
          <w:rFonts w:hint="eastAsia"/>
          <w:bCs/>
          <w:kern w:val="0"/>
          <w:sz w:val="24"/>
          <w:szCs w:val="24"/>
        </w:rPr>
        <w:t>*</w:t>
      </w:r>
      <w:r w:rsidRPr="00393723">
        <w:rPr>
          <w:rFonts w:hint="eastAsia"/>
          <w:sz w:val="24"/>
          <w:szCs w:val="24"/>
        </w:rPr>
        <w:t>，基于有机</w:t>
      </w:r>
      <w:r w:rsidRPr="00393723">
        <w:rPr>
          <w:rFonts w:hint="eastAsia"/>
          <w:sz w:val="24"/>
          <w:szCs w:val="24"/>
        </w:rPr>
        <w:t>/</w:t>
      </w:r>
      <w:r w:rsidRPr="00393723">
        <w:rPr>
          <w:rFonts w:hint="eastAsia"/>
          <w:sz w:val="24"/>
          <w:szCs w:val="24"/>
        </w:rPr>
        <w:t>无机杂化钙钛矿有序结构的异质结及其光伏性能的研究，</w:t>
      </w:r>
      <w:r w:rsidRPr="00393723">
        <w:rPr>
          <w:rFonts w:hint="eastAsia"/>
          <w:bCs/>
          <w:i/>
          <w:kern w:val="0"/>
          <w:sz w:val="24"/>
          <w:szCs w:val="24"/>
        </w:rPr>
        <w:t>化学学报</w:t>
      </w:r>
      <w:r w:rsidRPr="00393723">
        <w:rPr>
          <w:rFonts w:hint="eastAsia"/>
          <w:sz w:val="24"/>
          <w:szCs w:val="24"/>
        </w:rPr>
        <w:t>，</w:t>
      </w:r>
      <w:r w:rsidRPr="00393723">
        <w:rPr>
          <w:rFonts w:hint="eastAsia"/>
          <w:sz w:val="24"/>
          <w:szCs w:val="24"/>
        </w:rPr>
        <w:t>2</w:t>
      </w:r>
      <w:r w:rsidRPr="00393723">
        <w:rPr>
          <w:sz w:val="24"/>
          <w:szCs w:val="24"/>
        </w:rPr>
        <w:t>011</w:t>
      </w:r>
      <w:r w:rsidRPr="00393723">
        <w:rPr>
          <w:rFonts w:hint="eastAsia"/>
          <w:sz w:val="24"/>
          <w:szCs w:val="24"/>
        </w:rPr>
        <w:t>,</w:t>
      </w:r>
      <w:r w:rsidRPr="00393723">
        <w:rPr>
          <w:sz w:val="24"/>
          <w:szCs w:val="24"/>
        </w:rPr>
        <w:t xml:space="preserve"> </w:t>
      </w:r>
      <w:r w:rsidRPr="00393723">
        <w:rPr>
          <w:bCs/>
          <w:kern w:val="0"/>
          <w:sz w:val="24"/>
          <w:szCs w:val="24"/>
        </w:rPr>
        <w:t xml:space="preserve">69, 627-632. </w:t>
      </w:r>
    </w:p>
    <w:p w:rsidR="00ED3347" w:rsidRPr="00393723" w:rsidRDefault="00ED3347" w:rsidP="00ED3347">
      <w:pPr>
        <w:pStyle w:val="a6"/>
        <w:numPr>
          <w:ilvl w:val="0"/>
          <w:numId w:val="1"/>
        </w:numPr>
        <w:adjustRightInd w:val="0"/>
        <w:snapToGrid w:val="0"/>
        <w:spacing w:before="0" w:after="0"/>
        <w:ind w:left="567" w:firstLineChars="0" w:hanging="567"/>
        <w:rPr>
          <w:rFonts w:ascii="Times New Roman" w:eastAsiaTheme="minorEastAsia" w:hAnsi="Times New Roman"/>
          <w:color w:val="auto"/>
          <w:sz w:val="24"/>
          <w:szCs w:val="24"/>
        </w:rPr>
      </w:pPr>
      <w:r w:rsidRPr="00393723">
        <w:rPr>
          <w:rFonts w:ascii="Times New Roman" w:hAnsi="Times New Roman"/>
          <w:color w:val="auto"/>
          <w:sz w:val="24"/>
          <w:szCs w:val="24"/>
        </w:rPr>
        <w:t xml:space="preserve">Xinqian Zhang, Gang Wu*, Shida Yang, Weifei Fu, Zhongqiang Zhang, Chen Chen, Wenqing Liu, Jielin Yan, Weitao Yang and Hongzheng Chen*, Vertically-oriented 2D layered perovskite solar cells with enhanced efficiency and good stability, </w:t>
      </w:r>
      <w:r w:rsidRPr="00393723">
        <w:rPr>
          <w:rFonts w:ascii="Times New Roman" w:hAnsi="Times New Roman"/>
          <w:i/>
          <w:color w:val="auto"/>
          <w:sz w:val="24"/>
          <w:szCs w:val="24"/>
        </w:rPr>
        <w:t>Small</w:t>
      </w:r>
      <w:r w:rsidRPr="00393723">
        <w:rPr>
          <w:rFonts w:ascii="Times New Roman" w:hAnsi="Times New Roman"/>
          <w:color w:val="auto"/>
          <w:sz w:val="24"/>
          <w:szCs w:val="24"/>
        </w:rPr>
        <w:t xml:space="preserve">, 2017, </w:t>
      </w:r>
      <w:r w:rsidRPr="00393723">
        <w:rPr>
          <w:rFonts w:ascii="Times New Roman" w:hAnsi="Times New Roman"/>
          <w:bCs/>
          <w:color w:val="auto"/>
          <w:sz w:val="24"/>
          <w:szCs w:val="24"/>
        </w:rPr>
        <w:t>13,</w:t>
      </w:r>
      <w:r w:rsidRPr="00393723">
        <w:rPr>
          <w:rFonts w:ascii="Times New Roman" w:hAnsi="Times New Roman"/>
          <w:b/>
          <w:bCs/>
          <w:color w:val="auto"/>
          <w:sz w:val="24"/>
          <w:szCs w:val="24"/>
        </w:rPr>
        <w:t xml:space="preserve"> </w:t>
      </w:r>
      <w:r w:rsidRPr="00393723">
        <w:rPr>
          <w:rFonts w:ascii="Times New Roman" w:hAnsi="Times New Roman"/>
          <w:color w:val="auto"/>
          <w:sz w:val="24"/>
          <w:szCs w:val="24"/>
        </w:rPr>
        <w:t xml:space="preserve">1700611. </w:t>
      </w:r>
    </w:p>
    <w:p w:rsidR="00ED3347" w:rsidRPr="00393723" w:rsidRDefault="00ED3347" w:rsidP="00ED3347">
      <w:pPr>
        <w:pStyle w:val="a6"/>
        <w:numPr>
          <w:ilvl w:val="0"/>
          <w:numId w:val="1"/>
        </w:numPr>
        <w:adjustRightInd w:val="0"/>
        <w:snapToGrid w:val="0"/>
        <w:spacing w:before="0" w:after="0"/>
        <w:ind w:left="567" w:firstLineChars="0" w:hanging="567"/>
        <w:rPr>
          <w:rFonts w:ascii="Times New Roman" w:eastAsiaTheme="minorEastAsia" w:hAnsi="Times New Roman"/>
          <w:color w:val="auto"/>
          <w:sz w:val="24"/>
          <w:szCs w:val="24"/>
        </w:rPr>
      </w:pPr>
      <w:r w:rsidRPr="00393723">
        <w:rPr>
          <w:rFonts w:ascii="Times New Roman" w:eastAsiaTheme="minorEastAsia" w:hAnsi="Times New Roman"/>
          <w:color w:val="auto"/>
          <w:sz w:val="24"/>
          <w:szCs w:val="24"/>
        </w:rPr>
        <w:t xml:space="preserve">Xiaomei Lian, Jiehuan Chen, Minchao Qin, Yingzhu Zhang, Shuoxun Tian, Xinhui Lu, Gang Wu*, and Hongzheng Chen*, The Second Spacer Cation Assisted Growth of 2D Perovskite Film with Oriented Large Grain for Highly Efficient and Stable Solar Cells, </w:t>
      </w:r>
      <w:r w:rsidRPr="00393723">
        <w:rPr>
          <w:rFonts w:ascii="Times New Roman" w:eastAsiaTheme="minorEastAsia" w:hAnsi="Times New Roman"/>
          <w:i/>
          <w:color w:val="auto"/>
          <w:sz w:val="24"/>
          <w:szCs w:val="24"/>
        </w:rPr>
        <w:t>Angewandte Chemie International Edition</w:t>
      </w:r>
      <w:r w:rsidRPr="00393723">
        <w:rPr>
          <w:rFonts w:ascii="Times New Roman" w:eastAsiaTheme="minorEastAsia" w:hAnsi="Times New Roman"/>
          <w:color w:val="auto"/>
          <w:sz w:val="24"/>
          <w:szCs w:val="24"/>
        </w:rPr>
        <w:t>, 2019, 58, 9409-9413.</w:t>
      </w:r>
    </w:p>
    <w:p w:rsidR="00ED3347" w:rsidRPr="00393723" w:rsidRDefault="00ED3347" w:rsidP="00ED3347">
      <w:pPr>
        <w:pStyle w:val="a6"/>
        <w:numPr>
          <w:ilvl w:val="0"/>
          <w:numId w:val="1"/>
        </w:numPr>
        <w:adjustRightInd w:val="0"/>
        <w:snapToGrid w:val="0"/>
        <w:spacing w:before="0" w:after="0"/>
        <w:ind w:left="567" w:firstLineChars="0" w:hanging="567"/>
        <w:rPr>
          <w:rFonts w:ascii="Times New Roman" w:eastAsiaTheme="minorEastAsia" w:hAnsi="Times New Roman"/>
          <w:color w:val="auto"/>
          <w:sz w:val="24"/>
          <w:szCs w:val="24"/>
        </w:rPr>
      </w:pPr>
      <w:r w:rsidRPr="00393723">
        <w:rPr>
          <w:rFonts w:ascii="Times New Roman" w:eastAsiaTheme="minorEastAsia" w:hAnsi="Times New Roman"/>
          <w:color w:val="auto"/>
          <w:sz w:val="24"/>
          <w:szCs w:val="24"/>
        </w:rPr>
        <w:t>L</w:t>
      </w:r>
      <w:r w:rsidRPr="00393723">
        <w:rPr>
          <w:rFonts w:ascii="Times New Roman" w:eastAsiaTheme="minorEastAsia" w:hAnsi="Times New Roman" w:hint="eastAsia"/>
          <w:color w:val="auto"/>
          <w:sz w:val="24"/>
          <w:szCs w:val="24"/>
        </w:rPr>
        <w:t>ijian</w:t>
      </w:r>
      <w:r w:rsidRPr="00393723">
        <w:rPr>
          <w:rFonts w:ascii="Times New Roman" w:eastAsiaTheme="minorEastAsia" w:hAnsi="Times New Roman"/>
          <w:color w:val="auto"/>
          <w:sz w:val="24"/>
          <w:szCs w:val="24"/>
        </w:rPr>
        <w:t xml:space="preserve"> Zuo , Zhuowei Gu , Tao Ye , Weifei Fu , Gang Wu , Hanying Li* , and Hongzheng Chen*, Enhanced photovoltaic performance of CH</w:t>
      </w:r>
      <w:r w:rsidRPr="00393723">
        <w:rPr>
          <w:rFonts w:ascii="Times New Roman" w:eastAsiaTheme="minorEastAsia" w:hAnsi="Times New Roman"/>
          <w:color w:val="auto"/>
          <w:sz w:val="24"/>
          <w:szCs w:val="24"/>
          <w:vertAlign w:val="subscript"/>
        </w:rPr>
        <w:t>3</w:t>
      </w:r>
      <w:r w:rsidRPr="00393723">
        <w:rPr>
          <w:rFonts w:ascii="Times New Roman" w:eastAsiaTheme="minorEastAsia" w:hAnsi="Times New Roman"/>
          <w:color w:val="auto"/>
          <w:sz w:val="24"/>
          <w:szCs w:val="24"/>
        </w:rPr>
        <w:t>NH</w:t>
      </w:r>
      <w:r w:rsidRPr="00393723">
        <w:rPr>
          <w:rFonts w:ascii="Times New Roman" w:eastAsiaTheme="minorEastAsia" w:hAnsi="Times New Roman"/>
          <w:color w:val="auto"/>
          <w:sz w:val="24"/>
          <w:szCs w:val="24"/>
          <w:vertAlign w:val="subscript"/>
        </w:rPr>
        <w:t>3</w:t>
      </w:r>
      <w:r w:rsidRPr="00393723">
        <w:rPr>
          <w:rFonts w:ascii="Times New Roman" w:eastAsiaTheme="minorEastAsia" w:hAnsi="Times New Roman"/>
          <w:color w:val="auto"/>
          <w:sz w:val="24"/>
          <w:szCs w:val="24"/>
        </w:rPr>
        <w:t>PbI</w:t>
      </w:r>
      <w:r w:rsidRPr="00393723">
        <w:rPr>
          <w:rFonts w:ascii="Times New Roman" w:eastAsiaTheme="minorEastAsia" w:hAnsi="Times New Roman"/>
          <w:color w:val="auto"/>
          <w:sz w:val="24"/>
          <w:szCs w:val="24"/>
          <w:vertAlign w:val="subscript"/>
        </w:rPr>
        <w:t xml:space="preserve">3 </w:t>
      </w:r>
      <w:r w:rsidRPr="00393723">
        <w:rPr>
          <w:rFonts w:ascii="Times New Roman" w:eastAsiaTheme="minorEastAsia" w:hAnsi="Times New Roman"/>
          <w:color w:val="auto"/>
          <w:sz w:val="24"/>
          <w:szCs w:val="24"/>
        </w:rPr>
        <w:t xml:space="preserve">perovskite solar cells through interfacial engineering using self-assembling monolayer, </w:t>
      </w:r>
      <w:r w:rsidRPr="00393723">
        <w:rPr>
          <w:rFonts w:ascii="Times New Roman" w:eastAsiaTheme="minorEastAsia" w:hAnsi="Times New Roman"/>
          <w:i/>
          <w:color w:val="auto"/>
          <w:sz w:val="24"/>
          <w:szCs w:val="24"/>
        </w:rPr>
        <w:t>Journal of the American Chemical Society</w:t>
      </w:r>
      <w:r w:rsidRPr="00393723">
        <w:rPr>
          <w:rFonts w:ascii="Times New Roman" w:eastAsiaTheme="minorEastAsia" w:hAnsi="Times New Roman"/>
          <w:color w:val="auto"/>
          <w:sz w:val="24"/>
          <w:szCs w:val="24"/>
        </w:rPr>
        <w:t xml:space="preserve">, 2015, 137, 2674-2679.  </w:t>
      </w:r>
    </w:p>
    <w:p w:rsidR="00ED3347" w:rsidRPr="00393723" w:rsidRDefault="00ED3347" w:rsidP="00ED3347">
      <w:pPr>
        <w:numPr>
          <w:ilvl w:val="0"/>
          <w:numId w:val="1"/>
        </w:numPr>
        <w:tabs>
          <w:tab w:val="left" w:pos="945"/>
          <w:tab w:val="left" w:pos="2160"/>
          <w:tab w:val="left" w:pos="2880"/>
          <w:tab w:val="left" w:pos="3600"/>
          <w:tab w:val="left" w:pos="4320"/>
          <w:tab w:val="left" w:pos="5040"/>
          <w:tab w:val="left" w:pos="5760"/>
          <w:tab w:val="left" w:pos="6480"/>
          <w:tab w:val="left" w:pos="7200"/>
          <w:tab w:val="left" w:pos="7920"/>
        </w:tabs>
        <w:adjustRightInd w:val="0"/>
        <w:snapToGrid w:val="0"/>
        <w:ind w:left="567" w:hanging="567"/>
        <w:rPr>
          <w:sz w:val="24"/>
          <w:szCs w:val="24"/>
        </w:rPr>
      </w:pPr>
      <w:r w:rsidRPr="00393723">
        <w:rPr>
          <w:rFonts w:eastAsiaTheme="minorEastAsia"/>
          <w:sz w:val="24"/>
          <w:szCs w:val="24"/>
        </w:rPr>
        <w:t xml:space="preserve">Chuyi Huang, Weifei Fu, Chang-Zhi Li*, Zhongqiang Zhang, Weiming Qiu, Minmin Shi, Paul Heremans, Alex K.-Y. Jen*, and Hongzheng Chen*, Dopant-free hole-transporting material with a C3h symmetrical truxene core for highly efficient perovskite solar cells, </w:t>
      </w:r>
      <w:r w:rsidRPr="00393723">
        <w:rPr>
          <w:rFonts w:eastAsiaTheme="minorEastAsia"/>
          <w:i/>
          <w:sz w:val="24"/>
          <w:szCs w:val="24"/>
        </w:rPr>
        <w:t>Journal of the American Chemical Society</w:t>
      </w:r>
      <w:r w:rsidRPr="00393723">
        <w:rPr>
          <w:rFonts w:eastAsiaTheme="minorEastAsia"/>
          <w:sz w:val="24"/>
          <w:szCs w:val="24"/>
        </w:rPr>
        <w:t xml:space="preserve">, </w:t>
      </w:r>
      <w:r w:rsidRPr="00393723">
        <w:rPr>
          <w:sz w:val="24"/>
          <w:szCs w:val="24"/>
        </w:rPr>
        <w:t>2016</w:t>
      </w:r>
      <w:r w:rsidRPr="00393723">
        <w:rPr>
          <w:rFonts w:hint="eastAsia"/>
          <w:sz w:val="24"/>
          <w:szCs w:val="24"/>
        </w:rPr>
        <w:t>,</w:t>
      </w:r>
      <w:r w:rsidRPr="00393723">
        <w:rPr>
          <w:sz w:val="24"/>
          <w:szCs w:val="24"/>
        </w:rPr>
        <w:t xml:space="preserve"> 138, 2528-2531</w:t>
      </w:r>
      <w:r w:rsidRPr="00393723">
        <w:rPr>
          <w:rFonts w:hint="eastAsia"/>
          <w:sz w:val="24"/>
          <w:szCs w:val="24"/>
          <w:lang w:val="it-IT"/>
        </w:rPr>
        <w:t>.</w:t>
      </w:r>
      <w:r w:rsidRPr="00393723">
        <w:rPr>
          <w:sz w:val="24"/>
          <w:szCs w:val="24"/>
          <w:lang w:val="it-IT"/>
        </w:rPr>
        <w:t xml:space="preserve">  </w:t>
      </w:r>
    </w:p>
    <w:p w:rsidR="00ED3347" w:rsidRPr="00393723" w:rsidRDefault="00ED3347" w:rsidP="00ED3347">
      <w:pPr>
        <w:pStyle w:val="a6"/>
        <w:numPr>
          <w:ilvl w:val="0"/>
          <w:numId w:val="1"/>
        </w:numPr>
        <w:adjustRightInd w:val="0"/>
        <w:snapToGrid w:val="0"/>
        <w:spacing w:before="0" w:after="0"/>
        <w:ind w:left="567" w:firstLineChars="0" w:hanging="567"/>
        <w:rPr>
          <w:rFonts w:ascii="Times New Roman" w:eastAsiaTheme="minorEastAsia" w:hAnsi="Times New Roman"/>
          <w:color w:val="auto"/>
          <w:sz w:val="24"/>
          <w:szCs w:val="24"/>
        </w:rPr>
      </w:pPr>
      <w:r w:rsidRPr="00393723">
        <w:rPr>
          <w:rFonts w:ascii="Times New Roman" w:hAnsi="Times New Roman"/>
          <w:color w:val="auto"/>
          <w:sz w:val="24"/>
          <w:szCs w:val="24"/>
        </w:rPr>
        <w:t xml:space="preserve">Huanle Chen, Weifei Fu, Chuyi Huang, Zhongqiang Zhang, Shuixing Li, Feizhi Ding, Minmin Shi, Chang-Zhi Li*, Alex K.-Y. Jen*, and Hongzheng Chen*, Molecular engineered hole-extraction materials to enable dopant-free, efficient p-i-n perovskite solar cells, </w:t>
      </w:r>
      <w:r w:rsidRPr="00393723">
        <w:rPr>
          <w:rFonts w:ascii="Times New Roman" w:hAnsi="Times New Roman"/>
          <w:i/>
          <w:color w:val="auto"/>
          <w:sz w:val="24"/>
          <w:szCs w:val="24"/>
        </w:rPr>
        <w:t>Advanced Energy Materials</w:t>
      </w:r>
      <w:r w:rsidRPr="00393723">
        <w:rPr>
          <w:rFonts w:ascii="Times New Roman" w:hAnsi="Times New Roman"/>
          <w:color w:val="auto"/>
          <w:sz w:val="24"/>
          <w:szCs w:val="24"/>
        </w:rPr>
        <w:t xml:space="preserve">, </w:t>
      </w:r>
      <w:r w:rsidRPr="00393723">
        <w:rPr>
          <w:rFonts w:ascii="Times New Roman" w:eastAsia="ScalaSansLF-Bold" w:hAnsi="Times New Roman"/>
          <w:bCs/>
          <w:color w:val="auto"/>
          <w:kern w:val="0"/>
          <w:sz w:val="24"/>
          <w:szCs w:val="24"/>
        </w:rPr>
        <w:t>2017</w:t>
      </w:r>
      <w:r w:rsidRPr="00393723">
        <w:rPr>
          <w:rFonts w:ascii="Times New Roman" w:eastAsia="ScalaSansLF-Regular" w:hAnsi="Times New Roman"/>
          <w:color w:val="auto"/>
          <w:kern w:val="0"/>
          <w:sz w:val="24"/>
          <w:szCs w:val="24"/>
        </w:rPr>
        <w:t xml:space="preserve">, 7, 1700012. </w:t>
      </w:r>
    </w:p>
    <w:p w:rsidR="00ED3347" w:rsidRPr="00393723" w:rsidRDefault="00ED3347" w:rsidP="00ED3347">
      <w:pPr>
        <w:pStyle w:val="a6"/>
        <w:numPr>
          <w:ilvl w:val="0"/>
          <w:numId w:val="1"/>
        </w:numPr>
        <w:adjustRightInd w:val="0"/>
        <w:snapToGrid w:val="0"/>
        <w:spacing w:before="0" w:after="0"/>
        <w:ind w:left="567" w:firstLineChars="0" w:hanging="567"/>
        <w:rPr>
          <w:rFonts w:ascii="Times New Roman" w:eastAsiaTheme="minorEastAsia" w:hAnsi="Times New Roman"/>
          <w:color w:val="auto"/>
          <w:sz w:val="24"/>
          <w:szCs w:val="24"/>
        </w:rPr>
      </w:pPr>
      <w:r w:rsidRPr="00393723">
        <w:rPr>
          <w:rFonts w:ascii="Times New Roman" w:hAnsi="Times New Roman"/>
          <w:color w:val="auto"/>
          <w:sz w:val="24"/>
          <w:szCs w:val="24"/>
        </w:rPr>
        <w:t xml:space="preserve">Tao Ye, Weifei Fu, Jiake Wu, Xinyi Jin, Hongzheng Chen*, and Hanying Li*, Single-crystalline lead Halide perovskite arrays for solar cells, </w:t>
      </w:r>
      <w:r w:rsidRPr="00393723">
        <w:rPr>
          <w:rFonts w:ascii="Times New Roman" w:hAnsi="Times New Roman"/>
          <w:i/>
          <w:color w:val="auto"/>
          <w:kern w:val="0"/>
          <w:sz w:val="24"/>
          <w:szCs w:val="24"/>
        </w:rPr>
        <w:t xml:space="preserve">Journal of Materials Chemistry A, </w:t>
      </w:r>
      <w:r w:rsidRPr="00393723">
        <w:rPr>
          <w:rFonts w:ascii="Times New Roman" w:hAnsi="Times New Roman"/>
          <w:color w:val="auto"/>
          <w:sz w:val="24"/>
          <w:szCs w:val="24"/>
        </w:rPr>
        <w:t xml:space="preserve">2016, </w:t>
      </w:r>
      <w:r w:rsidRPr="00393723">
        <w:rPr>
          <w:rFonts w:ascii="Times New Roman" w:hAnsi="Times New Roman"/>
          <w:bCs/>
          <w:color w:val="auto"/>
          <w:sz w:val="24"/>
          <w:szCs w:val="24"/>
        </w:rPr>
        <w:t>4</w:t>
      </w:r>
      <w:r w:rsidRPr="00393723">
        <w:rPr>
          <w:rFonts w:ascii="Times New Roman" w:hAnsi="Times New Roman"/>
          <w:color w:val="auto"/>
          <w:sz w:val="24"/>
          <w:szCs w:val="24"/>
        </w:rPr>
        <w:t>, 1214-1217.</w:t>
      </w:r>
      <w:r w:rsidRPr="00393723">
        <w:rPr>
          <w:rFonts w:ascii="Times New Roman" w:hAnsi="Times New Roman"/>
          <w:color w:val="auto"/>
          <w:kern w:val="0"/>
          <w:sz w:val="24"/>
          <w:szCs w:val="24"/>
        </w:rPr>
        <w:t xml:space="preserve"> </w:t>
      </w:r>
    </w:p>
    <w:p w:rsidR="00ED3347" w:rsidRPr="00393723" w:rsidRDefault="00ED3347" w:rsidP="00ED3347">
      <w:pPr>
        <w:numPr>
          <w:ilvl w:val="0"/>
          <w:numId w:val="1"/>
        </w:numPr>
        <w:tabs>
          <w:tab w:val="left" w:pos="945"/>
          <w:tab w:val="left" w:pos="2160"/>
          <w:tab w:val="left" w:pos="2880"/>
          <w:tab w:val="left" w:pos="3600"/>
          <w:tab w:val="left" w:pos="4320"/>
          <w:tab w:val="left" w:pos="5040"/>
          <w:tab w:val="left" w:pos="5760"/>
          <w:tab w:val="left" w:pos="6480"/>
          <w:tab w:val="left" w:pos="7200"/>
          <w:tab w:val="left" w:pos="7920"/>
        </w:tabs>
        <w:adjustRightInd w:val="0"/>
        <w:snapToGrid w:val="0"/>
        <w:ind w:left="567" w:hanging="567"/>
        <w:rPr>
          <w:sz w:val="24"/>
          <w:szCs w:val="24"/>
        </w:rPr>
      </w:pPr>
      <w:r w:rsidRPr="00393723">
        <w:rPr>
          <w:sz w:val="24"/>
          <w:szCs w:val="24"/>
        </w:rPr>
        <w:t xml:space="preserve">Zhuowei Gu, Lijian Zuo, Thue T. Larsen-Olsen, Tao Ye, Gang Wu, Frederic C. Krebs*, and Hongzheng Chen*, Interfacial engineering of self-assembling monolayer modified semi-roll-to-roll planar heterojunction mixed halide perovskite solar cells on flexible substrates, </w:t>
      </w:r>
      <w:r w:rsidRPr="00393723">
        <w:rPr>
          <w:i/>
          <w:sz w:val="24"/>
          <w:szCs w:val="24"/>
        </w:rPr>
        <w:t>Journal of Materials Chemistry A</w:t>
      </w:r>
      <w:r w:rsidRPr="00393723">
        <w:rPr>
          <w:sz w:val="24"/>
          <w:szCs w:val="24"/>
        </w:rPr>
        <w:t xml:space="preserve">, 2015, </w:t>
      </w:r>
      <w:r w:rsidRPr="00393723">
        <w:rPr>
          <w:bCs/>
          <w:sz w:val="24"/>
          <w:szCs w:val="24"/>
        </w:rPr>
        <w:t>3</w:t>
      </w:r>
      <w:r w:rsidRPr="00393723">
        <w:rPr>
          <w:sz w:val="24"/>
          <w:szCs w:val="24"/>
        </w:rPr>
        <w:t>, 24254-24260.</w:t>
      </w:r>
    </w:p>
    <w:p w:rsidR="00ED3347" w:rsidRPr="00393723" w:rsidRDefault="00ED3347" w:rsidP="004252A5">
      <w:pPr>
        <w:rPr>
          <w:sz w:val="24"/>
          <w:szCs w:val="24"/>
        </w:rPr>
      </w:pPr>
      <w:r w:rsidRPr="00393723">
        <w:rPr>
          <w:rFonts w:hint="eastAsia"/>
          <w:sz w:val="24"/>
          <w:szCs w:val="24"/>
        </w:rPr>
        <w:t>知识产权目录</w:t>
      </w:r>
    </w:p>
    <w:p w:rsidR="00ED3347" w:rsidRPr="007A41C6" w:rsidRDefault="00A40CCC" w:rsidP="007A41C6">
      <w:pPr>
        <w:pStyle w:val="a6"/>
        <w:numPr>
          <w:ilvl w:val="0"/>
          <w:numId w:val="3"/>
        </w:numPr>
        <w:adjustRightInd w:val="0"/>
        <w:snapToGrid w:val="0"/>
        <w:spacing w:before="0" w:after="0"/>
        <w:ind w:left="357" w:firstLineChars="0" w:hanging="357"/>
        <w:rPr>
          <w:rFonts w:ascii="Times New Roman" w:eastAsiaTheme="minorEastAsia" w:hAnsi="Times New Roman"/>
          <w:color w:val="auto"/>
          <w:sz w:val="24"/>
          <w:szCs w:val="24"/>
        </w:rPr>
      </w:pPr>
      <w:r w:rsidRPr="007A41C6">
        <w:rPr>
          <w:rFonts w:ascii="Times New Roman" w:eastAsiaTheme="minorEastAsia" w:hAnsi="Times New Roman"/>
          <w:color w:val="auto"/>
          <w:sz w:val="24"/>
          <w:szCs w:val="24"/>
        </w:rPr>
        <w:t>陈红征</w:t>
      </w:r>
      <w:r w:rsidR="00DE3A9B"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鄢杰林</w:t>
      </w:r>
      <w:r w:rsidR="00DE3A9B"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付伟飞</w:t>
      </w:r>
      <w:r w:rsidR="00DE3A9B"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吴刚，</w:t>
      </w:r>
      <w:r w:rsidR="00DE3A9B" w:rsidRPr="007A41C6">
        <w:rPr>
          <w:rFonts w:ascii="Times New Roman" w:eastAsiaTheme="minorEastAsia" w:hAnsi="Times New Roman"/>
          <w:color w:val="auto"/>
          <w:sz w:val="24"/>
          <w:szCs w:val="24"/>
        </w:rPr>
        <w:t>垂直取向结构的二维有机</w:t>
      </w:r>
      <w:r w:rsidR="00DE3A9B" w:rsidRPr="007A41C6">
        <w:rPr>
          <w:rFonts w:ascii="Times New Roman" w:eastAsiaTheme="minorEastAsia" w:hAnsi="Times New Roman"/>
          <w:color w:val="auto"/>
          <w:sz w:val="24"/>
          <w:szCs w:val="24"/>
        </w:rPr>
        <w:t>-</w:t>
      </w:r>
      <w:r w:rsidR="00DE3A9B" w:rsidRPr="007A41C6">
        <w:rPr>
          <w:rFonts w:ascii="Times New Roman" w:eastAsiaTheme="minorEastAsia" w:hAnsi="Times New Roman"/>
          <w:color w:val="auto"/>
          <w:sz w:val="24"/>
          <w:szCs w:val="24"/>
        </w:rPr>
        <w:t>无机杂化钙钛矿薄膜材料</w:t>
      </w:r>
      <w:r w:rsidR="00DE3A9B" w:rsidRPr="007A41C6">
        <w:rPr>
          <w:rFonts w:ascii="Times New Roman" w:eastAsiaTheme="minorEastAsia" w:hAnsi="Times New Roman"/>
          <w:color w:val="auto"/>
          <w:sz w:val="24"/>
          <w:szCs w:val="24"/>
        </w:rPr>
        <w:t xml:space="preserve">, </w:t>
      </w:r>
      <w:r w:rsidR="00DE3A9B" w:rsidRPr="007A41C6">
        <w:rPr>
          <w:rFonts w:ascii="Times New Roman" w:eastAsiaTheme="minorEastAsia" w:hAnsi="Times New Roman"/>
          <w:color w:val="auto"/>
          <w:sz w:val="24"/>
          <w:szCs w:val="24"/>
        </w:rPr>
        <w:t>中国发明专利</w:t>
      </w:r>
      <w:r w:rsidR="00DE3A9B" w:rsidRPr="007A41C6">
        <w:rPr>
          <w:rFonts w:ascii="Times New Roman" w:eastAsiaTheme="minorEastAsia" w:hAnsi="Times New Roman"/>
          <w:color w:val="auto"/>
          <w:sz w:val="24"/>
          <w:szCs w:val="24"/>
        </w:rPr>
        <w:t xml:space="preserve">, </w:t>
      </w:r>
      <w:r w:rsidR="00DE3A9B" w:rsidRPr="007A41C6">
        <w:rPr>
          <w:rFonts w:ascii="Times New Roman" w:eastAsiaTheme="minorEastAsia" w:hAnsi="Times New Roman"/>
          <w:color w:val="auto"/>
          <w:sz w:val="24"/>
          <w:szCs w:val="24"/>
        </w:rPr>
        <w:t>专利号</w:t>
      </w:r>
      <w:r w:rsidR="00DE3A9B" w:rsidRPr="007A41C6">
        <w:rPr>
          <w:rFonts w:ascii="Times New Roman" w:eastAsiaTheme="minorEastAsia" w:hAnsi="Times New Roman"/>
          <w:color w:val="auto"/>
          <w:sz w:val="24"/>
          <w:szCs w:val="24"/>
        </w:rPr>
        <w:t xml:space="preserve">: ZL201710024826.5, </w:t>
      </w:r>
      <w:r w:rsidR="00DE3A9B" w:rsidRPr="007A41C6">
        <w:rPr>
          <w:rFonts w:ascii="Times New Roman" w:eastAsiaTheme="minorEastAsia" w:hAnsi="Times New Roman"/>
          <w:color w:val="auto"/>
          <w:sz w:val="24"/>
          <w:szCs w:val="24"/>
        </w:rPr>
        <w:t>授权日</w:t>
      </w:r>
      <w:r w:rsidR="00DE3A9B" w:rsidRPr="007A41C6">
        <w:rPr>
          <w:rFonts w:ascii="Times New Roman" w:eastAsiaTheme="minorEastAsia" w:hAnsi="Times New Roman"/>
          <w:color w:val="auto"/>
          <w:sz w:val="24"/>
          <w:szCs w:val="24"/>
        </w:rPr>
        <w:t>: 2019.08.23.</w:t>
      </w:r>
    </w:p>
    <w:p w:rsidR="00DE3A9B" w:rsidRPr="007A41C6" w:rsidRDefault="00DE3A9B" w:rsidP="007A41C6">
      <w:pPr>
        <w:pStyle w:val="a6"/>
        <w:numPr>
          <w:ilvl w:val="0"/>
          <w:numId w:val="3"/>
        </w:numPr>
        <w:adjustRightInd w:val="0"/>
        <w:snapToGrid w:val="0"/>
        <w:spacing w:before="0" w:after="0"/>
        <w:ind w:left="357" w:firstLineChars="0" w:hanging="357"/>
        <w:rPr>
          <w:rFonts w:ascii="Times New Roman" w:eastAsiaTheme="minorEastAsia" w:hAnsi="Times New Roman"/>
          <w:color w:val="auto"/>
          <w:sz w:val="24"/>
          <w:szCs w:val="24"/>
        </w:rPr>
      </w:pPr>
      <w:r w:rsidRPr="007A41C6">
        <w:rPr>
          <w:rFonts w:ascii="Times New Roman" w:eastAsiaTheme="minorEastAsia" w:hAnsi="Times New Roman"/>
          <w:color w:val="auto"/>
          <w:sz w:val="24"/>
          <w:szCs w:val="24"/>
        </w:rPr>
        <w:t>吴刚</w:t>
      </w:r>
      <w:r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张欣茜</w:t>
      </w:r>
      <w:r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陈红征</w:t>
      </w:r>
      <w:r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基于有机</w:t>
      </w:r>
      <w:r w:rsidRPr="007A41C6">
        <w:rPr>
          <w:rFonts w:ascii="Times New Roman" w:eastAsiaTheme="minorEastAsia" w:hAnsi="Times New Roman"/>
          <w:color w:val="auto"/>
          <w:sz w:val="24"/>
          <w:szCs w:val="24"/>
        </w:rPr>
        <w:t>-</w:t>
      </w:r>
      <w:r w:rsidRPr="007A41C6">
        <w:rPr>
          <w:rFonts w:ascii="Times New Roman" w:eastAsiaTheme="minorEastAsia" w:hAnsi="Times New Roman"/>
          <w:color w:val="auto"/>
          <w:sz w:val="24"/>
          <w:szCs w:val="24"/>
        </w:rPr>
        <w:t>无机杂化钙钛矿取向结晶薄膜的太阳电池</w:t>
      </w:r>
      <w:r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中国发明专利</w:t>
      </w:r>
      <w:r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专利号</w:t>
      </w:r>
      <w:r w:rsidRPr="007A41C6">
        <w:rPr>
          <w:rFonts w:ascii="Times New Roman" w:eastAsiaTheme="minorEastAsia" w:hAnsi="Times New Roman"/>
          <w:color w:val="auto"/>
          <w:sz w:val="24"/>
          <w:szCs w:val="24"/>
        </w:rPr>
        <w:t xml:space="preserve">: ZL201710025115.X, </w:t>
      </w:r>
      <w:r w:rsidRPr="007A41C6">
        <w:rPr>
          <w:rFonts w:ascii="Times New Roman" w:eastAsiaTheme="minorEastAsia" w:hAnsi="Times New Roman"/>
          <w:color w:val="auto"/>
          <w:sz w:val="24"/>
          <w:szCs w:val="24"/>
        </w:rPr>
        <w:t>授权日</w:t>
      </w:r>
      <w:r w:rsidRPr="007A41C6">
        <w:rPr>
          <w:rFonts w:ascii="Times New Roman" w:eastAsiaTheme="minorEastAsia" w:hAnsi="Times New Roman"/>
          <w:color w:val="auto"/>
          <w:sz w:val="24"/>
          <w:szCs w:val="24"/>
        </w:rPr>
        <w:t>: 2019.08.27.</w:t>
      </w:r>
    </w:p>
    <w:p w:rsidR="00DE3A9B" w:rsidRPr="007A41C6" w:rsidRDefault="00DE3A9B" w:rsidP="007A41C6">
      <w:pPr>
        <w:pStyle w:val="a6"/>
        <w:numPr>
          <w:ilvl w:val="0"/>
          <w:numId w:val="3"/>
        </w:numPr>
        <w:adjustRightInd w:val="0"/>
        <w:snapToGrid w:val="0"/>
        <w:spacing w:before="0" w:after="0"/>
        <w:ind w:left="357" w:firstLineChars="0" w:hanging="357"/>
        <w:rPr>
          <w:rFonts w:ascii="Times New Roman" w:eastAsiaTheme="minorEastAsia" w:hAnsi="Times New Roman"/>
          <w:color w:val="auto"/>
          <w:sz w:val="24"/>
          <w:szCs w:val="24"/>
        </w:rPr>
      </w:pPr>
      <w:r w:rsidRPr="007A41C6">
        <w:rPr>
          <w:rFonts w:ascii="Times New Roman" w:eastAsiaTheme="minorEastAsia" w:hAnsi="Times New Roman"/>
          <w:color w:val="auto"/>
          <w:sz w:val="24"/>
          <w:szCs w:val="24"/>
        </w:rPr>
        <w:t>吴刚</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连小梅</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陈杰焕</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陈红征</w:t>
      </w:r>
      <w:r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梯度结构特征的二维</w:t>
      </w:r>
      <w:r w:rsidRPr="007A41C6">
        <w:rPr>
          <w:rFonts w:ascii="Times New Roman" w:eastAsiaTheme="minorEastAsia" w:hAnsi="Times New Roman"/>
          <w:color w:val="auto"/>
          <w:sz w:val="24"/>
          <w:szCs w:val="24"/>
        </w:rPr>
        <w:t>Ruddlesden-Popper</w:t>
      </w:r>
      <w:r w:rsidRPr="007A41C6">
        <w:rPr>
          <w:rFonts w:ascii="Times New Roman" w:eastAsiaTheme="minorEastAsia" w:hAnsi="Times New Roman"/>
          <w:color w:val="auto"/>
          <w:sz w:val="24"/>
          <w:szCs w:val="24"/>
        </w:rPr>
        <w:t>杂化钙钛矿薄膜及其制备方法</w:t>
      </w:r>
      <w:r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中国发明专利</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专利号：</w:t>
      </w:r>
      <w:r w:rsidRPr="007A41C6">
        <w:rPr>
          <w:rFonts w:ascii="Times New Roman" w:eastAsiaTheme="minorEastAsia" w:hAnsi="Times New Roman"/>
          <w:color w:val="auto"/>
          <w:sz w:val="24"/>
          <w:szCs w:val="24"/>
        </w:rPr>
        <w:t>ZL201910289614.9</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授权日</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2020.12.20.</w:t>
      </w:r>
    </w:p>
    <w:p w:rsidR="00DE3A9B" w:rsidRPr="007A41C6" w:rsidRDefault="00DE3A9B" w:rsidP="007A41C6">
      <w:pPr>
        <w:pStyle w:val="a6"/>
        <w:numPr>
          <w:ilvl w:val="0"/>
          <w:numId w:val="3"/>
        </w:numPr>
        <w:adjustRightInd w:val="0"/>
        <w:snapToGrid w:val="0"/>
        <w:spacing w:before="0" w:after="0"/>
        <w:ind w:left="357" w:firstLineChars="0" w:hanging="357"/>
        <w:rPr>
          <w:rFonts w:ascii="Times New Roman" w:eastAsiaTheme="minorEastAsia" w:hAnsi="Times New Roman"/>
          <w:color w:val="auto"/>
          <w:sz w:val="24"/>
          <w:szCs w:val="24"/>
        </w:rPr>
      </w:pPr>
      <w:r w:rsidRPr="007A41C6">
        <w:rPr>
          <w:rFonts w:ascii="Times New Roman" w:eastAsiaTheme="minorEastAsia" w:hAnsi="Times New Roman"/>
          <w:color w:val="auto"/>
          <w:sz w:val="24"/>
          <w:szCs w:val="24"/>
        </w:rPr>
        <w:t>吴刚</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连小梅</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陈杰焕</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陈红征</w:t>
      </w:r>
      <w:r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膜厚不敏感的反型厚膜二维杂化钙钛矿太阳电池及其制备方法</w:t>
      </w:r>
      <w:r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中国发明专利</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专利号</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ZL201910289598.3</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授权日</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2021.01.01.</w:t>
      </w:r>
    </w:p>
    <w:p w:rsidR="00DE3A9B" w:rsidRPr="007A41C6" w:rsidRDefault="00DE3A9B" w:rsidP="007A41C6">
      <w:pPr>
        <w:pStyle w:val="a6"/>
        <w:numPr>
          <w:ilvl w:val="0"/>
          <w:numId w:val="3"/>
        </w:numPr>
        <w:adjustRightInd w:val="0"/>
        <w:snapToGrid w:val="0"/>
        <w:spacing w:before="0" w:after="0"/>
        <w:ind w:left="357" w:firstLineChars="0" w:hanging="357"/>
        <w:rPr>
          <w:rFonts w:ascii="Times New Roman" w:eastAsiaTheme="minorEastAsia" w:hAnsi="Times New Roman"/>
          <w:color w:val="auto"/>
          <w:sz w:val="24"/>
          <w:szCs w:val="24"/>
        </w:rPr>
      </w:pPr>
      <w:r w:rsidRPr="007A41C6">
        <w:rPr>
          <w:rFonts w:ascii="Times New Roman" w:eastAsiaTheme="minorEastAsia" w:hAnsi="Times New Roman"/>
          <w:color w:val="auto"/>
          <w:sz w:val="24"/>
          <w:szCs w:val="24"/>
        </w:rPr>
        <w:t>吴刚</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连小梅</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陈杰焕</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陈红征</w:t>
      </w:r>
      <w:r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勾配構造特徴を持つＲｕｄｄｌｅｓｄｅｎ－Ｐｏｐｐｅｒ型二次元ハイブリッドペロブスカイトフィルムフィルム及びその製造方法</w:t>
      </w:r>
      <w:r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日本发明专利</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专利号</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特愿</w:t>
      </w:r>
      <w:r w:rsidRPr="007A41C6">
        <w:rPr>
          <w:rFonts w:ascii="Times New Roman" w:eastAsiaTheme="minorEastAsia" w:hAnsi="Times New Roman"/>
          <w:color w:val="auto"/>
          <w:sz w:val="24"/>
          <w:szCs w:val="24"/>
        </w:rPr>
        <w:t>2020-529303</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授权日</w:t>
      </w:r>
      <w:r w:rsidR="000254CA" w:rsidRPr="007A41C6">
        <w:rPr>
          <w:rFonts w:ascii="Times New Roman" w:eastAsiaTheme="minorEastAsia" w:hAnsi="Times New Roman"/>
          <w:color w:val="auto"/>
          <w:sz w:val="24"/>
          <w:szCs w:val="24"/>
        </w:rPr>
        <w:t xml:space="preserve">: </w:t>
      </w:r>
      <w:r w:rsidRPr="007A41C6">
        <w:rPr>
          <w:rFonts w:ascii="Times New Roman" w:eastAsiaTheme="minorEastAsia" w:hAnsi="Times New Roman"/>
          <w:color w:val="auto"/>
          <w:sz w:val="24"/>
          <w:szCs w:val="24"/>
        </w:rPr>
        <w:t>2022.02.28.</w:t>
      </w:r>
    </w:p>
    <w:p w:rsidR="00ED3347" w:rsidRDefault="004252A5">
      <w:r w:rsidRPr="00B272D7">
        <w:rPr>
          <w:rFonts w:eastAsia="仿宋_GB2312" w:hint="eastAsia"/>
          <w:color w:val="FF0000"/>
          <w:sz w:val="32"/>
          <w:szCs w:val="32"/>
        </w:rPr>
        <w:lastRenderedPageBreak/>
        <w:t>公示信息表</w:t>
      </w:r>
      <w:r>
        <w:rPr>
          <w:rFonts w:eastAsia="仿宋_GB2312" w:hint="eastAsia"/>
          <w:color w:val="FF0000"/>
          <w:sz w:val="32"/>
          <w:szCs w:val="32"/>
        </w:rPr>
        <w:t>，确认不会修改后，</w:t>
      </w:r>
      <w:r w:rsidRPr="00B272D7">
        <w:rPr>
          <w:rFonts w:eastAsia="仿宋_GB2312" w:hint="eastAsia"/>
          <w:color w:val="FF0000"/>
          <w:sz w:val="32"/>
          <w:szCs w:val="32"/>
        </w:rPr>
        <w:t>请发送到科研院成果部</w:t>
      </w:r>
      <w:r w:rsidRPr="00B272D7">
        <w:rPr>
          <w:rFonts w:eastAsia="仿宋_GB2312" w:hint="eastAsia"/>
          <w:color w:val="FF0000"/>
          <w:sz w:val="32"/>
          <w:szCs w:val="32"/>
        </w:rPr>
        <w:t>kyc</w:t>
      </w:r>
      <w:r w:rsidRPr="00B272D7">
        <w:rPr>
          <w:rFonts w:eastAsia="仿宋_GB2312"/>
          <w:color w:val="FF0000"/>
          <w:sz w:val="32"/>
          <w:szCs w:val="32"/>
        </w:rPr>
        <w:t>1@zju.edu.cn</w:t>
      </w:r>
      <w:r w:rsidRPr="00B272D7">
        <w:rPr>
          <w:rFonts w:eastAsia="仿宋_GB2312" w:hint="eastAsia"/>
          <w:color w:val="FF0000"/>
          <w:sz w:val="32"/>
          <w:szCs w:val="32"/>
        </w:rPr>
        <w:t>邮箱。</w:t>
      </w:r>
      <w:r>
        <w:rPr>
          <w:rFonts w:eastAsia="仿宋_GB2312" w:hint="eastAsia"/>
          <w:color w:val="FF0000"/>
          <w:sz w:val="32"/>
          <w:szCs w:val="32"/>
        </w:rPr>
        <w:t>由科研院按照先后顺序进行公示。</w:t>
      </w:r>
    </w:p>
    <w:p w:rsidR="00ED3347" w:rsidRPr="00653BB3" w:rsidRDefault="00ED3347"/>
    <w:sectPr w:rsidR="00ED3347" w:rsidRPr="00653B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3B5" w:rsidRDefault="00DB73B5"/>
  </w:endnote>
  <w:endnote w:type="continuationSeparator" w:id="0">
    <w:p w:rsidR="00DB73B5" w:rsidRDefault="00DB7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icrosoft YaHei UI"/>
    <w:charset w:val="86"/>
    <w:family w:val="script"/>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ScalaSansLF-Bold">
    <w:altName w:val="微软雅黑"/>
    <w:panose1 w:val="00000000000000000000"/>
    <w:charset w:val="86"/>
    <w:family w:val="swiss"/>
    <w:notTrueType/>
    <w:pitch w:val="default"/>
    <w:sig w:usb0="00000001" w:usb1="080E0000" w:usb2="00000010" w:usb3="00000000" w:csb0="00040000" w:csb1="00000000"/>
  </w:font>
  <w:font w:name="ScalaSansLF-Regular">
    <w:altName w:val="Yu Gothic"/>
    <w:panose1 w:val="00000000000000000000"/>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3B5" w:rsidRDefault="00DB73B5"/>
  </w:footnote>
  <w:footnote w:type="continuationSeparator" w:id="0">
    <w:p w:rsidR="00DB73B5" w:rsidRDefault="00DB73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163A2"/>
    <w:multiLevelType w:val="singleLevel"/>
    <w:tmpl w:val="10D163A2"/>
    <w:lvl w:ilvl="0">
      <w:start w:val="1"/>
      <w:numFmt w:val="decimal"/>
      <w:lvlText w:val="%1. "/>
      <w:lvlJc w:val="left"/>
      <w:pPr>
        <w:tabs>
          <w:tab w:val="left" w:pos="0"/>
        </w:tabs>
        <w:ind w:left="907" w:hanging="623"/>
      </w:pPr>
      <w:rPr>
        <w:rFonts w:ascii="Times New Roman" w:hAnsi="Times New Roman" w:hint="default"/>
        <w:b w:val="0"/>
        <w:i w:val="0"/>
        <w:color w:val="000000"/>
        <w:sz w:val="21"/>
        <w:u w:val="none"/>
      </w:rPr>
    </w:lvl>
  </w:abstractNum>
  <w:abstractNum w:abstractNumId="1" w15:restartNumberingAfterBreak="0">
    <w:nsid w:val="65A23A40"/>
    <w:multiLevelType w:val="hybridMultilevel"/>
    <w:tmpl w:val="50E82ED0"/>
    <w:lvl w:ilvl="0" w:tplc="789EA8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8244F49"/>
    <w:multiLevelType w:val="hybridMultilevel"/>
    <w:tmpl w:val="F51A9164"/>
    <w:lvl w:ilvl="0" w:tplc="18AAA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8A"/>
    <w:rsid w:val="000254CA"/>
    <w:rsid w:val="00077C87"/>
    <w:rsid w:val="000838BF"/>
    <w:rsid w:val="00133845"/>
    <w:rsid w:val="00393723"/>
    <w:rsid w:val="004252A5"/>
    <w:rsid w:val="004D3794"/>
    <w:rsid w:val="005956FF"/>
    <w:rsid w:val="00653BB3"/>
    <w:rsid w:val="007A378A"/>
    <w:rsid w:val="007A41C6"/>
    <w:rsid w:val="00821DF8"/>
    <w:rsid w:val="008A07A6"/>
    <w:rsid w:val="008B76F6"/>
    <w:rsid w:val="009228EE"/>
    <w:rsid w:val="00A2366E"/>
    <w:rsid w:val="00A40CCC"/>
    <w:rsid w:val="00A978AA"/>
    <w:rsid w:val="00B272D7"/>
    <w:rsid w:val="00BA1D2F"/>
    <w:rsid w:val="00C03F73"/>
    <w:rsid w:val="00CC64D3"/>
    <w:rsid w:val="00DB73B5"/>
    <w:rsid w:val="00DE3A9B"/>
    <w:rsid w:val="00ED3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06128"/>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List Paragraph"/>
    <w:basedOn w:val="a"/>
    <w:uiPriority w:val="34"/>
    <w:qFormat/>
    <w:rsid w:val="00ED3347"/>
    <w:pPr>
      <w:spacing w:before="260" w:after="260"/>
      <w:ind w:firstLineChars="200" w:firstLine="420"/>
    </w:pPr>
    <w:rPr>
      <w:rFonts w:ascii="Calibri" w:hAnsi="Calibri"/>
      <w:color w:val="FF0000"/>
      <w:szCs w:val="22"/>
    </w:rPr>
  </w:style>
  <w:style w:type="paragraph" w:styleId="a7">
    <w:name w:val="header"/>
    <w:basedOn w:val="a"/>
    <w:link w:val="a8"/>
    <w:uiPriority w:val="99"/>
    <w:unhideWhenUsed/>
    <w:rsid w:val="007A41C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A41C6"/>
    <w:rPr>
      <w:rFonts w:ascii="Times New Roman" w:eastAsia="宋体" w:hAnsi="Times New Roman" w:cs="Times New Roman"/>
      <w:sz w:val="18"/>
      <w:szCs w:val="18"/>
    </w:rPr>
  </w:style>
  <w:style w:type="paragraph" w:styleId="a9">
    <w:name w:val="footer"/>
    <w:basedOn w:val="a"/>
    <w:link w:val="aa"/>
    <w:uiPriority w:val="99"/>
    <w:unhideWhenUsed/>
    <w:rsid w:val="007A41C6"/>
    <w:pPr>
      <w:tabs>
        <w:tab w:val="center" w:pos="4153"/>
        <w:tab w:val="right" w:pos="8306"/>
      </w:tabs>
      <w:snapToGrid w:val="0"/>
      <w:jc w:val="left"/>
    </w:pPr>
    <w:rPr>
      <w:sz w:val="18"/>
      <w:szCs w:val="18"/>
    </w:rPr>
  </w:style>
  <w:style w:type="character" w:customStyle="1" w:styleId="aa">
    <w:name w:val="页脚 字符"/>
    <w:basedOn w:val="a0"/>
    <w:link w:val="a9"/>
    <w:uiPriority w:val="99"/>
    <w:rsid w:val="007A41C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samy</cp:lastModifiedBy>
  <cp:revision>5</cp:revision>
  <dcterms:created xsi:type="dcterms:W3CDTF">2024-08-06T03:00:00Z</dcterms:created>
  <dcterms:modified xsi:type="dcterms:W3CDTF">2024-08-07T06:14:00Z</dcterms:modified>
</cp:coreProperties>
</file>