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F4FA"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0BEFE3F4" w14:textId="48B0C88A"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229"/>
      </w:tblGrid>
      <w:tr w:rsidR="007A378A" w:rsidRPr="007A378A" w14:paraId="3CD22DAF" w14:textId="77777777" w:rsidTr="00E85E4F">
        <w:trPr>
          <w:trHeight w:val="647"/>
        </w:trPr>
        <w:tc>
          <w:tcPr>
            <w:tcW w:w="1447" w:type="dxa"/>
            <w:vAlign w:val="center"/>
          </w:tcPr>
          <w:p w14:paraId="0D08C5E9"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7229" w:type="dxa"/>
            <w:vAlign w:val="center"/>
          </w:tcPr>
          <w:p w14:paraId="249D2CF3" w14:textId="145EDBA3" w:rsidR="007A378A" w:rsidRPr="007A378A" w:rsidRDefault="0017255F" w:rsidP="0000285E">
            <w:pPr>
              <w:jc w:val="center"/>
              <w:rPr>
                <w:rStyle w:val="title1"/>
                <w:rFonts w:eastAsia="仿宋_GB2312"/>
                <w:b w:val="0"/>
                <w:color w:val="auto"/>
                <w:sz w:val="28"/>
              </w:rPr>
            </w:pPr>
            <w:r w:rsidRPr="0017255F">
              <w:rPr>
                <w:rStyle w:val="title1"/>
                <w:rFonts w:eastAsia="仿宋_GB2312" w:hint="eastAsia"/>
                <w:b w:val="0"/>
                <w:color w:val="auto"/>
                <w:sz w:val="28"/>
              </w:rPr>
              <w:t>酸化土壤的微生物功能退变及生态修复机理</w:t>
            </w:r>
          </w:p>
        </w:tc>
      </w:tr>
      <w:tr w:rsidR="007A378A" w:rsidRPr="007A378A" w14:paraId="5DC4DA4E" w14:textId="77777777" w:rsidTr="00E85E4F">
        <w:trPr>
          <w:trHeight w:val="561"/>
        </w:trPr>
        <w:tc>
          <w:tcPr>
            <w:tcW w:w="1447" w:type="dxa"/>
            <w:vAlign w:val="center"/>
          </w:tcPr>
          <w:p w14:paraId="662F7062"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7229" w:type="dxa"/>
            <w:vAlign w:val="center"/>
          </w:tcPr>
          <w:p w14:paraId="44F74953" w14:textId="3AE3185A" w:rsidR="007A378A" w:rsidRPr="007A378A" w:rsidRDefault="0017255F" w:rsidP="0000285E">
            <w:pPr>
              <w:jc w:val="center"/>
              <w:rPr>
                <w:rStyle w:val="title1"/>
                <w:rFonts w:eastAsia="仿宋_GB2312"/>
                <w:b w:val="0"/>
                <w:color w:val="auto"/>
                <w:sz w:val="28"/>
              </w:rPr>
            </w:pPr>
            <w:r w:rsidRPr="0017255F">
              <w:rPr>
                <w:rStyle w:val="title1"/>
                <w:rFonts w:eastAsia="仿宋_GB2312" w:hint="eastAsia"/>
                <w:b w:val="0"/>
                <w:color w:val="auto"/>
                <w:sz w:val="28"/>
              </w:rPr>
              <w:t>一等</w:t>
            </w:r>
          </w:p>
        </w:tc>
      </w:tr>
      <w:tr w:rsidR="007A378A" w:rsidRPr="007A378A" w14:paraId="3A376980" w14:textId="77777777" w:rsidTr="00E85E4F">
        <w:trPr>
          <w:trHeight w:val="2461"/>
        </w:trPr>
        <w:tc>
          <w:tcPr>
            <w:tcW w:w="1447" w:type="dxa"/>
            <w:vAlign w:val="center"/>
          </w:tcPr>
          <w:p w14:paraId="63F7C46A"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33370DCB"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6219052D"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7229" w:type="dxa"/>
            <w:vAlign w:val="center"/>
          </w:tcPr>
          <w:p w14:paraId="7CAD23B5" w14:textId="40826E33" w:rsidR="00E85E4F" w:rsidRPr="00E85E4F" w:rsidRDefault="00E85E4F" w:rsidP="00E85E4F">
            <w:pPr>
              <w:pStyle w:val="aa"/>
              <w:numPr>
                <w:ilvl w:val="0"/>
                <w:numId w:val="1"/>
              </w:numPr>
              <w:spacing w:line="440" w:lineRule="exact"/>
              <w:ind w:firstLineChars="0"/>
              <w:rPr>
                <w:rFonts w:eastAsia="方正黑体简体"/>
                <w:szCs w:val="24"/>
              </w:rPr>
            </w:pPr>
            <w:proofErr w:type="spellStart"/>
            <w:r w:rsidRPr="00E85E4F">
              <w:rPr>
                <w:szCs w:val="24"/>
              </w:rPr>
              <w:t>Zhongmin</w:t>
            </w:r>
            <w:proofErr w:type="spellEnd"/>
            <w:r w:rsidRPr="00E85E4F">
              <w:rPr>
                <w:szCs w:val="24"/>
              </w:rPr>
              <w:t xml:space="preserve"> Dai; </w:t>
            </w:r>
            <w:proofErr w:type="spellStart"/>
            <w:r w:rsidRPr="00E85E4F">
              <w:rPr>
                <w:szCs w:val="24"/>
              </w:rPr>
              <w:t>Weiqin</w:t>
            </w:r>
            <w:proofErr w:type="spellEnd"/>
            <w:r w:rsidRPr="00E85E4F">
              <w:rPr>
                <w:szCs w:val="24"/>
              </w:rPr>
              <w:t xml:space="preserve"> </w:t>
            </w:r>
            <w:proofErr w:type="spellStart"/>
            <w:r w:rsidRPr="00E85E4F">
              <w:rPr>
                <w:szCs w:val="24"/>
              </w:rPr>
              <w:t>Su</w:t>
            </w:r>
            <w:proofErr w:type="spellEnd"/>
            <w:r w:rsidRPr="00E85E4F">
              <w:rPr>
                <w:szCs w:val="24"/>
              </w:rPr>
              <w:t xml:space="preserve">; </w:t>
            </w:r>
            <w:proofErr w:type="spellStart"/>
            <w:r w:rsidRPr="00E85E4F">
              <w:rPr>
                <w:szCs w:val="24"/>
              </w:rPr>
              <w:t>Huaihai</w:t>
            </w:r>
            <w:proofErr w:type="spellEnd"/>
            <w:r w:rsidRPr="00E85E4F">
              <w:rPr>
                <w:szCs w:val="24"/>
              </w:rPr>
              <w:t xml:space="preserve"> Chen; Albert </w:t>
            </w:r>
            <w:proofErr w:type="spellStart"/>
            <w:r w:rsidRPr="00E85E4F">
              <w:rPr>
                <w:szCs w:val="24"/>
              </w:rPr>
              <w:t>Barberán</w:t>
            </w:r>
            <w:proofErr w:type="spellEnd"/>
            <w:r w:rsidRPr="00E85E4F">
              <w:rPr>
                <w:szCs w:val="24"/>
              </w:rPr>
              <w:t xml:space="preserve">; </w:t>
            </w:r>
            <w:proofErr w:type="spellStart"/>
            <w:r w:rsidRPr="00E85E4F">
              <w:rPr>
                <w:szCs w:val="24"/>
              </w:rPr>
              <w:t>Haochun</w:t>
            </w:r>
            <w:proofErr w:type="spellEnd"/>
            <w:r w:rsidRPr="00E85E4F">
              <w:rPr>
                <w:szCs w:val="24"/>
              </w:rPr>
              <w:t xml:space="preserve"> Zhao; </w:t>
            </w:r>
            <w:proofErr w:type="spellStart"/>
            <w:r w:rsidRPr="00E85E4F">
              <w:rPr>
                <w:szCs w:val="24"/>
              </w:rPr>
              <w:t>Mengjie</w:t>
            </w:r>
            <w:proofErr w:type="spellEnd"/>
            <w:r w:rsidRPr="00E85E4F">
              <w:rPr>
                <w:szCs w:val="24"/>
              </w:rPr>
              <w:t xml:space="preserve"> Yu; Lu Yu; Philip C. Brookes; Christopher W. </w:t>
            </w:r>
            <w:proofErr w:type="spellStart"/>
            <w:r w:rsidRPr="00E85E4F">
              <w:rPr>
                <w:szCs w:val="24"/>
              </w:rPr>
              <w:t>Schadt</w:t>
            </w:r>
            <w:proofErr w:type="spellEnd"/>
            <w:r w:rsidRPr="00E85E4F">
              <w:rPr>
                <w:szCs w:val="24"/>
              </w:rPr>
              <w:t>; Scott X. Chang; Jianming Xu</w:t>
            </w:r>
            <w:r w:rsidRPr="00E85E4F">
              <w:rPr>
                <w:color w:val="222222"/>
                <w:szCs w:val="24"/>
                <w:shd w:val="clear" w:color="auto" w:fill="FFFFFF"/>
              </w:rPr>
              <w:t xml:space="preserve">. Long‐term nitrogen fertilization decreases bacterial diversity and favors the growth of Actinobacteria and Proteobacteria in </w:t>
            </w:r>
            <w:proofErr w:type="spellStart"/>
            <w:r w:rsidRPr="00E85E4F">
              <w:rPr>
                <w:color w:val="222222"/>
                <w:szCs w:val="24"/>
                <w:shd w:val="clear" w:color="auto" w:fill="FFFFFF"/>
              </w:rPr>
              <w:t>agro</w:t>
            </w:r>
            <w:proofErr w:type="spellEnd"/>
            <w:r w:rsidRPr="00E85E4F">
              <w:rPr>
                <w:color w:val="222222"/>
                <w:szCs w:val="24"/>
                <w:shd w:val="clear" w:color="auto" w:fill="FFFFFF"/>
              </w:rPr>
              <w:t>‐ecosystems across the globe. </w:t>
            </w:r>
            <w:r w:rsidRPr="00E85E4F">
              <w:rPr>
                <w:i/>
                <w:iCs/>
                <w:color w:val="222222"/>
                <w:szCs w:val="24"/>
                <w:shd w:val="clear" w:color="auto" w:fill="FFFFFF"/>
              </w:rPr>
              <w:t>Global Change Biology, 2018,</w:t>
            </w:r>
            <w:r w:rsidRPr="00E85E4F">
              <w:rPr>
                <w:color w:val="222222"/>
                <w:szCs w:val="24"/>
                <w:shd w:val="clear" w:color="auto" w:fill="FFFFFF"/>
              </w:rPr>
              <w:t> 24(8): 3452-3461.</w:t>
            </w:r>
            <w:r w:rsidRPr="00E85E4F">
              <w:rPr>
                <w:rFonts w:eastAsia="方正黑体简体"/>
                <w:szCs w:val="24"/>
              </w:rPr>
              <w:t xml:space="preserve"> </w:t>
            </w:r>
          </w:p>
          <w:p w14:paraId="4AFDB8BD" w14:textId="10E0E635" w:rsidR="00E85E4F" w:rsidRPr="00E85E4F" w:rsidRDefault="00E85E4F" w:rsidP="00E85E4F">
            <w:pPr>
              <w:pStyle w:val="aa"/>
              <w:numPr>
                <w:ilvl w:val="0"/>
                <w:numId w:val="1"/>
              </w:numPr>
              <w:spacing w:line="440" w:lineRule="exact"/>
              <w:ind w:firstLineChars="0"/>
              <w:rPr>
                <w:rFonts w:eastAsia="方正黑体简体"/>
                <w:szCs w:val="24"/>
              </w:rPr>
            </w:pPr>
            <w:r w:rsidRPr="00E85E4F">
              <w:rPr>
                <w:szCs w:val="24"/>
              </w:rPr>
              <w:t xml:space="preserve">Bin Ma; </w:t>
            </w:r>
            <w:proofErr w:type="spellStart"/>
            <w:r w:rsidRPr="00E85E4F">
              <w:rPr>
                <w:szCs w:val="24"/>
              </w:rPr>
              <w:t>Haizhen</w:t>
            </w:r>
            <w:proofErr w:type="spellEnd"/>
            <w:r w:rsidRPr="00E85E4F">
              <w:rPr>
                <w:szCs w:val="24"/>
              </w:rPr>
              <w:t xml:space="preserve"> Wang; Melissa Dsouza; Jun Lou; Yan He; </w:t>
            </w:r>
            <w:proofErr w:type="spellStart"/>
            <w:r w:rsidRPr="00E85E4F">
              <w:rPr>
                <w:szCs w:val="24"/>
              </w:rPr>
              <w:t>Zhongmin</w:t>
            </w:r>
            <w:proofErr w:type="spellEnd"/>
            <w:r w:rsidRPr="00E85E4F">
              <w:rPr>
                <w:szCs w:val="24"/>
              </w:rPr>
              <w:t xml:space="preserve"> Dai; Philip C Brookes; Jianming Xu; Jack A Gilbert</w:t>
            </w:r>
            <w:r w:rsidRPr="00E85E4F">
              <w:rPr>
                <w:color w:val="222222"/>
                <w:szCs w:val="24"/>
                <w:shd w:val="clear" w:color="auto" w:fill="FFFFFF"/>
              </w:rPr>
              <w:t>. Geographic patterns of co-occurrence network topological features for soil microbiota at continental scale in eastern China. </w:t>
            </w:r>
            <w:r w:rsidRPr="00E85E4F">
              <w:rPr>
                <w:i/>
                <w:iCs/>
                <w:color w:val="222222"/>
                <w:szCs w:val="24"/>
                <w:shd w:val="clear" w:color="auto" w:fill="FFFFFF"/>
              </w:rPr>
              <w:t>The ISME Journal</w:t>
            </w:r>
            <w:r w:rsidRPr="00E85E4F">
              <w:rPr>
                <w:i/>
                <w:color w:val="222222"/>
                <w:szCs w:val="24"/>
                <w:shd w:val="clear" w:color="auto" w:fill="FFFFFF"/>
              </w:rPr>
              <w:t>, 2016,</w:t>
            </w:r>
            <w:r w:rsidRPr="00E85E4F">
              <w:rPr>
                <w:color w:val="222222"/>
                <w:szCs w:val="24"/>
                <w:shd w:val="clear" w:color="auto" w:fill="FFFFFF"/>
              </w:rPr>
              <w:t>10(8): 1891-1901.</w:t>
            </w:r>
          </w:p>
          <w:p w14:paraId="4C471198" w14:textId="4AD58BE8" w:rsidR="00E85E4F" w:rsidRPr="00E85E4F" w:rsidRDefault="00E85E4F" w:rsidP="00E85E4F">
            <w:pPr>
              <w:pStyle w:val="aa"/>
              <w:numPr>
                <w:ilvl w:val="0"/>
                <w:numId w:val="1"/>
              </w:numPr>
              <w:spacing w:line="440" w:lineRule="exact"/>
              <w:ind w:firstLineChars="0"/>
              <w:rPr>
                <w:color w:val="222222"/>
                <w:szCs w:val="24"/>
                <w:shd w:val="clear" w:color="auto" w:fill="FFFFFF"/>
              </w:rPr>
            </w:pPr>
            <w:r w:rsidRPr="00E85E4F">
              <w:rPr>
                <w:color w:val="222222"/>
                <w:szCs w:val="24"/>
                <w:shd w:val="clear" w:color="auto" w:fill="FFFFFF"/>
              </w:rPr>
              <w:t>Y</w:t>
            </w:r>
            <w:r w:rsidRPr="00E85E4F">
              <w:rPr>
                <w:rFonts w:hint="eastAsia"/>
                <w:color w:val="222222"/>
                <w:szCs w:val="24"/>
                <w:shd w:val="clear" w:color="auto" w:fill="FFFFFF"/>
              </w:rPr>
              <w:t>u</w:t>
            </w:r>
            <w:r w:rsidRPr="00E85E4F">
              <w:rPr>
                <w:color w:val="222222"/>
                <w:szCs w:val="24"/>
                <w:shd w:val="clear" w:color="auto" w:fill="FFFFFF"/>
              </w:rPr>
              <w:t xml:space="preserve">. Luo; M. </w:t>
            </w:r>
            <w:proofErr w:type="spellStart"/>
            <w:r w:rsidRPr="00E85E4F">
              <w:rPr>
                <w:color w:val="222222"/>
                <w:szCs w:val="24"/>
                <w:shd w:val="clear" w:color="auto" w:fill="FFFFFF"/>
              </w:rPr>
              <w:t>Durenkamp</w:t>
            </w:r>
            <w:proofErr w:type="spellEnd"/>
            <w:r w:rsidRPr="00E85E4F">
              <w:rPr>
                <w:color w:val="222222"/>
                <w:szCs w:val="24"/>
                <w:shd w:val="clear" w:color="auto" w:fill="FFFFFF"/>
              </w:rPr>
              <w:t xml:space="preserve">; M. De Nobili; Q. Lin; B.J. Devonshire; P.C. Brookes. Microbial biomass growth, following incorporation of biochars produced at 350 C or 700 C, in a silty-clay loam soil of high and low </w:t>
            </w:r>
            <w:proofErr w:type="spellStart"/>
            <w:r w:rsidRPr="00E85E4F">
              <w:rPr>
                <w:color w:val="222222"/>
                <w:szCs w:val="24"/>
                <w:shd w:val="clear" w:color="auto" w:fill="FFFFFF"/>
              </w:rPr>
              <w:t>pH.</w:t>
            </w:r>
            <w:proofErr w:type="spellEnd"/>
            <w:r w:rsidRPr="00E85E4F">
              <w:rPr>
                <w:color w:val="222222"/>
                <w:szCs w:val="24"/>
                <w:shd w:val="clear" w:color="auto" w:fill="FFFFFF"/>
              </w:rPr>
              <w:t> </w:t>
            </w:r>
            <w:r w:rsidRPr="00E85E4F">
              <w:rPr>
                <w:i/>
                <w:iCs/>
                <w:color w:val="222222"/>
                <w:szCs w:val="24"/>
                <w:shd w:val="clear" w:color="auto" w:fill="FFFFFF"/>
              </w:rPr>
              <w:t>Soil Biology and Biochemistry, 2013,</w:t>
            </w:r>
            <w:r w:rsidRPr="00E85E4F">
              <w:rPr>
                <w:color w:val="222222"/>
                <w:szCs w:val="24"/>
                <w:shd w:val="clear" w:color="auto" w:fill="FFFFFF"/>
              </w:rPr>
              <w:t> 57, 513-523.</w:t>
            </w:r>
          </w:p>
          <w:p w14:paraId="256EFB53" w14:textId="77777777" w:rsidR="00E85E4F" w:rsidRDefault="00E85E4F" w:rsidP="00E85E4F">
            <w:pPr>
              <w:pStyle w:val="aa"/>
              <w:numPr>
                <w:ilvl w:val="0"/>
                <w:numId w:val="1"/>
              </w:numPr>
              <w:spacing w:line="440" w:lineRule="exact"/>
              <w:ind w:firstLineChars="0"/>
              <w:rPr>
                <w:color w:val="222222"/>
                <w:szCs w:val="24"/>
                <w:shd w:val="clear" w:color="auto" w:fill="FFFFFF"/>
              </w:rPr>
            </w:pPr>
            <w:proofErr w:type="spellStart"/>
            <w:r w:rsidRPr="00E85E4F">
              <w:rPr>
                <w:rFonts w:hint="eastAsia"/>
                <w:szCs w:val="24"/>
              </w:rPr>
              <w:t>Mengjie</w:t>
            </w:r>
            <w:proofErr w:type="spellEnd"/>
            <w:r w:rsidRPr="00E85E4F">
              <w:rPr>
                <w:rFonts w:hint="eastAsia"/>
                <w:szCs w:val="24"/>
              </w:rPr>
              <w:t xml:space="preserve"> Yu; </w:t>
            </w:r>
            <w:proofErr w:type="spellStart"/>
            <w:r w:rsidRPr="00E85E4F">
              <w:rPr>
                <w:rFonts w:hint="eastAsia"/>
                <w:szCs w:val="24"/>
              </w:rPr>
              <w:t>Weiqin</w:t>
            </w:r>
            <w:proofErr w:type="spellEnd"/>
            <w:r w:rsidRPr="00E85E4F">
              <w:rPr>
                <w:rFonts w:hint="eastAsia"/>
                <w:szCs w:val="24"/>
              </w:rPr>
              <w:t xml:space="preserve"> </w:t>
            </w:r>
            <w:proofErr w:type="spellStart"/>
            <w:r w:rsidRPr="00E85E4F">
              <w:rPr>
                <w:rFonts w:eastAsia="Times New Roman" w:hAnsi="Times New             Roman"/>
                <w:sz w:val="22"/>
                <w:szCs w:val="22"/>
              </w:rPr>
              <w:t>Su</w:t>
            </w:r>
            <w:proofErr w:type="spellEnd"/>
            <w:r w:rsidRPr="00E85E4F">
              <w:rPr>
                <w:rFonts w:hAnsi="Times New             Roman" w:hint="eastAsia"/>
                <w:sz w:val="22"/>
                <w:szCs w:val="22"/>
              </w:rPr>
              <w:t>;</w:t>
            </w:r>
            <w:r w:rsidRPr="00E85E4F">
              <w:rPr>
                <w:rFonts w:eastAsia="Times New Roman" w:hAnsi="Times New             Roman"/>
                <w:sz w:val="22"/>
                <w:szCs w:val="22"/>
              </w:rPr>
              <w:t xml:space="preserve"> </w:t>
            </w:r>
            <w:proofErr w:type="spellStart"/>
            <w:r w:rsidRPr="00E85E4F">
              <w:rPr>
                <w:rFonts w:eastAsia="Times New Roman" w:hAnsi="Times New             Roman"/>
                <w:sz w:val="22"/>
                <w:szCs w:val="22"/>
              </w:rPr>
              <w:t>Laibin</w:t>
            </w:r>
            <w:proofErr w:type="spellEnd"/>
            <w:r w:rsidRPr="00E85E4F">
              <w:rPr>
                <w:rFonts w:hAnsi="Times New             Roman" w:hint="eastAsia"/>
                <w:sz w:val="22"/>
                <w:szCs w:val="22"/>
              </w:rPr>
              <w:t xml:space="preserve"> Huang; </w:t>
            </w:r>
            <w:r w:rsidRPr="00E85E4F">
              <w:rPr>
                <w:rFonts w:eastAsia="Times New Roman" w:hAnsi="Times New             Roman"/>
                <w:sz w:val="22"/>
                <w:szCs w:val="22"/>
              </w:rPr>
              <w:t xml:space="preserve">Parikh </w:t>
            </w:r>
            <w:proofErr w:type="spellStart"/>
            <w:r w:rsidRPr="00E85E4F">
              <w:rPr>
                <w:rFonts w:eastAsia="Times New Roman" w:hAnsi="Times New             Roman"/>
                <w:sz w:val="22"/>
                <w:szCs w:val="22"/>
              </w:rPr>
              <w:t>Sanjai</w:t>
            </w:r>
            <w:proofErr w:type="spellEnd"/>
            <w:r w:rsidRPr="00E85E4F">
              <w:rPr>
                <w:rFonts w:hAnsi="Times New             Roman" w:hint="eastAsia"/>
                <w:sz w:val="22"/>
                <w:szCs w:val="22"/>
              </w:rPr>
              <w:t xml:space="preserve">; </w:t>
            </w:r>
            <w:proofErr w:type="spellStart"/>
            <w:r w:rsidRPr="00E85E4F">
              <w:rPr>
                <w:rFonts w:eastAsia="Times New Roman" w:hAnsi="Times New             Roman"/>
                <w:sz w:val="22"/>
                <w:szCs w:val="22"/>
              </w:rPr>
              <w:t>Caixian</w:t>
            </w:r>
            <w:proofErr w:type="spellEnd"/>
            <w:r w:rsidRPr="00E85E4F">
              <w:rPr>
                <w:rFonts w:hAnsi="Times New             Roman" w:hint="eastAsia"/>
                <w:sz w:val="22"/>
                <w:szCs w:val="22"/>
              </w:rPr>
              <w:t xml:space="preserve"> T</w:t>
            </w:r>
            <w:r w:rsidRPr="00E85E4F">
              <w:rPr>
                <w:rFonts w:eastAsia="Times New Roman" w:hAnsi="Times New             Roman"/>
                <w:sz w:val="22"/>
                <w:szCs w:val="22"/>
              </w:rPr>
              <w:t>ang</w:t>
            </w:r>
            <w:r w:rsidRPr="00E85E4F">
              <w:rPr>
                <w:rFonts w:hAnsi="Times New             Roman" w:hint="eastAsia"/>
                <w:sz w:val="22"/>
                <w:szCs w:val="22"/>
              </w:rPr>
              <w:t xml:space="preserve">; </w:t>
            </w:r>
            <w:r w:rsidRPr="00E85E4F">
              <w:rPr>
                <w:rFonts w:eastAsia="Times New Roman" w:hAnsi="Times New             Roman"/>
                <w:sz w:val="22"/>
                <w:szCs w:val="22"/>
              </w:rPr>
              <w:t>Dahlgren Randy</w:t>
            </w:r>
            <w:r w:rsidRPr="00E85E4F">
              <w:rPr>
                <w:rFonts w:hAnsi="Times New             Roman" w:hint="eastAsia"/>
                <w:sz w:val="22"/>
                <w:szCs w:val="22"/>
              </w:rPr>
              <w:t>;</w:t>
            </w:r>
            <w:r w:rsidRPr="00E85E4F">
              <w:rPr>
                <w:rFonts w:eastAsia="Times New Roman" w:hAnsi="Times New             Roman"/>
                <w:sz w:val="22"/>
                <w:szCs w:val="22"/>
              </w:rPr>
              <w:t xml:space="preserve"> Jianming</w:t>
            </w:r>
            <w:r w:rsidRPr="00E85E4F">
              <w:rPr>
                <w:rFonts w:hAnsi="Times New             Roman" w:hint="eastAsia"/>
                <w:sz w:val="22"/>
                <w:szCs w:val="22"/>
              </w:rPr>
              <w:t xml:space="preserve"> Xu</w:t>
            </w:r>
            <w:r w:rsidRPr="00E85E4F">
              <w:rPr>
                <w:rFonts w:ascii="宋体" w:hAnsi="宋体" w:hint="eastAsia"/>
                <w:sz w:val="22"/>
                <w:szCs w:val="22"/>
              </w:rPr>
              <w:t xml:space="preserve">. </w:t>
            </w:r>
            <w:r w:rsidRPr="00E85E4F">
              <w:rPr>
                <w:rFonts w:eastAsia="Times New Roman" w:hAnsi="Times New             Roman"/>
                <w:sz w:val="22"/>
                <w:szCs w:val="22"/>
              </w:rPr>
              <w:t xml:space="preserve">Bacterial community structure and putative nitrogen-cycling functional traits along a </w:t>
            </w:r>
            <w:proofErr w:type="spellStart"/>
            <w:r w:rsidRPr="00E85E4F">
              <w:rPr>
                <w:rFonts w:eastAsia="Times New Roman" w:hAnsi="Times New             Roman"/>
                <w:sz w:val="22"/>
                <w:szCs w:val="22"/>
              </w:rPr>
              <w:t>charosphere</w:t>
            </w:r>
            <w:proofErr w:type="spellEnd"/>
            <w:r w:rsidRPr="00E85E4F">
              <w:rPr>
                <w:rFonts w:eastAsia="Times New Roman" w:hAnsi="Times New             Roman"/>
                <w:sz w:val="22"/>
                <w:szCs w:val="22"/>
              </w:rPr>
              <w:t xml:space="preserve"> gradient under waterlogged conditions</w:t>
            </w:r>
            <w:r w:rsidRPr="00E85E4F">
              <w:rPr>
                <w:rFonts w:hAnsi="Times New             Roman" w:hint="eastAsia"/>
                <w:sz w:val="22"/>
                <w:szCs w:val="22"/>
              </w:rPr>
              <w:t xml:space="preserve">. </w:t>
            </w:r>
            <w:r w:rsidRPr="00E85E4F">
              <w:rPr>
                <w:i/>
                <w:iCs/>
                <w:color w:val="222222"/>
                <w:szCs w:val="24"/>
                <w:shd w:val="clear" w:color="auto" w:fill="FFFFFF"/>
              </w:rPr>
              <w:t>Soil Biology and Biochemistry, 20</w:t>
            </w:r>
            <w:r w:rsidRPr="00E85E4F">
              <w:rPr>
                <w:rFonts w:hint="eastAsia"/>
                <w:i/>
                <w:iCs/>
                <w:color w:val="222222"/>
                <w:szCs w:val="24"/>
                <w:shd w:val="clear" w:color="auto" w:fill="FFFFFF"/>
              </w:rPr>
              <w:t>21</w:t>
            </w:r>
            <w:r w:rsidRPr="00E85E4F">
              <w:rPr>
                <w:i/>
                <w:iCs/>
                <w:color w:val="222222"/>
                <w:szCs w:val="24"/>
                <w:shd w:val="clear" w:color="auto" w:fill="FFFFFF"/>
              </w:rPr>
              <w:t>,</w:t>
            </w:r>
            <w:r w:rsidRPr="00E85E4F">
              <w:rPr>
                <w:color w:val="222222"/>
                <w:szCs w:val="24"/>
                <w:shd w:val="clear" w:color="auto" w:fill="FFFFFF"/>
              </w:rPr>
              <w:t> </w:t>
            </w:r>
            <w:r w:rsidRPr="00E85E4F">
              <w:rPr>
                <w:rFonts w:hint="eastAsia"/>
                <w:color w:val="222222"/>
                <w:szCs w:val="24"/>
                <w:shd w:val="clear" w:color="auto" w:fill="FFFFFF"/>
              </w:rPr>
              <w:t>162</w:t>
            </w:r>
            <w:r w:rsidRPr="00E85E4F">
              <w:rPr>
                <w:color w:val="222222"/>
                <w:szCs w:val="24"/>
                <w:shd w:val="clear" w:color="auto" w:fill="FFFFFF"/>
              </w:rPr>
              <w:t>,</w:t>
            </w:r>
            <w:r w:rsidRPr="00E85E4F">
              <w:rPr>
                <w:rFonts w:hint="eastAsia"/>
                <w:color w:val="222222"/>
                <w:szCs w:val="24"/>
                <w:shd w:val="clear" w:color="auto" w:fill="FFFFFF"/>
              </w:rPr>
              <w:t xml:space="preserve"> </w:t>
            </w:r>
            <w:r w:rsidRPr="00E85E4F">
              <w:rPr>
                <w:rFonts w:eastAsia="Times New Roman" w:hAnsi="Times New        Roman"/>
                <w:sz w:val="22"/>
                <w:szCs w:val="22"/>
              </w:rPr>
              <w:t>108420</w:t>
            </w:r>
            <w:r w:rsidRPr="00E85E4F">
              <w:rPr>
                <w:color w:val="222222"/>
                <w:szCs w:val="24"/>
                <w:shd w:val="clear" w:color="auto" w:fill="FFFFFF"/>
              </w:rPr>
              <w:t>.</w:t>
            </w:r>
          </w:p>
          <w:p w14:paraId="5CDB0E54" w14:textId="4957A03A" w:rsidR="006B124E" w:rsidRPr="00E85E4F" w:rsidRDefault="006B124E" w:rsidP="00E85E4F">
            <w:pPr>
              <w:pStyle w:val="aa"/>
              <w:numPr>
                <w:ilvl w:val="0"/>
                <w:numId w:val="1"/>
              </w:numPr>
              <w:spacing w:line="440" w:lineRule="exact"/>
              <w:ind w:firstLineChars="0"/>
              <w:rPr>
                <w:color w:val="222222"/>
                <w:szCs w:val="24"/>
                <w:shd w:val="clear" w:color="auto" w:fill="FFFFFF"/>
              </w:rPr>
            </w:pPr>
            <w:proofErr w:type="spellStart"/>
            <w:r w:rsidRPr="00E85E4F">
              <w:rPr>
                <w:szCs w:val="24"/>
              </w:rPr>
              <w:t>Zhongmin</w:t>
            </w:r>
            <w:proofErr w:type="spellEnd"/>
            <w:r w:rsidRPr="00E85E4F">
              <w:rPr>
                <w:szCs w:val="24"/>
              </w:rPr>
              <w:t xml:space="preserve"> Dai; </w:t>
            </w:r>
            <w:proofErr w:type="spellStart"/>
            <w:r w:rsidRPr="00E85E4F">
              <w:rPr>
                <w:szCs w:val="24"/>
              </w:rPr>
              <w:t>Guofei</w:t>
            </w:r>
            <w:proofErr w:type="spellEnd"/>
            <w:r w:rsidRPr="00E85E4F">
              <w:rPr>
                <w:szCs w:val="24"/>
              </w:rPr>
              <w:t xml:space="preserve"> Liu; </w:t>
            </w:r>
            <w:proofErr w:type="spellStart"/>
            <w:r w:rsidRPr="00E85E4F">
              <w:rPr>
                <w:szCs w:val="24"/>
              </w:rPr>
              <w:t>Huaihai</w:t>
            </w:r>
            <w:proofErr w:type="spellEnd"/>
            <w:r w:rsidRPr="00E85E4F">
              <w:rPr>
                <w:szCs w:val="24"/>
              </w:rPr>
              <w:t xml:space="preserve"> Chen; </w:t>
            </w:r>
            <w:proofErr w:type="spellStart"/>
            <w:r w:rsidRPr="00E85E4F">
              <w:rPr>
                <w:szCs w:val="24"/>
              </w:rPr>
              <w:t>Chengrong</w:t>
            </w:r>
            <w:proofErr w:type="spellEnd"/>
            <w:r w:rsidRPr="00E85E4F">
              <w:rPr>
                <w:szCs w:val="24"/>
              </w:rPr>
              <w:t xml:space="preserve"> Chen; </w:t>
            </w:r>
            <w:proofErr w:type="spellStart"/>
            <w:r w:rsidRPr="00E85E4F">
              <w:rPr>
                <w:szCs w:val="24"/>
              </w:rPr>
              <w:t>Jingkuan</w:t>
            </w:r>
            <w:proofErr w:type="spellEnd"/>
            <w:r w:rsidRPr="00E85E4F">
              <w:rPr>
                <w:szCs w:val="24"/>
              </w:rPr>
              <w:t xml:space="preserve"> Wang; </w:t>
            </w:r>
            <w:proofErr w:type="spellStart"/>
            <w:r w:rsidRPr="00E85E4F">
              <w:rPr>
                <w:szCs w:val="24"/>
              </w:rPr>
              <w:t>Shaoying</w:t>
            </w:r>
            <w:proofErr w:type="spellEnd"/>
            <w:r w:rsidRPr="00E85E4F">
              <w:rPr>
                <w:szCs w:val="24"/>
              </w:rPr>
              <w:t xml:space="preserve"> Ai; Dan Wei; </w:t>
            </w:r>
            <w:proofErr w:type="spellStart"/>
            <w:r w:rsidRPr="00E85E4F">
              <w:rPr>
                <w:szCs w:val="24"/>
              </w:rPr>
              <w:t>Daming</w:t>
            </w:r>
            <w:proofErr w:type="spellEnd"/>
            <w:r w:rsidRPr="00E85E4F">
              <w:rPr>
                <w:szCs w:val="24"/>
              </w:rPr>
              <w:t xml:space="preserve"> Li; Bin Ma; </w:t>
            </w:r>
            <w:proofErr w:type="spellStart"/>
            <w:r w:rsidRPr="00E85E4F">
              <w:rPr>
                <w:szCs w:val="24"/>
              </w:rPr>
              <w:t>Caixian</w:t>
            </w:r>
            <w:proofErr w:type="spellEnd"/>
            <w:r w:rsidRPr="00E85E4F">
              <w:rPr>
                <w:szCs w:val="24"/>
              </w:rPr>
              <w:t xml:space="preserve"> Tang; Philip C. Brookes &amp; Jianming Xu</w:t>
            </w:r>
            <w:r w:rsidRPr="00E85E4F">
              <w:rPr>
                <w:rFonts w:hint="eastAsia"/>
                <w:color w:val="222222"/>
                <w:szCs w:val="24"/>
                <w:shd w:val="clear" w:color="auto" w:fill="FFFFFF"/>
              </w:rPr>
              <w:t>.</w:t>
            </w:r>
            <w:r w:rsidRPr="00E85E4F">
              <w:rPr>
                <w:color w:val="222222"/>
                <w:szCs w:val="24"/>
                <w:shd w:val="clear" w:color="auto" w:fill="FFFFFF"/>
              </w:rPr>
              <w:t xml:space="preserve"> Long-term nutrient inputs shift soil microbial functional profiles of phosphorus cycling in diverse agroecosystems. </w:t>
            </w:r>
            <w:r w:rsidRPr="00E85E4F">
              <w:rPr>
                <w:i/>
                <w:iCs/>
                <w:color w:val="222222"/>
                <w:szCs w:val="24"/>
                <w:shd w:val="clear" w:color="auto" w:fill="FFFFFF"/>
              </w:rPr>
              <w:t xml:space="preserve">The ISME </w:t>
            </w:r>
            <w:r w:rsidRPr="00E85E4F">
              <w:rPr>
                <w:rFonts w:hint="eastAsia"/>
                <w:i/>
                <w:iCs/>
                <w:color w:val="222222"/>
                <w:szCs w:val="24"/>
                <w:shd w:val="clear" w:color="auto" w:fill="FFFFFF"/>
              </w:rPr>
              <w:t>J</w:t>
            </w:r>
            <w:r w:rsidRPr="00E85E4F">
              <w:rPr>
                <w:i/>
                <w:iCs/>
                <w:color w:val="222222"/>
                <w:szCs w:val="24"/>
                <w:shd w:val="clear" w:color="auto" w:fill="FFFFFF"/>
              </w:rPr>
              <w:t>ournal,</w:t>
            </w:r>
            <w:r w:rsidRPr="00E85E4F">
              <w:rPr>
                <w:i/>
                <w:color w:val="222222"/>
                <w:szCs w:val="24"/>
                <w:shd w:val="clear" w:color="auto" w:fill="FFFFFF"/>
              </w:rPr>
              <w:t> 2020,</w:t>
            </w:r>
            <w:r w:rsidRPr="00E85E4F">
              <w:rPr>
                <w:color w:val="222222"/>
                <w:szCs w:val="24"/>
                <w:shd w:val="clear" w:color="auto" w:fill="FFFFFF"/>
              </w:rPr>
              <w:t xml:space="preserve"> 14(3): 757-770.</w:t>
            </w:r>
          </w:p>
          <w:p w14:paraId="50DB59BC" w14:textId="4A2F4C8B" w:rsidR="006B124E" w:rsidRPr="00E85E4F" w:rsidRDefault="006B124E" w:rsidP="00E85E4F">
            <w:pPr>
              <w:pStyle w:val="aa"/>
              <w:numPr>
                <w:ilvl w:val="0"/>
                <w:numId w:val="1"/>
              </w:numPr>
              <w:spacing w:line="440" w:lineRule="exact"/>
              <w:ind w:firstLineChars="0"/>
              <w:rPr>
                <w:color w:val="222222"/>
                <w:szCs w:val="24"/>
                <w:shd w:val="clear" w:color="auto" w:fill="FFFFFF"/>
              </w:rPr>
            </w:pPr>
            <w:proofErr w:type="spellStart"/>
            <w:r w:rsidRPr="00E85E4F">
              <w:rPr>
                <w:szCs w:val="24"/>
              </w:rPr>
              <w:t>Xiuming</w:t>
            </w:r>
            <w:proofErr w:type="spellEnd"/>
            <w:r w:rsidRPr="00E85E4F">
              <w:rPr>
                <w:szCs w:val="24"/>
              </w:rPr>
              <w:t xml:space="preserve"> Zhang; </w:t>
            </w:r>
            <w:proofErr w:type="spellStart"/>
            <w:r w:rsidRPr="00E85E4F">
              <w:rPr>
                <w:szCs w:val="24"/>
              </w:rPr>
              <w:t>Baojing</w:t>
            </w:r>
            <w:proofErr w:type="spellEnd"/>
            <w:r w:rsidRPr="00E85E4F">
              <w:rPr>
                <w:szCs w:val="24"/>
              </w:rPr>
              <w:t xml:space="preserve"> Gu; Hans van </w:t>
            </w:r>
            <w:proofErr w:type="spellStart"/>
            <w:r w:rsidRPr="00E85E4F">
              <w:rPr>
                <w:szCs w:val="24"/>
              </w:rPr>
              <w:t>Grinsven</w:t>
            </w:r>
            <w:proofErr w:type="spellEnd"/>
            <w:r w:rsidRPr="00E85E4F">
              <w:rPr>
                <w:szCs w:val="24"/>
              </w:rPr>
              <w:t>; Shu Kee Lam; Xia Liang; Mei Bai; Deli Chen</w:t>
            </w:r>
            <w:r w:rsidRPr="00E85E4F">
              <w:rPr>
                <w:color w:val="222222"/>
                <w:szCs w:val="24"/>
                <w:shd w:val="clear" w:color="auto" w:fill="FFFFFF"/>
              </w:rPr>
              <w:t xml:space="preserve">. Societal benefits of halving agricultural ammonia emissions in China far exceed the abatement costs. </w:t>
            </w:r>
            <w:r w:rsidRPr="00E85E4F">
              <w:rPr>
                <w:i/>
                <w:iCs/>
                <w:color w:val="222222"/>
                <w:szCs w:val="24"/>
                <w:shd w:val="clear" w:color="auto" w:fill="FFFFFF"/>
              </w:rPr>
              <w:t xml:space="preserve">Nature </w:t>
            </w:r>
            <w:r w:rsidRPr="00E85E4F">
              <w:rPr>
                <w:rFonts w:hint="eastAsia"/>
                <w:i/>
                <w:iCs/>
                <w:color w:val="222222"/>
                <w:szCs w:val="24"/>
                <w:shd w:val="clear" w:color="auto" w:fill="FFFFFF"/>
              </w:rPr>
              <w:t>C</w:t>
            </w:r>
            <w:r w:rsidRPr="00E85E4F">
              <w:rPr>
                <w:i/>
                <w:iCs/>
                <w:color w:val="222222"/>
                <w:szCs w:val="24"/>
                <w:shd w:val="clear" w:color="auto" w:fill="FFFFFF"/>
              </w:rPr>
              <w:t xml:space="preserve">ommunications, </w:t>
            </w:r>
            <w:r w:rsidRPr="00E85E4F">
              <w:rPr>
                <w:i/>
                <w:color w:val="222222"/>
                <w:szCs w:val="24"/>
                <w:shd w:val="clear" w:color="auto" w:fill="FFFFFF"/>
              </w:rPr>
              <w:lastRenderedPageBreak/>
              <w:t>2020,</w:t>
            </w:r>
            <w:r w:rsidRPr="00E85E4F">
              <w:rPr>
                <w:color w:val="222222"/>
                <w:szCs w:val="24"/>
                <w:shd w:val="clear" w:color="auto" w:fill="FFFFFF"/>
              </w:rPr>
              <w:t> 11(1): 4357.</w:t>
            </w:r>
          </w:p>
          <w:p w14:paraId="636C43A7" w14:textId="534923D9" w:rsidR="006B124E" w:rsidRPr="00E85E4F" w:rsidRDefault="006B124E" w:rsidP="00E85E4F">
            <w:pPr>
              <w:pStyle w:val="aa"/>
              <w:numPr>
                <w:ilvl w:val="0"/>
                <w:numId w:val="1"/>
              </w:numPr>
              <w:spacing w:line="440" w:lineRule="exact"/>
              <w:ind w:firstLineChars="0"/>
              <w:rPr>
                <w:color w:val="222222"/>
                <w:szCs w:val="24"/>
                <w:shd w:val="clear" w:color="auto" w:fill="FFFFFF"/>
              </w:rPr>
            </w:pPr>
            <w:r w:rsidRPr="00E85E4F">
              <w:rPr>
                <w:szCs w:val="24"/>
                <w:lang w:val="fr-FR"/>
              </w:rPr>
              <w:t>J</w:t>
            </w:r>
            <w:r w:rsidRPr="00E85E4F">
              <w:rPr>
                <w:rFonts w:hint="eastAsia"/>
                <w:szCs w:val="24"/>
                <w:lang w:val="fr-FR"/>
              </w:rPr>
              <w:t>ianming</w:t>
            </w:r>
            <w:r w:rsidRPr="00E85E4F">
              <w:rPr>
                <w:szCs w:val="24"/>
                <w:lang w:val="fr-FR"/>
              </w:rPr>
              <w:t xml:space="preserve"> Xu; C</w:t>
            </w:r>
            <w:r w:rsidRPr="00E85E4F">
              <w:rPr>
                <w:rFonts w:hint="eastAsia"/>
                <w:szCs w:val="24"/>
                <w:lang w:val="fr-FR"/>
              </w:rPr>
              <w:t>aixian</w:t>
            </w:r>
            <w:r w:rsidRPr="00E85E4F">
              <w:rPr>
                <w:szCs w:val="24"/>
                <w:lang w:val="fr-FR"/>
              </w:rPr>
              <w:t>Tang; Z</w:t>
            </w:r>
            <w:r w:rsidRPr="00E85E4F">
              <w:rPr>
                <w:rFonts w:hint="eastAsia"/>
                <w:szCs w:val="24"/>
                <w:lang w:val="fr-FR"/>
              </w:rPr>
              <w:t>ili</w:t>
            </w:r>
            <w:r w:rsidRPr="00E85E4F">
              <w:rPr>
                <w:szCs w:val="24"/>
                <w:lang w:val="fr-FR"/>
              </w:rPr>
              <w:t xml:space="preserve"> Chen.</w:t>
            </w:r>
            <w:r w:rsidRPr="00E85E4F">
              <w:rPr>
                <w:color w:val="222222"/>
                <w:szCs w:val="24"/>
                <w:shd w:val="clear" w:color="auto" w:fill="FFFFFF"/>
              </w:rPr>
              <w:t xml:space="preserve"> The role of plant residues in pH change of acid soils differing in initial </w:t>
            </w:r>
            <w:proofErr w:type="spellStart"/>
            <w:r w:rsidRPr="00E85E4F">
              <w:rPr>
                <w:color w:val="222222"/>
                <w:szCs w:val="24"/>
                <w:shd w:val="clear" w:color="auto" w:fill="FFFFFF"/>
              </w:rPr>
              <w:t>pH.</w:t>
            </w:r>
            <w:proofErr w:type="spellEnd"/>
            <w:r w:rsidRPr="00E85E4F">
              <w:rPr>
                <w:color w:val="222222"/>
                <w:szCs w:val="24"/>
                <w:shd w:val="clear" w:color="auto" w:fill="FFFFFF"/>
              </w:rPr>
              <w:t> </w:t>
            </w:r>
            <w:r w:rsidRPr="00E85E4F">
              <w:rPr>
                <w:i/>
                <w:iCs/>
                <w:color w:val="222222"/>
                <w:szCs w:val="24"/>
                <w:shd w:val="clear" w:color="auto" w:fill="FFFFFF"/>
              </w:rPr>
              <w:t>Soil Biology and Biochemistry, 2006,</w:t>
            </w:r>
            <w:r w:rsidRPr="00E85E4F">
              <w:rPr>
                <w:color w:val="222222"/>
                <w:szCs w:val="24"/>
                <w:shd w:val="clear" w:color="auto" w:fill="FFFFFF"/>
              </w:rPr>
              <w:t> 38(4), 709-719.</w:t>
            </w:r>
          </w:p>
          <w:p w14:paraId="476CF673" w14:textId="55D919AC" w:rsidR="006B124E" w:rsidRPr="00E85E4F" w:rsidRDefault="006B124E" w:rsidP="00E85E4F">
            <w:pPr>
              <w:pStyle w:val="aa"/>
              <w:numPr>
                <w:ilvl w:val="0"/>
                <w:numId w:val="1"/>
              </w:numPr>
              <w:spacing w:line="440" w:lineRule="exact"/>
              <w:ind w:firstLineChars="0"/>
              <w:rPr>
                <w:color w:val="222222"/>
                <w:szCs w:val="24"/>
                <w:shd w:val="clear" w:color="auto" w:fill="FFFFFF"/>
              </w:rPr>
            </w:pPr>
            <w:r w:rsidRPr="00E85E4F">
              <w:rPr>
                <w:color w:val="222222"/>
                <w:szCs w:val="24"/>
                <w:shd w:val="clear" w:color="auto" w:fill="FFFFFF"/>
              </w:rPr>
              <w:t>Y</w:t>
            </w:r>
            <w:r w:rsidRPr="00E85E4F">
              <w:rPr>
                <w:rFonts w:hint="eastAsia"/>
                <w:color w:val="222222"/>
                <w:szCs w:val="24"/>
                <w:shd w:val="clear" w:color="auto" w:fill="FFFFFF"/>
              </w:rPr>
              <w:t>u</w:t>
            </w:r>
            <w:r w:rsidRPr="00E85E4F">
              <w:rPr>
                <w:color w:val="222222"/>
                <w:szCs w:val="24"/>
                <w:shd w:val="clear" w:color="auto" w:fill="FFFFFF"/>
              </w:rPr>
              <w:t xml:space="preserve"> Luo; M</w:t>
            </w:r>
            <w:r w:rsidRPr="00E85E4F">
              <w:rPr>
                <w:rFonts w:hint="eastAsia"/>
                <w:color w:val="222222"/>
                <w:szCs w:val="24"/>
                <w:shd w:val="clear" w:color="auto" w:fill="FFFFFF"/>
              </w:rPr>
              <w:t>ark</w:t>
            </w:r>
            <w:r w:rsidRPr="00E85E4F">
              <w:rPr>
                <w:color w:val="222222"/>
                <w:szCs w:val="24"/>
                <w:shd w:val="clear" w:color="auto" w:fill="FFFFFF"/>
              </w:rPr>
              <w:t xml:space="preserve"> </w:t>
            </w:r>
            <w:proofErr w:type="spellStart"/>
            <w:r w:rsidRPr="00E85E4F">
              <w:rPr>
                <w:color w:val="222222"/>
                <w:szCs w:val="24"/>
                <w:shd w:val="clear" w:color="auto" w:fill="FFFFFF"/>
              </w:rPr>
              <w:t>Durenkamp</w:t>
            </w:r>
            <w:proofErr w:type="spellEnd"/>
            <w:r w:rsidRPr="00E85E4F">
              <w:rPr>
                <w:color w:val="222222"/>
                <w:szCs w:val="24"/>
                <w:shd w:val="clear" w:color="auto" w:fill="FFFFFF"/>
              </w:rPr>
              <w:t>; M</w:t>
            </w:r>
            <w:r w:rsidRPr="00E85E4F">
              <w:rPr>
                <w:rFonts w:hint="eastAsia"/>
                <w:color w:val="222222"/>
                <w:szCs w:val="24"/>
                <w:shd w:val="clear" w:color="auto" w:fill="FFFFFF"/>
              </w:rPr>
              <w:t>aria</w:t>
            </w:r>
            <w:r w:rsidRPr="00E85E4F">
              <w:rPr>
                <w:color w:val="222222"/>
                <w:szCs w:val="24"/>
                <w:shd w:val="clear" w:color="auto" w:fill="FFFFFF"/>
              </w:rPr>
              <w:t xml:space="preserve"> De Nobili; </w:t>
            </w:r>
            <w:proofErr w:type="spellStart"/>
            <w:r w:rsidRPr="00E85E4F">
              <w:rPr>
                <w:color w:val="222222"/>
                <w:szCs w:val="24"/>
                <w:shd w:val="clear" w:color="auto" w:fill="FFFFFF"/>
              </w:rPr>
              <w:t>Q</w:t>
            </w:r>
            <w:r w:rsidRPr="00E85E4F">
              <w:rPr>
                <w:rFonts w:hint="eastAsia"/>
                <w:color w:val="222222"/>
                <w:szCs w:val="24"/>
                <w:shd w:val="clear" w:color="auto" w:fill="FFFFFF"/>
              </w:rPr>
              <w:t>imei</w:t>
            </w:r>
            <w:proofErr w:type="spellEnd"/>
            <w:r w:rsidRPr="00E85E4F">
              <w:rPr>
                <w:color w:val="222222"/>
                <w:szCs w:val="24"/>
                <w:shd w:val="clear" w:color="auto" w:fill="FFFFFF"/>
              </w:rPr>
              <w:t xml:space="preserve"> Lin; P</w:t>
            </w:r>
            <w:r w:rsidRPr="00E85E4F">
              <w:rPr>
                <w:rFonts w:hint="eastAsia"/>
                <w:color w:val="222222"/>
                <w:szCs w:val="24"/>
                <w:shd w:val="clear" w:color="auto" w:fill="FFFFFF"/>
              </w:rPr>
              <w:t>hilip</w:t>
            </w:r>
            <w:r w:rsidRPr="00E85E4F">
              <w:rPr>
                <w:color w:val="222222"/>
                <w:szCs w:val="24"/>
                <w:shd w:val="clear" w:color="auto" w:fill="FFFFFF"/>
              </w:rPr>
              <w:t xml:space="preserve"> Brookes. Short term soil priming effects and the </w:t>
            </w:r>
            <w:proofErr w:type="spellStart"/>
            <w:r w:rsidRPr="00E85E4F">
              <w:rPr>
                <w:color w:val="222222"/>
                <w:szCs w:val="24"/>
                <w:shd w:val="clear" w:color="auto" w:fill="FFFFFF"/>
              </w:rPr>
              <w:t>mineralisation</w:t>
            </w:r>
            <w:proofErr w:type="spellEnd"/>
            <w:r w:rsidRPr="00E85E4F">
              <w:rPr>
                <w:color w:val="222222"/>
                <w:szCs w:val="24"/>
                <w:shd w:val="clear" w:color="auto" w:fill="FFFFFF"/>
              </w:rPr>
              <w:t xml:space="preserve"> of biochar following its incorporation to soils of different </w:t>
            </w:r>
            <w:proofErr w:type="spellStart"/>
            <w:r w:rsidRPr="00E85E4F">
              <w:rPr>
                <w:color w:val="222222"/>
                <w:szCs w:val="24"/>
                <w:shd w:val="clear" w:color="auto" w:fill="FFFFFF"/>
              </w:rPr>
              <w:t>pH.</w:t>
            </w:r>
            <w:proofErr w:type="spellEnd"/>
            <w:r w:rsidRPr="00E85E4F">
              <w:rPr>
                <w:color w:val="222222"/>
                <w:szCs w:val="24"/>
                <w:shd w:val="clear" w:color="auto" w:fill="FFFFFF"/>
              </w:rPr>
              <w:t> </w:t>
            </w:r>
            <w:r w:rsidRPr="00E85E4F">
              <w:rPr>
                <w:i/>
                <w:iCs/>
                <w:color w:val="222222"/>
                <w:szCs w:val="24"/>
                <w:shd w:val="clear" w:color="auto" w:fill="FFFFFF"/>
              </w:rPr>
              <w:t>Soil Biology and Biochemistry, 2011,</w:t>
            </w:r>
            <w:r w:rsidRPr="00E85E4F">
              <w:rPr>
                <w:szCs w:val="24"/>
              </w:rPr>
              <w:t xml:space="preserve"> </w:t>
            </w:r>
            <w:r w:rsidRPr="00E85E4F">
              <w:rPr>
                <w:color w:val="222222"/>
                <w:szCs w:val="24"/>
                <w:shd w:val="clear" w:color="auto" w:fill="FFFFFF"/>
              </w:rPr>
              <w:t>43(11), 2304-2314.</w:t>
            </w:r>
          </w:p>
        </w:tc>
      </w:tr>
      <w:tr w:rsidR="007A378A" w:rsidRPr="007A378A" w14:paraId="00EAFE3C" w14:textId="77777777" w:rsidTr="00E85E4F">
        <w:trPr>
          <w:trHeight w:val="1958"/>
        </w:trPr>
        <w:tc>
          <w:tcPr>
            <w:tcW w:w="1447" w:type="dxa"/>
            <w:tcBorders>
              <w:right w:val="single" w:sz="4" w:space="0" w:color="auto"/>
            </w:tcBorders>
            <w:vAlign w:val="center"/>
          </w:tcPr>
          <w:p w14:paraId="7AD73787"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7229" w:type="dxa"/>
            <w:tcBorders>
              <w:left w:val="single" w:sz="4" w:space="0" w:color="auto"/>
            </w:tcBorders>
            <w:vAlign w:val="center"/>
          </w:tcPr>
          <w:p w14:paraId="16D7BDD4" w14:textId="77777777" w:rsidR="00200811" w:rsidRPr="00200811" w:rsidRDefault="00200811" w:rsidP="00200811">
            <w:pPr>
              <w:spacing w:line="440" w:lineRule="exact"/>
              <w:rPr>
                <w:rFonts w:eastAsia="仿宋_GB2312"/>
                <w:bCs/>
                <w:sz w:val="24"/>
                <w:szCs w:val="24"/>
              </w:rPr>
            </w:pPr>
            <w:r w:rsidRPr="00200811">
              <w:rPr>
                <w:rFonts w:eastAsia="仿宋_GB2312" w:hint="eastAsia"/>
                <w:bCs/>
                <w:sz w:val="24"/>
                <w:szCs w:val="24"/>
              </w:rPr>
              <w:t>徐建明，排名</w:t>
            </w:r>
            <w:r w:rsidRPr="00200811">
              <w:rPr>
                <w:rFonts w:eastAsia="仿宋_GB2312" w:hint="eastAsia"/>
                <w:bCs/>
                <w:sz w:val="24"/>
                <w:szCs w:val="24"/>
              </w:rPr>
              <w:t>1</w:t>
            </w:r>
            <w:r w:rsidRPr="00200811">
              <w:rPr>
                <w:rFonts w:eastAsia="仿宋_GB2312" w:hint="eastAsia"/>
                <w:bCs/>
                <w:sz w:val="24"/>
                <w:szCs w:val="24"/>
              </w:rPr>
              <w:t>，教授，工作单位：浙江大学；完成单位：浙江大学</w:t>
            </w:r>
          </w:p>
          <w:p w14:paraId="6D9A3AAA" w14:textId="77777777" w:rsidR="00200811" w:rsidRPr="00200811" w:rsidRDefault="00200811" w:rsidP="00200811">
            <w:pPr>
              <w:spacing w:line="440" w:lineRule="exact"/>
              <w:rPr>
                <w:rFonts w:eastAsia="仿宋_GB2312"/>
                <w:bCs/>
                <w:sz w:val="24"/>
                <w:szCs w:val="24"/>
              </w:rPr>
            </w:pPr>
            <w:r w:rsidRPr="00200811">
              <w:rPr>
                <w:rFonts w:eastAsia="仿宋_GB2312" w:hint="eastAsia"/>
                <w:bCs/>
                <w:sz w:val="24"/>
                <w:szCs w:val="24"/>
              </w:rPr>
              <w:t>罗煜，排名</w:t>
            </w:r>
            <w:r w:rsidRPr="00200811">
              <w:rPr>
                <w:rFonts w:eastAsia="仿宋_GB2312" w:hint="eastAsia"/>
                <w:bCs/>
                <w:sz w:val="24"/>
                <w:szCs w:val="24"/>
              </w:rPr>
              <w:t>2</w:t>
            </w:r>
            <w:r w:rsidRPr="00200811">
              <w:rPr>
                <w:rFonts w:eastAsia="仿宋_GB2312" w:hint="eastAsia"/>
                <w:bCs/>
                <w:sz w:val="24"/>
                <w:szCs w:val="24"/>
              </w:rPr>
              <w:t>，副教授，工作单位：浙江大学；完成单位：中国农业大学</w:t>
            </w:r>
          </w:p>
          <w:p w14:paraId="50C984FE" w14:textId="77777777" w:rsidR="00200811" w:rsidRPr="00200811" w:rsidRDefault="00200811" w:rsidP="00200811">
            <w:pPr>
              <w:spacing w:line="440" w:lineRule="exact"/>
              <w:rPr>
                <w:rFonts w:eastAsia="仿宋_GB2312"/>
                <w:bCs/>
                <w:sz w:val="24"/>
                <w:szCs w:val="24"/>
              </w:rPr>
            </w:pPr>
            <w:r w:rsidRPr="00200811">
              <w:rPr>
                <w:rFonts w:eastAsia="仿宋_GB2312" w:hint="eastAsia"/>
                <w:bCs/>
                <w:sz w:val="24"/>
                <w:szCs w:val="24"/>
              </w:rPr>
              <w:t>戴中民，排名</w:t>
            </w:r>
            <w:r w:rsidRPr="00200811">
              <w:rPr>
                <w:rFonts w:eastAsia="仿宋_GB2312" w:hint="eastAsia"/>
                <w:bCs/>
                <w:sz w:val="24"/>
                <w:szCs w:val="24"/>
              </w:rPr>
              <w:t>3</w:t>
            </w:r>
            <w:r w:rsidRPr="00200811">
              <w:rPr>
                <w:rFonts w:eastAsia="仿宋_GB2312" w:hint="eastAsia"/>
                <w:bCs/>
                <w:sz w:val="24"/>
                <w:szCs w:val="24"/>
              </w:rPr>
              <w:t>，副研究员，工作单位：浙江大学；完成单位：浙江大学</w:t>
            </w:r>
          </w:p>
          <w:p w14:paraId="5DFFDA37" w14:textId="77777777" w:rsidR="00200811" w:rsidRPr="00200811" w:rsidRDefault="00200811" w:rsidP="00200811">
            <w:pPr>
              <w:spacing w:line="440" w:lineRule="exact"/>
              <w:rPr>
                <w:rFonts w:eastAsia="仿宋_GB2312"/>
                <w:bCs/>
                <w:sz w:val="24"/>
                <w:szCs w:val="24"/>
              </w:rPr>
            </w:pPr>
            <w:r w:rsidRPr="00200811">
              <w:rPr>
                <w:rFonts w:eastAsia="仿宋_GB2312" w:hint="eastAsia"/>
                <w:bCs/>
                <w:sz w:val="24"/>
                <w:szCs w:val="24"/>
              </w:rPr>
              <w:t>马斌，排名</w:t>
            </w:r>
            <w:r w:rsidRPr="00200811">
              <w:rPr>
                <w:rFonts w:eastAsia="仿宋_GB2312" w:hint="eastAsia"/>
                <w:bCs/>
                <w:sz w:val="24"/>
                <w:szCs w:val="24"/>
              </w:rPr>
              <w:t>4</w:t>
            </w:r>
            <w:r w:rsidRPr="00200811">
              <w:rPr>
                <w:rFonts w:eastAsia="仿宋_GB2312" w:hint="eastAsia"/>
                <w:bCs/>
                <w:sz w:val="24"/>
                <w:szCs w:val="24"/>
              </w:rPr>
              <w:t>，研究员，工作单位：浙江大学；完成单位：浙江大学</w:t>
            </w:r>
          </w:p>
          <w:p w14:paraId="5D9D91B0" w14:textId="3B6356EF" w:rsidR="007A378A" w:rsidRPr="007A378A" w:rsidRDefault="00200811" w:rsidP="00200811">
            <w:pPr>
              <w:spacing w:line="440" w:lineRule="exact"/>
              <w:rPr>
                <w:rFonts w:eastAsia="仿宋_GB2312"/>
                <w:bCs/>
                <w:sz w:val="24"/>
                <w:szCs w:val="24"/>
              </w:rPr>
            </w:pPr>
            <w:proofErr w:type="gramStart"/>
            <w:r w:rsidRPr="00200811">
              <w:rPr>
                <w:rFonts w:eastAsia="仿宋_GB2312" w:hint="eastAsia"/>
                <w:bCs/>
                <w:sz w:val="24"/>
                <w:szCs w:val="24"/>
              </w:rPr>
              <w:t>谷保静</w:t>
            </w:r>
            <w:proofErr w:type="gramEnd"/>
            <w:r w:rsidRPr="00200811">
              <w:rPr>
                <w:rFonts w:eastAsia="仿宋_GB2312" w:hint="eastAsia"/>
                <w:bCs/>
                <w:sz w:val="24"/>
                <w:szCs w:val="24"/>
              </w:rPr>
              <w:t>，排名</w:t>
            </w:r>
            <w:r w:rsidRPr="00200811">
              <w:rPr>
                <w:rFonts w:eastAsia="仿宋_GB2312" w:hint="eastAsia"/>
                <w:bCs/>
                <w:sz w:val="24"/>
                <w:szCs w:val="24"/>
              </w:rPr>
              <w:t>5</w:t>
            </w:r>
            <w:r w:rsidRPr="00200811">
              <w:rPr>
                <w:rFonts w:eastAsia="仿宋_GB2312" w:hint="eastAsia"/>
                <w:bCs/>
                <w:sz w:val="24"/>
                <w:szCs w:val="24"/>
              </w:rPr>
              <w:t>，教授，工作单位：浙江大学；完成单位：浙江大学</w:t>
            </w:r>
          </w:p>
        </w:tc>
      </w:tr>
      <w:tr w:rsidR="007A378A" w:rsidRPr="007A378A" w14:paraId="0CA600EC" w14:textId="77777777" w:rsidTr="00E85E4F">
        <w:trPr>
          <w:trHeight w:val="810"/>
        </w:trPr>
        <w:tc>
          <w:tcPr>
            <w:tcW w:w="1447" w:type="dxa"/>
            <w:tcBorders>
              <w:right w:val="single" w:sz="4" w:space="0" w:color="auto"/>
            </w:tcBorders>
            <w:vAlign w:val="center"/>
          </w:tcPr>
          <w:p w14:paraId="5227E97C"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7229" w:type="dxa"/>
            <w:tcBorders>
              <w:left w:val="single" w:sz="4" w:space="0" w:color="auto"/>
            </w:tcBorders>
            <w:vAlign w:val="center"/>
          </w:tcPr>
          <w:p w14:paraId="32F02861" w14:textId="77777777" w:rsidR="00200811" w:rsidRPr="00200811" w:rsidRDefault="00200811" w:rsidP="00200811">
            <w:pPr>
              <w:spacing w:line="440" w:lineRule="exact"/>
              <w:jc w:val="left"/>
              <w:rPr>
                <w:rFonts w:eastAsia="仿宋_GB2312"/>
                <w:bCs/>
                <w:sz w:val="24"/>
                <w:szCs w:val="24"/>
              </w:rPr>
            </w:pPr>
            <w:r w:rsidRPr="00200811">
              <w:rPr>
                <w:rFonts w:eastAsia="仿宋_GB2312" w:hint="eastAsia"/>
                <w:bCs/>
                <w:sz w:val="24"/>
                <w:szCs w:val="24"/>
              </w:rPr>
              <w:t>1.</w:t>
            </w:r>
            <w:r w:rsidRPr="00200811">
              <w:rPr>
                <w:rFonts w:eastAsia="仿宋_GB2312" w:hint="eastAsia"/>
                <w:bCs/>
                <w:sz w:val="24"/>
                <w:szCs w:val="24"/>
              </w:rPr>
              <w:t>单位名称：浙江大学</w:t>
            </w:r>
          </w:p>
          <w:p w14:paraId="07ACD64D" w14:textId="4249E36F" w:rsidR="007A378A" w:rsidRPr="007A378A" w:rsidRDefault="00200811" w:rsidP="00200811">
            <w:pPr>
              <w:spacing w:line="440" w:lineRule="exact"/>
              <w:jc w:val="left"/>
              <w:rPr>
                <w:rFonts w:eastAsia="仿宋"/>
                <w:bCs/>
                <w:sz w:val="24"/>
                <w:szCs w:val="24"/>
              </w:rPr>
            </w:pPr>
            <w:r w:rsidRPr="00200811">
              <w:rPr>
                <w:rFonts w:eastAsia="仿宋_GB2312" w:hint="eastAsia"/>
                <w:bCs/>
                <w:sz w:val="24"/>
                <w:szCs w:val="24"/>
              </w:rPr>
              <w:t>2.</w:t>
            </w:r>
            <w:r w:rsidRPr="00200811">
              <w:rPr>
                <w:rFonts w:eastAsia="仿宋_GB2312" w:hint="eastAsia"/>
                <w:bCs/>
                <w:sz w:val="24"/>
                <w:szCs w:val="24"/>
              </w:rPr>
              <w:t>单位名称：中国农业大学</w:t>
            </w:r>
          </w:p>
        </w:tc>
      </w:tr>
      <w:tr w:rsidR="007A378A" w:rsidRPr="007A378A" w14:paraId="5668DBA6" w14:textId="77777777" w:rsidTr="00E85E4F">
        <w:trPr>
          <w:trHeight w:val="692"/>
        </w:trPr>
        <w:tc>
          <w:tcPr>
            <w:tcW w:w="1447" w:type="dxa"/>
            <w:vAlign w:val="center"/>
          </w:tcPr>
          <w:p w14:paraId="577E1302"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7229" w:type="dxa"/>
            <w:vAlign w:val="center"/>
          </w:tcPr>
          <w:p w14:paraId="1AAC1330" w14:textId="27A6FD21" w:rsidR="007A378A" w:rsidRPr="00983589" w:rsidRDefault="00200811" w:rsidP="0000285E">
            <w:pPr>
              <w:contextualSpacing/>
              <w:jc w:val="center"/>
              <w:rPr>
                <w:rStyle w:val="title1"/>
                <w:rFonts w:ascii="仿宋_GB2312" w:eastAsia="仿宋_GB2312"/>
                <w:b w:val="0"/>
                <w:color w:val="auto"/>
              </w:rPr>
            </w:pPr>
            <w:r w:rsidRPr="00983589">
              <w:rPr>
                <w:rStyle w:val="title1"/>
                <w:rFonts w:ascii="仿宋_GB2312" w:eastAsia="仿宋_GB2312" w:hint="eastAsia"/>
                <w:b w:val="0"/>
                <w:color w:val="auto"/>
              </w:rPr>
              <w:t>浙江大学</w:t>
            </w:r>
          </w:p>
        </w:tc>
      </w:tr>
      <w:tr w:rsidR="007A378A" w:rsidRPr="007A378A" w14:paraId="23FFD1C1" w14:textId="77777777" w:rsidTr="00E85E4F">
        <w:trPr>
          <w:trHeight w:val="3683"/>
        </w:trPr>
        <w:tc>
          <w:tcPr>
            <w:tcW w:w="1447" w:type="dxa"/>
            <w:vAlign w:val="center"/>
          </w:tcPr>
          <w:p w14:paraId="0FBF4686" w14:textId="77777777" w:rsidR="007A378A" w:rsidRPr="00221F40" w:rsidRDefault="007A378A" w:rsidP="0000285E">
            <w:pPr>
              <w:jc w:val="center"/>
              <w:rPr>
                <w:rStyle w:val="title1"/>
                <w:rFonts w:eastAsia="仿宋_GB2312"/>
                <w:b w:val="0"/>
                <w:color w:val="auto"/>
                <w:sz w:val="28"/>
                <w:szCs w:val="28"/>
              </w:rPr>
            </w:pPr>
            <w:r w:rsidRPr="00221F40">
              <w:rPr>
                <w:rStyle w:val="title1"/>
                <w:rFonts w:eastAsia="仿宋_GB2312"/>
                <w:color w:val="auto"/>
                <w:sz w:val="28"/>
                <w:szCs w:val="28"/>
              </w:rPr>
              <w:t>提名意见</w:t>
            </w:r>
          </w:p>
        </w:tc>
        <w:tc>
          <w:tcPr>
            <w:tcW w:w="7229" w:type="dxa"/>
            <w:vAlign w:val="center"/>
          </w:tcPr>
          <w:p w14:paraId="28958998" w14:textId="1D95E669" w:rsidR="00200811" w:rsidRPr="00221F40" w:rsidRDefault="00200811" w:rsidP="00983589">
            <w:pPr>
              <w:spacing w:line="440" w:lineRule="exact"/>
              <w:ind w:firstLineChars="200" w:firstLine="480"/>
              <w:rPr>
                <w:rFonts w:eastAsia="仿宋_GB2312"/>
                <w:sz w:val="24"/>
                <w:szCs w:val="22"/>
              </w:rPr>
            </w:pPr>
            <w:r w:rsidRPr="00221F40">
              <w:rPr>
                <w:rFonts w:eastAsia="仿宋_GB2312" w:hint="eastAsia"/>
                <w:sz w:val="24"/>
                <w:szCs w:val="22"/>
              </w:rPr>
              <w:t>该项目围绕土壤酸化的微生物生态效应和群落重构的科学问题，依托国家</w:t>
            </w:r>
            <w:r w:rsidR="00E85E4F" w:rsidRPr="00221F40">
              <w:rPr>
                <w:rFonts w:eastAsia="仿宋_GB2312" w:hint="eastAsia"/>
                <w:sz w:val="24"/>
                <w:szCs w:val="22"/>
              </w:rPr>
              <w:t>基金创新研究群体项目</w:t>
            </w:r>
            <w:r w:rsidRPr="00221F40">
              <w:rPr>
                <w:rFonts w:eastAsia="仿宋_GB2312" w:hint="eastAsia"/>
                <w:sz w:val="24"/>
                <w:szCs w:val="22"/>
              </w:rPr>
              <w:t>、国家</w:t>
            </w:r>
            <w:r w:rsidRPr="00221F40">
              <w:rPr>
                <w:rFonts w:eastAsia="仿宋_GB2312" w:hint="eastAsia"/>
                <w:sz w:val="24"/>
                <w:szCs w:val="22"/>
              </w:rPr>
              <w:t>973</w:t>
            </w:r>
            <w:r w:rsidRPr="00221F40">
              <w:rPr>
                <w:rFonts w:eastAsia="仿宋_GB2312" w:hint="eastAsia"/>
                <w:sz w:val="24"/>
                <w:szCs w:val="22"/>
              </w:rPr>
              <w:t>计划项目等，从酸化土壤的微生物群落与功能响应和酸化土壤健康重构与修复等方面进行深入探索，揭示了酸化土壤的微生物群落的退变规律，阐明了酸化土壤驱动的碳氮磷转化过程，发展了酸化土壤的微生物群落重构措施与修复途径。</w:t>
            </w:r>
            <w:r w:rsidRPr="00221F40">
              <w:rPr>
                <w:rFonts w:eastAsia="仿宋_GB2312" w:hint="eastAsia"/>
                <w:sz w:val="24"/>
                <w:szCs w:val="22"/>
              </w:rPr>
              <w:t>8</w:t>
            </w:r>
            <w:r w:rsidRPr="00221F40">
              <w:rPr>
                <w:rFonts w:eastAsia="仿宋_GB2312" w:hint="eastAsia"/>
                <w:sz w:val="24"/>
                <w:szCs w:val="22"/>
              </w:rPr>
              <w:t>篇代表性论著发表在</w:t>
            </w:r>
            <w:r w:rsidRPr="00221F40">
              <w:rPr>
                <w:rFonts w:eastAsia="仿宋_GB2312" w:hint="eastAsia"/>
                <w:sz w:val="24"/>
                <w:szCs w:val="22"/>
              </w:rPr>
              <w:t>The ISME Journal</w:t>
            </w:r>
            <w:r w:rsidRPr="00221F40">
              <w:rPr>
                <w:rFonts w:eastAsia="仿宋_GB2312" w:hint="eastAsia"/>
                <w:sz w:val="24"/>
                <w:szCs w:val="22"/>
              </w:rPr>
              <w:t>、</w:t>
            </w:r>
            <w:r w:rsidRPr="00221F40">
              <w:rPr>
                <w:rFonts w:eastAsia="仿宋_GB2312" w:hint="eastAsia"/>
                <w:sz w:val="24"/>
                <w:szCs w:val="22"/>
              </w:rPr>
              <w:t>Nature Communications</w:t>
            </w:r>
            <w:r w:rsidRPr="00221F40">
              <w:rPr>
                <w:rFonts w:eastAsia="仿宋_GB2312" w:hint="eastAsia"/>
                <w:sz w:val="24"/>
                <w:szCs w:val="22"/>
              </w:rPr>
              <w:t>、</w:t>
            </w:r>
            <w:r w:rsidRPr="00221F40">
              <w:rPr>
                <w:rFonts w:eastAsia="仿宋_GB2312" w:hint="eastAsia"/>
                <w:sz w:val="24"/>
                <w:szCs w:val="22"/>
              </w:rPr>
              <w:t>Global Change Biology</w:t>
            </w:r>
            <w:r w:rsidRPr="00221F40">
              <w:rPr>
                <w:rFonts w:eastAsia="仿宋_GB2312" w:hint="eastAsia"/>
                <w:sz w:val="24"/>
                <w:szCs w:val="22"/>
              </w:rPr>
              <w:t>、</w:t>
            </w:r>
            <w:r w:rsidRPr="00221F40">
              <w:rPr>
                <w:rFonts w:eastAsia="仿宋_GB2312" w:hint="eastAsia"/>
                <w:sz w:val="24"/>
                <w:szCs w:val="22"/>
              </w:rPr>
              <w:t>Soil Biology and Biochemistry</w:t>
            </w:r>
            <w:r w:rsidRPr="00221F40">
              <w:rPr>
                <w:rFonts w:eastAsia="仿宋_GB2312" w:hint="eastAsia"/>
                <w:sz w:val="24"/>
                <w:szCs w:val="22"/>
              </w:rPr>
              <w:t>等期刊，其中</w:t>
            </w:r>
            <w:r w:rsidRPr="00221F40">
              <w:rPr>
                <w:rFonts w:eastAsia="仿宋_GB2312" w:hint="eastAsia"/>
                <w:sz w:val="24"/>
                <w:szCs w:val="22"/>
              </w:rPr>
              <w:t>Web of Science</w:t>
            </w:r>
            <w:r w:rsidRPr="00221F40">
              <w:rPr>
                <w:rFonts w:eastAsia="仿宋_GB2312" w:hint="eastAsia"/>
                <w:sz w:val="24"/>
                <w:szCs w:val="22"/>
              </w:rPr>
              <w:t>高被</w:t>
            </w:r>
            <w:proofErr w:type="gramStart"/>
            <w:r w:rsidRPr="00221F40">
              <w:rPr>
                <w:rFonts w:eastAsia="仿宋_GB2312" w:hint="eastAsia"/>
                <w:sz w:val="24"/>
                <w:szCs w:val="22"/>
              </w:rPr>
              <w:t>引论文</w:t>
            </w:r>
            <w:proofErr w:type="gramEnd"/>
            <w:r w:rsidR="00E85E4F" w:rsidRPr="00221F40">
              <w:rPr>
                <w:rFonts w:eastAsia="仿宋_GB2312"/>
                <w:sz w:val="24"/>
                <w:szCs w:val="22"/>
              </w:rPr>
              <w:t>5</w:t>
            </w:r>
            <w:r w:rsidRPr="00221F40">
              <w:rPr>
                <w:rFonts w:eastAsia="仿宋_GB2312" w:hint="eastAsia"/>
                <w:sz w:val="24"/>
                <w:szCs w:val="22"/>
              </w:rPr>
              <w:t>篇。</w:t>
            </w:r>
          </w:p>
          <w:p w14:paraId="380146A4" w14:textId="0BCC4D2F" w:rsidR="007A378A" w:rsidRPr="007A378A" w:rsidRDefault="00200811" w:rsidP="00983589">
            <w:pPr>
              <w:spacing w:line="440" w:lineRule="exact"/>
              <w:ind w:firstLineChars="200" w:firstLine="480"/>
              <w:rPr>
                <w:rStyle w:val="title1"/>
                <w:b w:val="0"/>
                <w:color w:val="auto"/>
              </w:rPr>
            </w:pPr>
            <w:r w:rsidRPr="00221F40">
              <w:rPr>
                <w:rFonts w:eastAsia="仿宋_GB2312" w:hint="eastAsia"/>
                <w:sz w:val="24"/>
                <w:szCs w:val="22"/>
              </w:rPr>
              <w:t>经审查，所填内容真实，特推荐申报浙江省自然科学一等奖。</w:t>
            </w:r>
          </w:p>
        </w:tc>
      </w:tr>
    </w:tbl>
    <w:p w14:paraId="1AA6ED5F" w14:textId="260E6E6A" w:rsidR="00653BB3" w:rsidRPr="00653BB3" w:rsidRDefault="00653BB3" w:rsidP="00E85E4F">
      <w:pPr>
        <w:spacing w:line="500" w:lineRule="exact"/>
        <w:ind w:firstLineChars="200" w:firstLine="420"/>
      </w:pPr>
    </w:p>
    <w:sectPr w:rsidR="00653BB3"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763F" w14:textId="77777777" w:rsidR="00305F0F" w:rsidRDefault="00305F0F" w:rsidP="006B124E">
      <w:r>
        <w:separator/>
      </w:r>
    </w:p>
  </w:endnote>
  <w:endnote w:type="continuationSeparator" w:id="0">
    <w:p w14:paraId="5C95CC70" w14:textId="77777777" w:rsidR="00305F0F" w:rsidRDefault="00305F0F" w:rsidP="006B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Times New             Roman">
    <w:altName w:val="Times New Roman"/>
    <w:panose1 w:val="00000000000000000000"/>
    <w:charset w:val="00"/>
    <w:family w:val="roman"/>
    <w:notTrueType/>
    <w:pitch w:val="default"/>
  </w:font>
  <w:font w:name="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7907" w14:textId="77777777" w:rsidR="00305F0F" w:rsidRDefault="00305F0F" w:rsidP="006B124E">
      <w:r>
        <w:separator/>
      </w:r>
    </w:p>
  </w:footnote>
  <w:footnote w:type="continuationSeparator" w:id="0">
    <w:p w14:paraId="74184C47" w14:textId="77777777" w:rsidR="00305F0F" w:rsidRDefault="00305F0F" w:rsidP="006B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57562"/>
    <w:multiLevelType w:val="hybridMultilevel"/>
    <w:tmpl w:val="F6909E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133845"/>
    <w:rsid w:val="0017255F"/>
    <w:rsid w:val="00200811"/>
    <w:rsid w:val="00221F40"/>
    <w:rsid w:val="00304ACB"/>
    <w:rsid w:val="00305F0F"/>
    <w:rsid w:val="003C0884"/>
    <w:rsid w:val="004A40FF"/>
    <w:rsid w:val="004D3794"/>
    <w:rsid w:val="005956FF"/>
    <w:rsid w:val="00653BB3"/>
    <w:rsid w:val="006B124E"/>
    <w:rsid w:val="0070115C"/>
    <w:rsid w:val="00760F17"/>
    <w:rsid w:val="007A378A"/>
    <w:rsid w:val="00821DF8"/>
    <w:rsid w:val="008B76F6"/>
    <w:rsid w:val="00983589"/>
    <w:rsid w:val="00A2366E"/>
    <w:rsid w:val="00B272D7"/>
    <w:rsid w:val="00C03F73"/>
    <w:rsid w:val="00CC64D3"/>
    <w:rsid w:val="00E8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2419"/>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6B124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B124E"/>
    <w:rPr>
      <w:rFonts w:ascii="Times New Roman" w:eastAsia="宋体" w:hAnsi="Times New Roman" w:cs="Times New Roman"/>
      <w:sz w:val="18"/>
      <w:szCs w:val="18"/>
    </w:rPr>
  </w:style>
  <w:style w:type="paragraph" w:styleId="a8">
    <w:name w:val="footer"/>
    <w:basedOn w:val="a"/>
    <w:link w:val="a9"/>
    <w:uiPriority w:val="99"/>
    <w:unhideWhenUsed/>
    <w:rsid w:val="006B124E"/>
    <w:pPr>
      <w:tabs>
        <w:tab w:val="center" w:pos="4153"/>
        <w:tab w:val="right" w:pos="8306"/>
      </w:tabs>
      <w:snapToGrid w:val="0"/>
      <w:jc w:val="left"/>
    </w:pPr>
    <w:rPr>
      <w:sz w:val="18"/>
      <w:szCs w:val="18"/>
    </w:rPr>
  </w:style>
  <w:style w:type="character" w:customStyle="1" w:styleId="a9">
    <w:name w:val="页脚 字符"/>
    <w:basedOn w:val="a0"/>
    <w:link w:val="a8"/>
    <w:uiPriority w:val="99"/>
    <w:rsid w:val="006B124E"/>
    <w:rPr>
      <w:rFonts w:ascii="Times New Roman" w:eastAsia="宋体" w:hAnsi="Times New Roman" w:cs="Times New Roman"/>
      <w:sz w:val="18"/>
      <w:szCs w:val="18"/>
    </w:rPr>
  </w:style>
  <w:style w:type="paragraph" w:styleId="aa">
    <w:name w:val="List Paragraph"/>
    <w:basedOn w:val="a"/>
    <w:uiPriority w:val="34"/>
    <w:qFormat/>
    <w:rsid w:val="00E85E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peb lou</cp:lastModifiedBy>
  <cp:revision>7</cp:revision>
  <dcterms:created xsi:type="dcterms:W3CDTF">2024-08-06T01:51:00Z</dcterms:created>
  <dcterms:modified xsi:type="dcterms:W3CDTF">2024-08-09T07:43:00Z</dcterms:modified>
</cp:coreProperties>
</file>