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提名奖项：自然科学奖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73E9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73E9A" w:rsidRPr="007A378A" w:rsidRDefault="00773E9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73E9A" w:rsidRPr="00773E9A" w:rsidRDefault="00773E9A" w:rsidP="000A4A70">
            <w:pPr>
              <w:jc w:val="center"/>
              <w:rPr>
                <w:rStyle w:val="title1"/>
                <w:rFonts w:asciiTheme="minorEastAsia" w:eastAsiaTheme="minorEastAsia" w:hAnsiTheme="minorEastAsia"/>
                <w:b w:val="0"/>
                <w:color w:val="auto"/>
              </w:rPr>
            </w:pPr>
            <w:r w:rsidRPr="00773E9A">
              <w:rPr>
                <w:rStyle w:val="title1"/>
                <w:rFonts w:ascii="宋体" w:hAnsi="宋体" w:cs="宋体"/>
                <w:b w:val="0"/>
                <w:color w:val="auto"/>
              </w:rPr>
              <w:t>砂土各向异性宏细观特性、临界状态理论</w:t>
            </w:r>
            <w:proofErr w:type="gramStart"/>
            <w:r w:rsidRPr="00773E9A">
              <w:rPr>
                <w:rStyle w:val="title1"/>
                <w:rFonts w:ascii="宋体" w:hAnsi="宋体" w:cs="宋体"/>
                <w:b w:val="0"/>
                <w:color w:val="auto"/>
              </w:rPr>
              <w:t>及本构模型</w:t>
            </w:r>
            <w:proofErr w:type="gramEnd"/>
          </w:p>
        </w:tc>
      </w:tr>
      <w:tr w:rsidR="00773E9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73E9A" w:rsidRPr="007A378A" w:rsidRDefault="00773E9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73E9A" w:rsidRPr="00773E9A" w:rsidRDefault="00773E9A" w:rsidP="000A4A70">
            <w:pPr>
              <w:jc w:val="center"/>
              <w:rPr>
                <w:rStyle w:val="title1"/>
                <w:rFonts w:asciiTheme="minorEastAsia" w:eastAsiaTheme="minorEastAsia" w:hAnsiTheme="minorEastAsia"/>
                <w:b w:val="0"/>
                <w:color w:val="auto"/>
              </w:rPr>
            </w:pPr>
            <w:r w:rsidRPr="00773E9A">
              <w:rPr>
                <w:rStyle w:val="title1"/>
                <w:rFonts w:eastAsia="仿宋_GB2312"/>
                <w:b w:val="0"/>
                <w:color w:val="auto"/>
              </w:rPr>
              <w:t>一等奖</w:t>
            </w:r>
          </w:p>
        </w:tc>
      </w:tr>
      <w:tr w:rsidR="007A378A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7A378A" w:rsidRDefault="00F805F1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代表性论文：</w:t>
            </w:r>
          </w:p>
          <w:p w:rsidR="00F805F1" w:rsidRPr="00F805F1" w:rsidRDefault="00F805F1" w:rsidP="007B6AA5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 xml:space="preserve">(1) 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 xml:space="preserve">Yang, Z.X., </w:t>
            </w:r>
            <w:proofErr w:type="spellStart"/>
            <w:r w:rsidRPr="00F805F1">
              <w:rPr>
                <w:rFonts w:eastAsia="仿宋_GB2312" w:hint="eastAsia"/>
                <w:bCs/>
                <w:sz w:val="24"/>
                <w:szCs w:val="24"/>
              </w:rPr>
              <w:t>Jardine</w:t>
            </w:r>
            <w:proofErr w:type="spellEnd"/>
            <w:r w:rsidRPr="00F805F1">
              <w:rPr>
                <w:rFonts w:eastAsia="仿宋_GB2312" w:hint="eastAsia"/>
                <w:bCs/>
                <w:sz w:val="24"/>
                <w:szCs w:val="24"/>
              </w:rPr>
              <w:t xml:space="preserve">, R.J., Zhu, B.T., Foray, P., </w:t>
            </w:r>
            <w:proofErr w:type="spellStart"/>
            <w:r w:rsidRPr="00F805F1">
              <w:rPr>
                <w:rFonts w:eastAsia="仿宋_GB2312" w:hint="eastAsia"/>
                <w:bCs/>
                <w:sz w:val="24"/>
                <w:szCs w:val="24"/>
              </w:rPr>
              <w:t>Tsuha</w:t>
            </w:r>
            <w:proofErr w:type="spellEnd"/>
            <w:r w:rsidRPr="00F805F1">
              <w:rPr>
                <w:rFonts w:eastAsia="仿宋_GB2312" w:hint="eastAsia"/>
                <w:bCs/>
                <w:sz w:val="24"/>
                <w:szCs w:val="24"/>
              </w:rPr>
              <w:t>, C.H.C.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>Sand grain crushing and interface shearing during displacement pile installation in sand</w:t>
            </w:r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F805F1">
              <w:rPr>
                <w:rFonts w:eastAsia="仿宋_GB2312"/>
                <w:bCs/>
                <w:sz w:val="24"/>
                <w:szCs w:val="24"/>
              </w:rPr>
              <w:t>Géotechnique</w:t>
            </w:r>
            <w:proofErr w:type="spellEnd"/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 xml:space="preserve"> 2010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>60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>469-482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:rsidR="00F805F1" w:rsidRPr="00F805F1" w:rsidRDefault="00CE1CD6" w:rsidP="007B6AA5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 xml:space="preserve">(2) 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>Yang, Z.X., Pan, K.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Flow deformation and cyclic resistance of saturated loose sand considering initial static shear effect</w:t>
            </w:r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Soil Dynamics and Earthquake Engineering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ab/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2017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92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68-78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:rsidR="00F805F1" w:rsidRPr="00F805F1" w:rsidRDefault="00CE1CD6" w:rsidP="007B6AA5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 xml:space="preserve">(3) 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>Pan, K., Yang, Z.X.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Effects of initial static shear on cyclic resistance and pore pressure generation of saturated sand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proofErr w:type="spellStart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Acta</w:t>
            </w:r>
            <w:proofErr w:type="spellEnd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proofErr w:type="spellStart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Geotechnica</w:t>
            </w:r>
            <w:proofErr w:type="spell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2018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13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473-487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:rsidR="00F805F1" w:rsidRPr="00F805F1" w:rsidRDefault="00CE1CD6" w:rsidP="007B6AA5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 xml:space="preserve">(4) 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>Yang, Z.X., Yang, J., Wang, L.Z.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On the influence of inter-particle friction and </w:t>
            </w:r>
            <w:proofErr w:type="spellStart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dilatancy</w:t>
            </w:r>
            <w:proofErr w:type="spellEnd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in granular materials: a numerical analysis</w:t>
            </w:r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Granular Matter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2012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14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433-447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:rsidR="00F805F1" w:rsidRPr="00F805F1" w:rsidRDefault="00CE1CD6" w:rsidP="007B6AA5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 xml:space="preserve">(5) </w:t>
            </w:r>
            <w:proofErr w:type="spellStart"/>
            <w:r w:rsidRPr="00F805F1">
              <w:rPr>
                <w:rFonts w:eastAsia="仿宋_GB2312" w:hint="eastAsia"/>
                <w:bCs/>
                <w:sz w:val="24"/>
                <w:szCs w:val="24"/>
              </w:rPr>
              <w:t>Guo</w:t>
            </w:r>
            <w:proofErr w:type="spellEnd"/>
            <w:r w:rsidRPr="00F805F1">
              <w:rPr>
                <w:rFonts w:eastAsia="仿宋_GB2312" w:hint="eastAsia"/>
                <w:bCs/>
                <w:sz w:val="24"/>
                <w:szCs w:val="24"/>
              </w:rPr>
              <w:t>, N., Zhao, J.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3D </w:t>
            </w:r>
            <w:proofErr w:type="spellStart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multiscale</w:t>
            </w:r>
            <w:proofErr w:type="spellEnd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modeling of strain localization in granular media</w:t>
            </w:r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Computers and </w:t>
            </w:r>
            <w:proofErr w:type="spellStart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Geotechnics</w:t>
            </w:r>
            <w:proofErr w:type="spell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2016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80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360-372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:rsidR="00F805F1" w:rsidRPr="00F805F1" w:rsidRDefault="00CE1CD6" w:rsidP="007B6AA5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 xml:space="preserve">(6) 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>Yang, Z.X., Wu, Y.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Critical state for anisotropic granular materials: A discrete element perspective</w:t>
            </w:r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International Journal of </w:t>
            </w:r>
            <w:proofErr w:type="spellStart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Geomechanics</w:t>
            </w:r>
            <w:proofErr w:type="spellEnd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ab/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2017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17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04016054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:rsidR="00F805F1" w:rsidRPr="00F805F1" w:rsidRDefault="00CE1CD6" w:rsidP="007B6AA5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 xml:space="preserve">(7) 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 xml:space="preserve">Yang, Z.X., </w:t>
            </w:r>
            <w:proofErr w:type="spellStart"/>
            <w:r w:rsidRPr="00F805F1">
              <w:rPr>
                <w:rFonts w:eastAsia="仿宋_GB2312" w:hint="eastAsia"/>
                <w:bCs/>
                <w:sz w:val="24"/>
                <w:szCs w:val="24"/>
              </w:rPr>
              <w:t>Xu</w:t>
            </w:r>
            <w:proofErr w:type="spellEnd"/>
            <w:r w:rsidRPr="00F805F1">
              <w:rPr>
                <w:rFonts w:eastAsia="仿宋_GB2312" w:hint="eastAsia"/>
                <w:bCs/>
                <w:sz w:val="24"/>
                <w:szCs w:val="24"/>
              </w:rPr>
              <w:t>, T.T., Chen, Y.N.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Unified modeling of the influence of consolidation conditions on the monotonic soil response considering fabric evolution</w:t>
            </w:r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Journal of Engineering Mechanics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2018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144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04018073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:rsidR="00F805F1" w:rsidRDefault="00CE1CD6" w:rsidP="007B6AA5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 xml:space="preserve">(8) </w:t>
            </w:r>
            <w:r w:rsidRPr="00F805F1">
              <w:rPr>
                <w:rFonts w:eastAsia="仿宋_GB2312" w:hint="eastAsia"/>
                <w:bCs/>
                <w:sz w:val="24"/>
                <w:szCs w:val="24"/>
              </w:rPr>
              <w:t xml:space="preserve">Yang, Z.X., Zhao, C.F., </w:t>
            </w:r>
            <w:proofErr w:type="spellStart"/>
            <w:r w:rsidRPr="00F805F1">
              <w:rPr>
                <w:rFonts w:eastAsia="仿宋_GB2312" w:hint="eastAsia"/>
                <w:bCs/>
                <w:sz w:val="24"/>
                <w:szCs w:val="24"/>
              </w:rPr>
              <w:t>Xu</w:t>
            </w:r>
            <w:proofErr w:type="spellEnd"/>
            <w:r w:rsidRPr="00F805F1">
              <w:rPr>
                <w:rFonts w:eastAsia="仿宋_GB2312" w:hint="eastAsia"/>
                <w:bCs/>
                <w:sz w:val="24"/>
                <w:szCs w:val="24"/>
              </w:rPr>
              <w:t xml:space="preserve">, C.J., Wilkinson, S.P., </w:t>
            </w:r>
            <w:proofErr w:type="spellStart"/>
            <w:r w:rsidRPr="00F805F1">
              <w:rPr>
                <w:rFonts w:eastAsia="仿宋_GB2312" w:hint="eastAsia"/>
                <w:bCs/>
                <w:sz w:val="24"/>
                <w:szCs w:val="24"/>
              </w:rPr>
              <w:t>Cai</w:t>
            </w:r>
            <w:proofErr w:type="spellEnd"/>
            <w:r w:rsidRPr="00F805F1">
              <w:rPr>
                <w:rFonts w:eastAsia="仿宋_GB2312" w:hint="eastAsia"/>
                <w:bCs/>
                <w:sz w:val="24"/>
                <w:szCs w:val="24"/>
              </w:rPr>
              <w:t>, Y.Q., Pan, K.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proofErr w:type="spellStart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Modelling</w:t>
            </w:r>
            <w:proofErr w:type="spellEnd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the engineering </w:t>
            </w:r>
            <w:proofErr w:type="spellStart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behaviour</w:t>
            </w:r>
            <w:proofErr w:type="spellEnd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of fibrous peat formed due to rapid anthropogenic </w:t>
            </w:r>
            <w:proofErr w:type="spellStart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terrestrialization</w:t>
            </w:r>
            <w:proofErr w:type="spellEnd"/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in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Hangzhou, China</w:t>
            </w:r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 xml:space="preserve"> Engineering Geology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2016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215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F805F1" w:rsidRPr="00F805F1">
              <w:rPr>
                <w:rFonts w:eastAsia="仿宋_GB2312" w:hint="eastAsia"/>
                <w:bCs/>
                <w:sz w:val="24"/>
                <w:szCs w:val="24"/>
              </w:rPr>
              <w:t>25-35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:rsidR="00F805F1" w:rsidRDefault="00F805F1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主要知识产权：</w:t>
            </w:r>
          </w:p>
          <w:p w:rsidR="00CE1CD6" w:rsidRPr="007B6AA5" w:rsidRDefault="00CE1CD6" w:rsidP="007B6AA5">
            <w:pPr>
              <w:jc w:val="left"/>
              <w:rPr>
                <w:rFonts w:eastAsia="仿宋"/>
                <w:sz w:val="24"/>
                <w:szCs w:val="24"/>
              </w:rPr>
            </w:pPr>
            <w:r w:rsidRPr="007B6AA5">
              <w:rPr>
                <w:rFonts w:eastAsia="仿宋" w:hint="eastAsia"/>
                <w:sz w:val="24"/>
                <w:szCs w:val="24"/>
              </w:rPr>
              <w:t>(1)</w:t>
            </w:r>
            <w:r w:rsidR="00755BAF">
              <w:rPr>
                <w:rFonts w:eastAsia="仿宋" w:hint="eastAsia"/>
                <w:sz w:val="24"/>
                <w:szCs w:val="24"/>
              </w:rPr>
              <w:t xml:space="preserve"> </w:t>
            </w:r>
            <w:r w:rsidRPr="007B6AA5">
              <w:rPr>
                <w:rFonts w:eastAsia="仿宋" w:hint="eastAsia"/>
                <w:sz w:val="24"/>
                <w:szCs w:val="24"/>
              </w:rPr>
              <w:t>基于状态空间法的圆形盾构隧道内力和相对变形计算方法</w:t>
            </w:r>
            <w:r w:rsidRPr="007B6AA5">
              <w:rPr>
                <w:rFonts w:eastAsia="仿宋" w:hint="eastAsia"/>
                <w:sz w:val="24"/>
                <w:szCs w:val="24"/>
              </w:rPr>
              <w:t xml:space="preserve">, </w:t>
            </w:r>
            <w:r w:rsidR="00CA70FD">
              <w:rPr>
                <w:rFonts w:eastAsia="仿宋" w:hint="eastAsia"/>
                <w:sz w:val="24"/>
                <w:szCs w:val="24"/>
              </w:rPr>
              <w:t>ZL</w:t>
            </w:r>
            <w:r w:rsidRPr="007B6AA5">
              <w:rPr>
                <w:rFonts w:eastAsia="仿宋" w:hint="eastAsia"/>
                <w:sz w:val="24"/>
                <w:szCs w:val="24"/>
              </w:rPr>
              <w:t>201811216222.1, 2021-02-12</w:t>
            </w:r>
          </w:p>
          <w:p w:rsidR="00CE1CD6" w:rsidRPr="007B6AA5" w:rsidRDefault="00CE1CD6" w:rsidP="007B6AA5">
            <w:pPr>
              <w:jc w:val="left"/>
              <w:rPr>
                <w:rFonts w:eastAsia="仿宋"/>
                <w:sz w:val="24"/>
                <w:szCs w:val="24"/>
              </w:rPr>
            </w:pPr>
            <w:r w:rsidRPr="007B6AA5">
              <w:rPr>
                <w:rFonts w:eastAsia="仿宋" w:hint="eastAsia"/>
                <w:sz w:val="24"/>
                <w:szCs w:val="24"/>
              </w:rPr>
              <w:t>(2)</w:t>
            </w:r>
            <w:r w:rsidR="00755BAF">
              <w:rPr>
                <w:rFonts w:eastAsia="仿宋" w:hint="eastAsia"/>
                <w:sz w:val="24"/>
                <w:szCs w:val="24"/>
              </w:rPr>
              <w:t xml:space="preserve"> </w:t>
            </w:r>
            <w:r w:rsidRPr="007B6AA5">
              <w:rPr>
                <w:rFonts w:eastAsia="仿宋" w:hint="eastAsia"/>
                <w:sz w:val="24"/>
                <w:szCs w:val="24"/>
              </w:rPr>
              <w:t>一种基于单调三轴的洁净砂和粉砂单调剪切行为检测方法</w:t>
            </w:r>
            <w:r w:rsidRPr="007B6AA5">
              <w:rPr>
                <w:rFonts w:eastAsia="仿宋" w:hint="eastAsia"/>
                <w:sz w:val="24"/>
                <w:szCs w:val="24"/>
              </w:rPr>
              <w:t xml:space="preserve">, </w:t>
            </w:r>
            <w:r w:rsidR="00CA70FD">
              <w:rPr>
                <w:rFonts w:eastAsia="仿宋" w:hint="eastAsia"/>
                <w:sz w:val="24"/>
                <w:szCs w:val="24"/>
              </w:rPr>
              <w:t>ZL</w:t>
            </w:r>
            <w:r w:rsidRPr="007B6AA5">
              <w:rPr>
                <w:rFonts w:eastAsia="仿宋" w:hint="eastAsia"/>
                <w:sz w:val="24"/>
                <w:szCs w:val="24"/>
              </w:rPr>
              <w:t>202011623593.9, 2022-10-18</w:t>
            </w:r>
          </w:p>
          <w:p w:rsidR="00CE1CD6" w:rsidRPr="007B6AA5" w:rsidRDefault="00CE1CD6" w:rsidP="007B6AA5">
            <w:pPr>
              <w:jc w:val="left"/>
              <w:rPr>
                <w:rFonts w:eastAsia="仿宋"/>
                <w:sz w:val="24"/>
                <w:szCs w:val="24"/>
              </w:rPr>
            </w:pPr>
            <w:r w:rsidRPr="007B6AA5">
              <w:rPr>
                <w:rFonts w:eastAsia="仿宋" w:hint="eastAsia"/>
                <w:sz w:val="24"/>
                <w:szCs w:val="24"/>
              </w:rPr>
              <w:t>(3)</w:t>
            </w:r>
            <w:r w:rsidR="00755BAF">
              <w:rPr>
                <w:rFonts w:eastAsia="仿宋" w:hint="eastAsia"/>
                <w:sz w:val="24"/>
                <w:szCs w:val="24"/>
              </w:rPr>
              <w:t xml:space="preserve"> </w:t>
            </w:r>
            <w:r w:rsidR="00E15D0D" w:rsidRPr="00E15D0D">
              <w:rPr>
                <w:rFonts w:eastAsia="仿宋" w:hint="eastAsia"/>
                <w:sz w:val="24"/>
                <w:szCs w:val="24"/>
              </w:rPr>
              <w:t>软土地基结构，</w:t>
            </w:r>
            <w:r w:rsidR="00E15D0D">
              <w:rPr>
                <w:rFonts w:eastAsia="仿宋" w:hint="eastAsia"/>
                <w:sz w:val="24"/>
                <w:szCs w:val="24"/>
              </w:rPr>
              <w:t>ZL20202</w:t>
            </w:r>
            <w:r w:rsidR="00E15D0D" w:rsidRPr="00E15D0D">
              <w:rPr>
                <w:rFonts w:eastAsia="仿宋" w:hint="eastAsia"/>
                <w:sz w:val="24"/>
                <w:szCs w:val="24"/>
              </w:rPr>
              <w:t>2423990.3</w:t>
            </w:r>
            <w:r w:rsidR="00E15D0D">
              <w:rPr>
                <w:rFonts w:eastAsia="仿宋" w:hint="eastAsia"/>
                <w:sz w:val="24"/>
                <w:szCs w:val="24"/>
              </w:rPr>
              <w:t xml:space="preserve">, </w:t>
            </w:r>
            <w:r w:rsidR="00E15D0D" w:rsidRPr="00E15D0D">
              <w:rPr>
                <w:rFonts w:eastAsia="仿宋" w:hint="eastAsia"/>
                <w:sz w:val="24"/>
                <w:szCs w:val="24"/>
              </w:rPr>
              <w:t>2021-</w:t>
            </w:r>
            <w:r w:rsidR="00087E52">
              <w:rPr>
                <w:rFonts w:eastAsia="仿宋" w:hint="eastAsia"/>
                <w:sz w:val="24"/>
                <w:szCs w:val="24"/>
              </w:rPr>
              <w:t>0</w:t>
            </w:r>
            <w:bookmarkStart w:id="0" w:name="_GoBack"/>
            <w:bookmarkEnd w:id="0"/>
            <w:r w:rsidR="00E15D0D" w:rsidRPr="00E15D0D">
              <w:rPr>
                <w:rFonts w:eastAsia="仿宋" w:hint="eastAsia"/>
                <w:sz w:val="24"/>
                <w:szCs w:val="24"/>
              </w:rPr>
              <w:t>7-27</w:t>
            </w:r>
          </w:p>
          <w:p w:rsidR="00CE1CD6" w:rsidRPr="007B6AA5" w:rsidRDefault="00CE1CD6" w:rsidP="007B6AA5">
            <w:pPr>
              <w:jc w:val="left"/>
              <w:rPr>
                <w:rFonts w:eastAsia="仿宋"/>
                <w:sz w:val="24"/>
                <w:szCs w:val="24"/>
              </w:rPr>
            </w:pPr>
            <w:r w:rsidRPr="007B6AA5">
              <w:rPr>
                <w:rFonts w:eastAsia="仿宋" w:hint="eastAsia"/>
                <w:sz w:val="24"/>
                <w:szCs w:val="24"/>
              </w:rPr>
              <w:t>(4)</w:t>
            </w:r>
            <w:r w:rsidR="00755BAF">
              <w:rPr>
                <w:rFonts w:eastAsia="仿宋" w:hint="eastAsia"/>
                <w:sz w:val="24"/>
                <w:szCs w:val="24"/>
              </w:rPr>
              <w:t xml:space="preserve"> </w:t>
            </w:r>
            <w:r w:rsidRPr="007B6AA5">
              <w:rPr>
                <w:rFonts w:eastAsia="仿宋" w:hint="eastAsia"/>
                <w:sz w:val="24"/>
                <w:szCs w:val="24"/>
              </w:rPr>
              <w:t>基于</w:t>
            </w:r>
            <w:proofErr w:type="spellStart"/>
            <w:r w:rsidRPr="007B6AA5">
              <w:rPr>
                <w:rFonts w:eastAsia="仿宋" w:hint="eastAsia"/>
                <w:sz w:val="24"/>
                <w:szCs w:val="24"/>
              </w:rPr>
              <w:t>Taichi</w:t>
            </w:r>
            <w:proofErr w:type="spellEnd"/>
            <w:r w:rsidRPr="007B6AA5">
              <w:rPr>
                <w:rFonts w:eastAsia="仿宋" w:hint="eastAsia"/>
                <w:sz w:val="24"/>
                <w:szCs w:val="24"/>
              </w:rPr>
              <w:t>语言的高性能离散元数值模拟平台</w:t>
            </w:r>
            <w:r w:rsidR="007B6AA5" w:rsidRPr="007B6AA5">
              <w:rPr>
                <w:rFonts w:eastAsia="仿宋" w:hint="eastAsia"/>
                <w:sz w:val="24"/>
                <w:szCs w:val="24"/>
              </w:rPr>
              <w:t>Vl.</w:t>
            </w:r>
            <w:r w:rsidRPr="007B6AA5">
              <w:rPr>
                <w:rFonts w:eastAsia="仿宋" w:hint="eastAsia"/>
                <w:sz w:val="24"/>
                <w:szCs w:val="24"/>
              </w:rPr>
              <w:t>0</w:t>
            </w:r>
            <w:r w:rsidR="007B6AA5" w:rsidRPr="007B6AA5">
              <w:rPr>
                <w:rFonts w:eastAsia="仿宋" w:hint="eastAsia"/>
                <w:sz w:val="24"/>
                <w:szCs w:val="24"/>
              </w:rPr>
              <w:t xml:space="preserve">, </w:t>
            </w:r>
            <w:r w:rsidRPr="007B6AA5">
              <w:rPr>
                <w:rFonts w:eastAsia="仿宋" w:hint="eastAsia"/>
                <w:sz w:val="24"/>
                <w:szCs w:val="24"/>
              </w:rPr>
              <w:t>2024SR0184109</w:t>
            </w:r>
            <w:r w:rsidR="007B6AA5" w:rsidRPr="007B6AA5">
              <w:rPr>
                <w:rFonts w:eastAsia="仿宋" w:hint="eastAsia"/>
                <w:sz w:val="24"/>
                <w:szCs w:val="24"/>
              </w:rPr>
              <w:t xml:space="preserve">, </w:t>
            </w:r>
            <w:r w:rsidRPr="007B6AA5">
              <w:rPr>
                <w:rFonts w:eastAsia="仿宋" w:hint="eastAsia"/>
                <w:sz w:val="24"/>
                <w:szCs w:val="24"/>
              </w:rPr>
              <w:t>2023-10-30</w:t>
            </w:r>
          </w:p>
          <w:p w:rsidR="00F805F1" w:rsidRPr="00CC64D3" w:rsidRDefault="007B6AA5" w:rsidP="00755BAF">
            <w:pPr>
              <w:jc w:val="left"/>
              <w:rPr>
                <w:rFonts w:eastAsia="方正黑体简体"/>
                <w:sz w:val="32"/>
                <w:szCs w:val="22"/>
              </w:rPr>
            </w:pPr>
            <w:r w:rsidRPr="007B6AA5">
              <w:rPr>
                <w:rFonts w:eastAsia="仿宋" w:hint="eastAsia"/>
                <w:sz w:val="24"/>
                <w:szCs w:val="24"/>
              </w:rPr>
              <w:t>(5)</w:t>
            </w:r>
            <w:r w:rsidR="00755BAF">
              <w:rPr>
                <w:rFonts w:eastAsia="仿宋" w:hint="eastAsia"/>
                <w:sz w:val="24"/>
                <w:szCs w:val="24"/>
              </w:rPr>
              <w:t xml:space="preserve"> </w:t>
            </w:r>
            <w:r w:rsidR="00CE1CD6" w:rsidRPr="007B6AA5">
              <w:rPr>
                <w:rFonts w:eastAsia="仿宋" w:hint="eastAsia"/>
                <w:sz w:val="24"/>
                <w:szCs w:val="24"/>
              </w:rPr>
              <w:t>盾构隧道双层衬砌计算程序系统</w:t>
            </w:r>
            <w:r w:rsidRPr="007B6AA5">
              <w:rPr>
                <w:rFonts w:eastAsia="仿宋" w:hint="eastAsia"/>
                <w:sz w:val="24"/>
                <w:szCs w:val="24"/>
              </w:rPr>
              <w:t>Vl.</w:t>
            </w:r>
            <w:r w:rsidR="00CE1CD6" w:rsidRPr="007B6AA5">
              <w:rPr>
                <w:rFonts w:eastAsia="仿宋" w:hint="eastAsia"/>
                <w:sz w:val="24"/>
                <w:szCs w:val="24"/>
              </w:rPr>
              <w:t>0</w:t>
            </w:r>
            <w:r w:rsidRPr="007B6AA5">
              <w:rPr>
                <w:rFonts w:eastAsia="仿宋" w:hint="eastAsia"/>
                <w:sz w:val="24"/>
                <w:szCs w:val="24"/>
              </w:rPr>
              <w:t xml:space="preserve">, </w:t>
            </w:r>
            <w:r w:rsidR="00CE1CD6" w:rsidRPr="007B6AA5">
              <w:rPr>
                <w:rFonts w:eastAsia="仿宋" w:hint="eastAsia"/>
                <w:sz w:val="24"/>
                <w:szCs w:val="24"/>
              </w:rPr>
              <w:t>2022SR0592232</w:t>
            </w:r>
            <w:r w:rsidRPr="007B6AA5">
              <w:rPr>
                <w:rFonts w:eastAsia="仿宋" w:hint="eastAsia"/>
                <w:sz w:val="24"/>
                <w:szCs w:val="24"/>
              </w:rPr>
              <w:t xml:space="preserve">, </w:t>
            </w:r>
            <w:r w:rsidR="00CE1CD6" w:rsidRPr="007B6AA5">
              <w:rPr>
                <w:rFonts w:eastAsia="仿宋" w:hint="eastAsia"/>
                <w:sz w:val="24"/>
                <w:szCs w:val="24"/>
              </w:rPr>
              <w:lastRenderedPageBreak/>
              <w:t>2021-11-30</w:t>
            </w:r>
          </w:p>
        </w:tc>
      </w:tr>
      <w:tr w:rsidR="007A378A" w:rsidRPr="007A378A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73E9A" w:rsidRPr="00773E9A" w:rsidRDefault="00773E9A" w:rsidP="00773E9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73E9A">
              <w:rPr>
                <w:rFonts w:eastAsia="仿宋_GB2312" w:hint="eastAsia"/>
                <w:bCs/>
                <w:sz w:val="24"/>
                <w:szCs w:val="24"/>
              </w:rPr>
              <w:t>杨仲轩，排名</w:t>
            </w:r>
            <w:r w:rsidRPr="00773E9A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773E9A">
              <w:rPr>
                <w:rFonts w:eastAsia="仿宋_GB2312" w:hint="eastAsia"/>
                <w:bCs/>
                <w:sz w:val="24"/>
                <w:szCs w:val="24"/>
              </w:rPr>
              <w:t>，教授，浙江大学</w:t>
            </w:r>
          </w:p>
          <w:p w:rsidR="00773E9A" w:rsidRPr="00773E9A" w:rsidRDefault="00773E9A" w:rsidP="00773E9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73E9A">
              <w:rPr>
                <w:rFonts w:eastAsia="仿宋_GB2312" w:hint="eastAsia"/>
                <w:bCs/>
                <w:sz w:val="24"/>
                <w:szCs w:val="24"/>
              </w:rPr>
              <w:t>郭宁，排名</w:t>
            </w:r>
            <w:r w:rsidRPr="00773E9A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773E9A">
              <w:rPr>
                <w:rFonts w:eastAsia="仿宋_GB2312" w:hint="eastAsia"/>
                <w:bCs/>
                <w:sz w:val="24"/>
                <w:szCs w:val="24"/>
              </w:rPr>
              <w:t>，研究员，浙江大学</w:t>
            </w:r>
          </w:p>
          <w:p w:rsidR="00773E9A" w:rsidRPr="00773E9A" w:rsidRDefault="00773E9A" w:rsidP="00773E9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73E9A">
              <w:rPr>
                <w:rFonts w:eastAsia="仿宋_GB2312" w:hint="eastAsia"/>
                <w:bCs/>
                <w:sz w:val="24"/>
                <w:szCs w:val="24"/>
              </w:rPr>
              <w:t>潘坤，排名</w:t>
            </w:r>
            <w:r w:rsidRPr="00773E9A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773E9A">
              <w:rPr>
                <w:rFonts w:eastAsia="仿宋_GB2312" w:hint="eastAsia"/>
                <w:bCs/>
                <w:sz w:val="24"/>
                <w:szCs w:val="24"/>
              </w:rPr>
              <w:t>，副研究员，浙江工业大学</w:t>
            </w:r>
          </w:p>
          <w:p w:rsidR="00773E9A" w:rsidRPr="00773E9A" w:rsidRDefault="00773E9A" w:rsidP="00773E9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73E9A">
              <w:rPr>
                <w:rFonts w:eastAsia="仿宋_GB2312" w:hint="eastAsia"/>
                <w:bCs/>
                <w:sz w:val="24"/>
                <w:szCs w:val="24"/>
              </w:rPr>
              <w:t>赵朝发，排名</w:t>
            </w:r>
            <w:r w:rsidRPr="00773E9A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773E9A">
              <w:rPr>
                <w:rFonts w:eastAsia="仿宋_GB2312" w:hint="eastAsia"/>
                <w:bCs/>
                <w:sz w:val="24"/>
                <w:szCs w:val="24"/>
              </w:rPr>
              <w:t>，研究员，浙江大学</w:t>
            </w:r>
          </w:p>
          <w:p w:rsidR="007A378A" w:rsidRPr="007A378A" w:rsidRDefault="00773E9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73E9A">
              <w:rPr>
                <w:rFonts w:eastAsia="仿宋_GB2312" w:hint="eastAsia"/>
                <w:bCs/>
                <w:sz w:val="24"/>
                <w:szCs w:val="24"/>
              </w:rPr>
              <w:t>陈艳妮，排名</w:t>
            </w:r>
            <w:r w:rsidRPr="00773E9A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773E9A">
              <w:rPr>
                <w:rFonts w:eastAsia="仿宋_GB2312" w:hint="eastAsia"/>
                <w:bCs/>
                <w:sz w:val="24"/>
                <w:szCs w:val="24"/>
              </w:rPr>
              <w:t>，研究员，浙江大学</w:t>
            </w:r>
          </w:p>
        </w:tc>
      </w:tr>
      <w:tr w:rsidR="007A378A" w:rsidRPr="007A378A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73E9A">
              <w:rPr>
                <w:rFonts w:eastAsia="仿宋_GB2312"/>
                <w:bCs/>
                <w:sz w:val="24"/>
                <w:szCs w:val="24"/>
              </w:rPr>
              <w:t>浙江大学</w:t>
            </w:r>
          </w:p>
          <w:p w:rsidR="007A378A" w:rsidRPr="00773E9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73E9A">
              <w:rPr>
                <w:rFonts w:eastAsia="仿宋_GB2312"/>
                <w:bCs/>
                <w:sz w:val="24"/>
                <w:szCs w:val="24"/>
              </w:rPr>
              <w:t>浙江工业大学</w:t>
            </w: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7A378A" w:rsidRDefault="00773E9A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b w:val="0"/>
                <w:color w:val="auto"/>
              </w:rPr>
              <w:t>浙江大学</w:t>
            </w: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B46B57" w:rsidRPr="00B46B57" w:rsidRDefault="00B46B57" w:rsidP="00B46B57">
            <w:pPr>
              <w:spacing w:line="360" w:lineRule="exact"/>
              <w:ind w:firstLine="465"/>
              <w:rPr>
                <w:rFonts w:hAnsi="宋体"/>
                <w:bCs/>
                <w:sz w:val="24"/>
                <w:szCs w:val="24"/>
              </w:rPr>
            </w:pPr>
            <w:r w:rsidRPr="00B46B57">
              <w:rPr>
                <w:rFonts w:hAnsi="宋体" w:hint="eastAsia"/>
                <w:bCs/>
                <w:sz w:val="24"/>
                <w:szCs w:val="24"/>
              </w:rPr>
              <w:t>砂土作为一种具有显著多尺度特性的离散颗粒材料，其各向异性力学行为的宏细观分析表征是</w:t>
            </w:r>
            <w:r w:rsidRPr="00B46B57">
              <w:rPr>
                <w:rFonts w:hAnsi="宋体"/>
                <w:bCs/>
                <w:sz w:val="24"/>
                <w:szCs w:val="24"/>
              </w:rPr>
              <w:t>国际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理论土力学</w:t>
            </w:r>
            <w:r w:rsidRPr="00B46B57">
              <w:rPr>
                <w:rFonts w:hAnsi="宋体"/>
                <w:bCs/>
                <w:sz w:val="24"/>
                <w:szCs w:val="24"/>
              </w:rPr>
              <w:t>和计算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岩土</w:t>
            </w:r>
            <w:r w:rsidRPr="00B46B57">
              <w:rPr>
                <w:rFonts w:hAnsi="宋体"/>
                <w:bCs/>
                <w:sz w:val="24"/>
                <w:szCs w:val="24"/>
              </w:rPr>
              <w:t>力学领域的研究热点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和</w:t>
            </w:r>
            <w:r w:rsidRPr="00B46B57">
              <w:rPr>
                <w:rFonts w:hAnsi="宋体"/>
                <w:bCs/>
                <w:sz w:val="24"/>
                <w:szCs w:val="24"/>
              </w:rPr>
              <w:t>难点。本项目在国家自然科学基金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、</w:t>
            </w:r>
            <w:r w:rsidRPr="00B46B57">
              <w:rPr>
                <w:rFonts w:hAnsi="宋体"/>
                <w:bCs/>
                <w:sz w:val="24"/>
                <w:szCs w:val="24"/>
              </w:rPr>
              <w:t>国家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重点</w:t>
            </w:r>
            <w:r w:rsidRPr="00B46B57">
              <w:rPr>
                <w:rFonts w:hAnsi="宋体"/>
                <w:bCs/>
                <w:sz w:val="24"/>
                <w:szCs w:val="24"/>
              </w:rPr>
              <w:t>研发计划等项目的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资助</w:t>
            </w:r>
            <w:r w:rsidRPr="00B46B57">
              <w:rPr>
                <w:rFonts w:hAnsi="宋体"/>
                <w:bCs/>
                <w:sz w:val="24"/>
                <w:szCs w:val="24"/>
              </w:rPr>
              <w:t>下，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从颗粒材料的细微观本质出发，对各向异性砂土复杂静</w:t>
            </w:r>
            <w:proofErr w:type="gramStart"/>
            <w:r w:rsidRPr="00B46B57">
              <w:rPr>
                <w:rFonts w:hAnsi="宋体" w:hint="eastAsia"/>
                <w:bCs/>
                <w:sz w:val="24"/>
                <w:szCs w:val="24"/>
              </w:rPr>
              <w:t>动力本构特性</w:t>
            </w:r>
            <w:proofErr w:type="gramEnd"/>
            <w:r w:rsidRPr="00B46B57">
              <w:rPr>
                <w:rFonts w:hAnsi="宋体"/>
                <w:bCs/>
                <w:sz w:val="24"/>
                <w:szCs w:val="24"/>
              </w:rPr>
              <w:t>进行了深入研究，取得了系列创新性研究成果：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（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1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）揭示了砂土各向异性静动力特性及影响机制，首次建立了弹性各向异性与应力路径旋转角的数学解析表达，阐明了复杂应力路径下砂土循环弱化、非共轴等塑性各向异性力学行为的细观本质；（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2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）首次通过微观数值试验验证了临界状态的唯一性，建立了基于组构和应力张量联合不变量的各向异性临界状态理论，提出了弹塑性耦合组构表征及其演化统一公式；（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3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）构建了从小应变弹塑性耦合到大应变临界状态的全应变尺度下的</w:t>
            </w:r>
            <w:proofErr w:type="gramStart"/>
            <w:r w:rsidRPr="00B46B57">
              <w:rPr>
                <w:rFonts w:hAnsi="宋体" w:hint="eastAsia"/>
                <w:bCs/>
                <w:sz w:val="24"/>
                <w:szCs w:val="24"/>
              </w:rPr>
              <w:t>各向异性本构模型</w:t>
            </w:r>
            <w:proofErr w:type="gramEnd"/>
            <w:r w:rsidRPr="00B46B57">
              <w:rPr>
                <w:rFonts w:hAnsi="宋体" w:hint="eastAsia"/>
                <w:bCs/>
                <w:sz w:val="24"/>
                <w:szCs w:val="24"/>
              </w:rPr>
              <w:t>，实现了应力和材料各向异性的耦合模拟，提出了基于</w:t>
            </w:r>
            <w:proofErr w:type="gramStart"/>
            <w:r w:rsidRPr="00B46B57">
              <w:rPr>
                <w:rFonts w:hAnsi="宋体" w:hint="eastAsia"/>
                <w:bCs/>
                <w:sz w:val="24"/>
                <w:szCs w:val="24"/>
              </w:rPr>
              <w:t>各向异性本构模型</w:t>
            </w:r>
            <w:proofErr w:type="gramEnd"/>
            <w:r w:rsidRPr="00B46B57">
              <w:rPr>
                <w:rFonts w:hAnsi="宋体" w:hint="eastAsia"/>
                <w:bCs/>
                <w:sz w:val="24"/>
                <w:szCs w:val="24"/>
              </w:rPr>
              <w:t>的多尺度数值计算方法。</w:t>
            </w:r>
          </w:p>
          <w:p w:rsidR="00773E9A" w:rsidRDefault="00B46B57" w:rsidP="00B46B57">
            <w:pPr>
              <w:spacing w:line="360" w:lineRule="exact"/>
              <w:ind w:firstLine="465"/>
              <w:rPr>
                <w:rFonts w:hAnsi="宋体"/>
                <w:sz w:val="24"/>
                <w:szCs w:val="24"/>
              </w:rPr>
            </w:pPr>
            <w:r w:rsidRPr="00B46B57">
              <w:rPr>
                <w:rFonts w:hAnsi="宋体"/>
                <w:bCs/>
                <w:sz w:val="24"/>
                <w:szCs w:val="24"/>
              </w:rPr>
              <w:t>本项目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成果</w:t>
            </w:r>
            <w:r w:rsidRPr="00B46B57">
              <w:rPr>
                <w:rFonts w:hAnsi="宋体"/>
                <w:bCs/>
                <w:sz w:val="24"/>
                <w:szCs w:val="24"/>
              </w:rPr>
              <w:t>已发表</w:t>
            </w:r>
            <w:r w:rsidR="00960B67">
              <w:rPr>
                <w:rFonts w:hAnsi="宋体" w:hint="eastAsia"/>
                <w:bCs/>
                <w:sz w:val="24"/>
                <w:szCs w:val="24"/>
              </w:rPr>
              <w:t>100</w:t>
            </w:r>
            <w:r w:rsidR="00960B67">
              <w:rPr>
                <w:rFonts w:hAnsi="宋体" w:hint="eastAsia"/>
                <w:bCs/>
                <w:sz w:val="24"/>
                <w:szCs w:val="24"/>
              </w:rPr>
              <w:t>余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篇学术论文，多篇次获得国际期刊优秀论文奖</w:t>
            </w:r>
            <w:r w:rsidRPr="00B46B57">
              <w:rPr>
                <w:rFonts w:hAnsi="宋体"/>
                <w:bCs/>
                <w:sz w:val="24"/>
                <w:szCs w:val="24"/>
              </w:rPr>
              <w:t>(R.M. Quigley Award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和</w:t>
            </w:r>
            <w:r w:rsidRPr="00B46B57">
              <w:rPr>
                <w:rFonts w:hAnsi="宋体"/>
                <w:bCs/>
                <w:sz w:val="24"/>
                <w:szCs w:val="24"/>
              </w:rPr>
              <w:t xml:space="preserve">Scott Sloan 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Award)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，其中</w:t>
            </w:r>
            <w:r w:rsidRPr="00B46B57">
              <w:rPr>
                <w:rFonts w:hAnsi="宋体"/>
                <w:bCs/>
                <w:sz w:val="24"/>
                <w:szCs w:val="24"/>
              </w:rPr>
              <w:t>8</w:t>
            </w:r>
            <w:r w:rsidRPr="00B46B57">
              <w:rPr>
                <w:rFonts w:hAnsi="宋体"/>
                <w:bCs/>
                <w:sz w:val="24"/>
                <w:szCs w:val="24"/>
              </w:rPr>
              <w:t>篇代表性论文</w:t>
            </w:r>
            <w:r w:rsidRPr="00B46B57">
              <w:rPr>
                <w:rFonts w:hAnsi="宋体"/>
                <w:bCs/>
                <w:sz w:val="24"/>
                <w:szCs w:val="24"/>
              </w:rPr>
              <w:t>SCI</w:t>
            </w:r>
            <w:r w:rsidRPr="00B46B57">
              <w:rPr>
                <w:rFonts w:hAnsi="宋体"/>
                <w:bCs/>
                <w:sz w:val="24"/>
                <w:szCs w:val="24"/>
              </w:rPr>
              <w:t>他引</w:t>
            </w:r>
            <w:r w:rsidR="00AE6F6F">
              <w:rPr>
                <w:rFonts w:hAnsi="宋体"/>
                <w:bCs/>
                <w:sz w:val="24"/>
                <w:szCs w:val="24"/>
              </w:rPr>
              <w:t>超</w:t>
            </w:r>
            <w:r w:rsidR="00433D43">
              <w:rPr>
                <w:rFonts w:hAnsi="宋体" w:hint="eastAsia"/>
                <w:bCs/>
                <w:sz w:val="24"/>
                <w:szCs w:val="24"/>
              </w:rPr>
              <w:t>500</w:t>
            </w:r>
            <w:r w:rsidRPr="00B46B57">
              <w:rPr>
                <w:rFonts w:hAnsi="宋体"/>
                <w:bCs/>
                <w:sz w:val="24"/>
                <w:szCs w:val="24"/>
              </w:rPr>
              <w:t>次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，得到英国皇家工程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lastRenderedPageBreak/>
              <w:t>院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Bolton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院士、</w:t>
            </w:r>
            <w:r w:rsidRPr="00B46B57">
              <w:rPr>
                <w:rFonts w:hAnsi="宋体"/>
                <w:bCs/>
                <w:sz w:val="24"/>
                <w:szCs w:val="24"/>
              </w:rPr>
              <w:t>中国工程院张建民院士等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国内外</w:t>
            </w:r>
            <w:r w:rsidR="00755BAF">
              <w:rPr>
                <w:rFonts w:hAnsi="宋体" w:hint="eastAsia"/>
                <w:bCs/>
                <w:sz w:val="24"/>
                <w:szCs w:val="24"/>
              </w:rPr>
              <w:t>著名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学者的高度评价</w:t>
            </w:r>
            <w:r w:rsidRPr="00B46B57">
              <w:rPr>
                <w:rFonts w:hAnsi="宋体"/>
                <w:bCs/>
                <w:sz w:val="24"/>
                <w:szCs w:val="24"/>
              </w:rPr>
              <w:t>。</w:t>
            </w:r>
            <w:r w:rsidR="00960B67">
              <w:rPr>
                <w:rFonts w:hAnsi="宋体"/>
                <w:bCs/>
                <w:sz w:val="24"/>
                <w:szCs w:val="24"/>
              </w:rPr>
              <w:t>项目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研究成果</w:t>
            </w:r>
            <w:r w:rsidR="00960B67">
              <w:rPr>
                <w:rFonts w:hAnsi="宋体" w:hint="eastAsia"/>
                <w:bCs/>
                <w:sz w:val="24"/>
                <w:szCs w:val="24"/>
              </w:rPr>
              <w:t>总体达到国际领先水平，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成功应用于南京仙新路长江大桥、华润电力苍南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1</w:t>
            </w:r>
            <w:r w:rsidRPr="00B46B57">
              <w:rPr>
                <w:rFonts w:hAnsi="宋体" w:hint="eastAsia"/>
                <w:bCs/>
                <w:sz w:val="24"/>
                <w:szCs w:val="24"/>
              </w:rPr>
              <w:t>号海上风</w:t>
            </w:r>
            <w:proofErr w:type="gramStart"/>
            <w:r w:rsidRPr="00B46B57">
              <w:rPr>
                <w:rFonts w:hAnsi="宋体" w:hint="eastAsia"/>
                <w:bCs/>
                <w:sz w:val="24"/>
                <w:szCs w:val="24"/>
              </w:rPr>
              <w:t>电项目</w:t>
            </w:r>
            <w:proofErr w:type="gramEnd"/>
            <w:r w:rsidRPr="00B46B57">
              <w:rPr>
                <w:rFonts w:hAnsi="宋体" w:hint="eastAsia"/>
                <w:bCs/>
                <w:sz w:val="24"/>
                <w:szCs w:val="24"/>
              </w:rPr>
              <w:t>等重大工程，经济、社会和环境效益显著</w:t>
            </w:r>
            <w:r w:rsidRPr="00B46B57">
              <w:rPr>
                <w:rFonts w:hAnsi="宋体"/>
                <w:bCs/>
                <w:sz w:val="24"/>
                <w:szCs w:val="24"/>
              </w:rPr>
              <w:t>。</w:t>
            </w:r>
          </w:p>
          <w:p w:rsidR="007A378A" w:rsidRPr="00773E9A" w:rsidRDefault="00773E9A" w:rsidP="00773E9A">
            <w:pPr>
              <w:spacing w:line="360" w:lineRule="exact"/>
              <w:ind w:firstLine="465"/>
              <w:rPr>
                <w:rStyle w:val="title1"/>
                <w:rFonts w:hAnsi="宋体"/>
                <w:b w:val="0"/>
                <w:bCs w:val="0"/>
                <w:color w:val="auto"/>
              </w:rPr>
            </w:pPr>
            <w:r w:rsidRPr="00243930">
              <w:rPr>
                <w:rFonts w:hAnsi="宋体" w:hint="eastAsia"/>
                <w:bCs/>
                <w:sz w:val="24"/>
                <w:szCs w:val="24"/>
              </w:rPr>
              <w:t>提名该成果为浙江省科学技术奖自然科学奖一等奖。</w:t>
            </w:r>
          </w:p>
        </w:tc>
      </w:tr>
    </w:tbl>
    <w:p w:rsidR="00653BB3" w:rsidRPr="00653BB3" w:rsidRDefault="00653BB3" w:rsidP="007B6AA5">
      <w:pPr>
        <w:adjustRightInd w:val="0"/>
        <w:snapToGrid w:val="0"/>
        <w:spacing w:line="560" w:lineRule="exact"/>
      </w:pPr>
    </w:p>
    <w:sectPr w:rsidR="00653BB3" w:rsidRPr="00653BB3" w:rsidSect="007B6A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CE" w:rsidRDefault="00CE4CCE">
      <w:r>
        <w:separator/>
      </w:r>
    </w:p>
  </w:endnote>
  <w:endnote w:type="continuationSeparator" w:id="0">
    <w:p w:rsidR="00CE4CCE" w:rsidRDefault="00CE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286816"/>
    </w:sdtPr>
    <w:sdtEndPr>
      <w:rPr>
        <w:sz w:val="21"/>
        <w:szCs w:val="21"/>
      </w:rPr>
    </w:sdtEndPr>
    <w:sdtContent>
      <w:p w:rsidR="00565804" w:rsidRDefault="00773E9A">
        <w:pPr>
          <w:pStyle w:val="a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087E52" w:rsidRPr="00087E52">
          <w:rPr>
            <w:noProof/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CE" w:rsidRDefault="00CE4CCE">
      <w:r>
        <w:separator/>
      </w:r>
    </w:p>
  </w:footnote>
  <w:footnote w:type="continuationSeparator" w:id="0">
    <w:p w:rsidR="00CE4CCE" w:rsidRDefault="00CE4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04" w:rsidRDefault="00CE4CCE">
    <w:pPr>
      <w:pStyle w:val="a6"/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04" w:rsidRDefault="00CE4CCE">
    <w:pPr>
      <w:ind w:left="420" w:hanging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04" w:rsidRDefault="00CE4CCE">
    <w:pPr>
      <w:pStyle w:val="a6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8A"/>
    <w:rsid w:val="00087E52"/>
    <w:rsid w:val="00133845"/>
    <w:rsid w:val="001C48CD"/>
    <w:rsid w:val="001F1236"/>
    <w:rsid w:val="00433D43"/>
    <w:rsid w:val="004D3794"/>
    <w:rsid w:val="004F657F"/>
    <w:rsid w:val="005956FF"/>
    <w:rsid w:val="00653BB3"/>
    <w:rsid w:val="0065436C"/>
    <w:rsid w:val="00755BAF"/>
    <w:rsid w:val="00773E9A"/>
    <w:rsid w:val="007A378A"/>
    <w:rsid w:val="007B6AA5"/>
    <w:rsid w:val="00821DF8"/>
    <w:rsid w:val="008A50ED"/>
    <w:rsid w:val="008B76F6"/>
    <w:rsid w:val="00960B67"/>
    <w:rsid w:val="00A2366E"/>
    <w:rsid w:val="00AE099D"/>
    <w:rsid w:val="00AE6F6F"/>
    <w:rsid w:val="00B272D7"/>
    <w:rsid w:val="00B46B57"/>
    <w:rsid w:val="00C01FAF"/>
    <w:rsid w:val="00C03F73"/>
    <w:rsid w:val="00CA70FD"/>
    <w:rsid w:val="00CC64D3"/>
    <w:rsid w:val="00CE1CD6"/>
    <w:rsid w:val="00CE4CCE"/>
    <w:rsid w:val="00D0164E"/>
    <w:rsid w:val="00D6179A"/>
    <w:rsid w:val="00D73EDB"/>
    <w:rsid w:val="00D759A9"/>
    <w:rsid w:val="00E15D0D"/>
    <w:rsid w:val="00E52186"/>
    <w:rsid w:val="00F805F1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Char"/>
    <w:uiPriority w:val="99"/>
    <w:unhideWhenUsed/>
    <w:qFormat/>
    <w:rsid w:val="00CC64D3"/>
    <w:pPr>
      <w:widowControl/>
      <w:jc w:val="left"/>
    </w:pPr>
  </w:style>
  <w:style w:type="character" w:customStyle="1" w:styleId="Char">
    <w:name w:val="批注文字 Char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773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773E9A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nhideWhenUsed/>
    <w:qFormat/>
    <w:rsid w:val="00773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sid w:val="00773E9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73E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73E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Char"/>
    <w:uiPriority w:val="99"/>
    <w:unhideWhenUsed/>
    <w:qFormat/>
    <w:rsid w:val="00CC64D3"/>
    <w:pPr>
      <w:widowControl/>
      <w:jc w:val="left"/>
    </w:pPr>
  </w:style>
  <w:style w:type="character" w:customStyle="1" w:styleId="Char">
    <w:name w:val="批注文字 Char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773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773E9A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nhideWhenUsed/>
    <w:qFormat/>
    <w:rsid w:val="00773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sid w:val="00773E9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73E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73E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pk2018</cp:lastModifiedBy>
  <cp:revision>17</cp:revision>
  <dcterms:created xsi:type="dcterms:W3CDTF">2024-08-01T10:47:00Z</dcterms:created>
  <dcterms:modified xsi:type="dcterms:W3CDTF">2024-08-08T14:45:00Z</dcterms:modified>
</cp:coreProperties>
</file>