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eastAsia="方正小标宋简体"/>
          <w:bCs w:val="0"/>
          <w:color w:val="auto"/>
          <w:sz w:val="36"/>
          <w:szCs w:val="36"/>
        </w:rPr>
      </w:pPr>
      <w:bookmarkStart w:id="2" w:name="_GoBack"/>
      <w:bookmarkEnd w:id="2"/>
      <w:r>
        <w:rPr>
          <w:rStyle w:val="5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5"/>
          <w:rFonts w:eastAsia="仿宋_GB2312"/>
          <w:color w:val="auto"/>
          <w:sz w:val="32"/>
          <w:szCs w:val="32"/>
        </w:rPr>
        <w:t>（单位提名）</w:t>
      </w:r>
    </w:p>
    <w:p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提名奖项：（填自然科学奖、技术发明奖、</w:t>
      </w:r>
      <w:bookmarkStart w:id="0" w:name="OLE_LINK2"/>
      <w:r>
        <w:rPr>
          <w:rFonts w:eastAsia="仿宋_GB2312"/>
          <w:sz w:val="28"/>
          <w:szCs w:val="24"/>
        </w:rPr>
        <w:t>科学技术进步奖</w:t>
      </w:r>
      <w:bookmarkEnd w:id="0"/>
      <w:r>
        <w:rPr>
          <w:rFonts w:eastAsia="仿宋_GB2312"/>
          <w:sz w:val="28"/>
          <w:szCs w:val="24"/>
        </w:rPr>
        <w:t>）</w:t>
      </w:r>
    </w:p>
    <w:tbl>
      <w:tblPr>
        <w:tblStyle w:val="3"/>
        <w:tblW w:w="86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6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072" w:type="dxa"/>
            <w:vAlign w:val="center"/>
          </w:tcPr>
          <w:p>
            <w:pPr>
              <w:jc w:val="center"/>
              <w:rPr>
                <w:rStyle w:val="5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5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604" w:type="dxa"/>
            <w:vAlign w:val="center"/>
          </w:tcPr>
          <w:p>
            <w:pPr>
              <w:jc w:val="center"/>
              <w:rPr>
                <w:rStyle w:val="5"/>
                <w:rFonts w:hint="eastAsia" w:ascii="华文楷体" w:hAnsi="华文楷体" w:eastAsia="华文楷体" w:cs="华文楷体"/>
                <w:b w:val="0"/>
                <w:color w:val="auto"/>
              </w:rPr>
            </w:pPr>
            <w:bookmarkStart w:id="1" w:name="OLE_LINK1"/>
            <w:r>
              <w:rPr>
                <w:rFonts w:hint="eastAsia" w:ascii="华文楷体" w:hAnsi="华文楷体" w:eastAsia="华文楷体" w:cs="华文楷体"/>
                <w:b/>
                <w:bCs/>
                <w:sz w:val="24"/>
                <w:szCs w:val="24"/>
              </w:rPr>
              <w:t>“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走出去”企业境外合规经营风险防范操作细则研究</w:t>
            </w:r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72" w:type="dxa"/>
            <w:vAlign w:val="center"/>
          </w:tcPr>
          <w:p>
            <w:pPr>
              <w:jc w:val="center"/>
              <w:rPr>
                <w:rStyle w:val="5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5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604" w:type="dxa"/>
            <w:vAlign w:val="center"/>
          </w:tcPr>
          <w:p>
            <w:pPr>
              <w:jc w:val="center"/>
              <w:rPr>
                <w:rStyle w:val="5"/>
                <w:rFonts w:hint="eastAsia" w:ascii="华文楷体" w:hAnsi="华文楷体" w:eastAsia="华文楷体" w:cs="华文楷体"/>
                <w:b w:val="0"/>
                <w:color w:val="auto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b w:val="0"/>
                <w:color w:val="auto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207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hint="eastAsia" w:eastAsia="仿宋_GB2312"/>
                <w:bCs/>
                <w:sz w:val="28"/>
                <w:szCs w:val="24"/>
              </w:rPr>
              <w:t>（附表）</w:t>
            </w:r>
          </w:p>
        </w:tc>
        <w:tc>
          <w:tcPr>
            <w:tcW w:w="6604" w:type="dxa"/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自然科学奖：提名书的六、代表性论文专著目录（不超过8篇）</w:t>
            </w:r>
            <w:r>
              <w:rPr>
                <w:rFonts w:hint="eastAsia" w:eastAsia="仿宋_GB2312"/>
                <w:bCs/>
                <w:sz w:val="24"/>
                <w:szCs w:val="24"/>
              </w:rPr>
              <w:t>和</w:t>
            </w:r>
            <w:r>
              <w:rPr>
                <w:rFonts w:eastAsia="仿宋_GB2312"/>
                <w:bCs/>
                <w:sz w:val="24"/>
                <w:szCs w:val="24"/>
              </w:rPr>
              <w:t>八、主要知识产权和标准规范目录（不超过5件）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技术发明奖：提名书的七、主要知识产权和标准规范目录（不超过10件）</w:t>
            </w:r>
          </w:p>
          <w:p>
            <w:pPr>
              <w:spacing w:line="440" w:lineRule="exact"/>
              <w:jc w:val="left"/>
              <w:rPr>
                <w:rFonts w:eastAsia="方正黑体简体"/>
                <w:sz w:val="32"/>
                <w:szCs w:val="22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科学技术进步奖：提名书的七、主要知识产权和标准规范目录</w:t>
            </w:r>
            <w:r>
              <w:rPr>
                <w:rFonts w:hint="eastAsia" w:eastAsia="仿宋_GB2312"/>
                <w:bCs/>
                <w:sz w:val="24"/>
                <w:szCs w:val="24"/>
              </w:rPr>
              <w:t>和</w:t>
            </w:r>
            <w:r>
              <w:rPr>
                <w:rFonts w:eastAsia="仿宋_GB2312"/>
                <w:bCs/>
                <w:sz w:val="24"/>
                <w:szCs w:val="24"/>
              </w:rPr>
              <w:t>八、代表性论文专著目录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（两表加起来不超过1</w:t>
            </w:r>
            <w:r>
              <w:rPr>
                <w:rFonts w:eastAsia="仿宋_GB2312"/>
                <w:bCs/>
                <w:sz w:val="24"/>
                <w:szCs w:val="24"/>
              </w:rPr>
              <w:t>0</w:t>
            </w:r>
            <w:r>
              <w:rPr>
                <w:rFonts w:hint="eastAsia" w:eastAsia="仿宋_GB2312"/>
                <w:bCs/>
                <w:sz w:val="24"/>
                <w:szCs w:val="24"/>
              </w:rPr>
              <w:t>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2072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60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华文楷体" w:hAnsi="华文楷体" w:eastAsia="华文楷体" w:cs="华文楷体"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  <w:szCs w:val="24"/>
              </w:rPr>
              <w:t>陈菲琼，排名1，教授，浙江大学</w:t>
            </w:r>
          </w:p>
          <w:p>
            <w:pPr>
              <w:spacing w:line="440" w:lineRule="exact"/>
              <w:rPr>
                <w:rFonts w:hint="eastAsia" w:ascii="华文楷体" w:hAnsi="华文楷体" w:eastAsia="华文楷体" w:cs="华文楷体"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  <w:szCs w:val="24"/>
              </w:rPr>
              <w:t>刘慧倩，排名2，讲师，浙江财经大学；</w:t>
            </w:r>
          </w:p>
          <w:p>
            <w:pPr>
              <w:spacing w:line="440" w:lineRule="exact"/>
              <w:rPr>
                <w:rFonts w:hint="eastAsia" w:ascii="华文楷体" w:hAnsi="华文楷体" w:eastAsia="华文楷体" w:cs="华文楷体"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  <w:szCs w:val="24"/>
              </w:rPr>
              <w:t>朱洁如，排名3，博士生，浙江大学；</w:t>
            </w:r>
          </w:p>
          <w:p>
            <w:pPr>
              <w:spacing w:line="440" w:lineRule="exact"/>
              <w:rPr>
                <w:rFonts w:hint="eastAsia" w:ascii="华文楷体" w:hAnsi="华文楷体" w:eastAsia="华文楷体" w:cs="华文楷体"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  <w:szCs w:val="24"/>
              </w:rPr>
              <w:t>王文静，排名4，博士生，浙江大学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072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60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华文楷体" w:hAnsi="华文楷体" w:eastAsia="华文楷体" w:cs="华文楷体"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  <w:szCs w:val="24"/>
              </w:rPr>
              <w:t>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072" w:type="dxa"/>
            <w:vAlign w:val="center"/>
          </w:tcPr>
          <w:p>
            <w:pPr>
              <w:jc w:val="center"/>
              <w:rPr>
                <w:rStyle w:val="5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604" w:type="dxa"/>
            <w:vAlign w:val="center"/>
          </w:tcPr>
          <w:p>
            <w:pPr>
              <w:contextualSpacing/>
              <w:jc w:val="center"/>
              <w:rPr>
                <w:rStyle w:val="5"/>
                <w:rFonts w:hint="eastAsia" w:ascii="华文楷体" w:hAnsi="华文楷体" w:eastAsia="华文楷体" w:cs="华文楷体"/>
                <w:b w:val="0"/>
                <w:color w:val="auto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b w:val="0"/>
                <w:color w:val="auto"/>
              </w:rPr>
              <w:t>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  <w:jc w:val="center"/>
        </w:trPr>
        <w:tc>
          <w:tcPr>
            <w:tcW w:w="2072" w:type="dxa"/>
            <w:vAlign w:val="center"/>
          </w:tcPr>
          <w:p>
            <w:pPr>
              <w:jc w:val="center"/>
              <w:rPr>
                <w:rStyle w:val="5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604" w:type="dxa"/>
            <w:vAlign w:val="center"/>
          </w:tcPr>
          <w:p>
            <w:pPr>
              <w:contextualSpacing/>
              <w:jc w:val="center"/>
              <w:rPr>
                <w:rStyle w:val="5"/>
                <w:b w:val="0"/>
                <w:color w:val="auto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申报者及作品不存在政治争议；成果简介引用的事实和数据准确、客观，表达规范；根据国家知识产权保护法律法规，不存在争议，无弄虚作假、剽窃他人成果等情况。成果范围和申报者资格符合相关规定。评审材料、申报手续符合本申报通知的规定。</w:t>
            </w:r>
            <w:r>
              <w:rPr>
                <w:rFonts w:ascii="楷体" w:hAnsi="楷体" w:eastAsia="楷体"/>
                <w:sz w:val="24"/>
                <w:szCs w:val="24"/>
              </w:rPr>
              <w:t>同意申报。</w:t>
            </w:r>
          </w:p>
        </w:tc>
      </w:tr>
    </w:tbl>
    <w:p>
      <w:pPr>
        <w:pStyle w:val="2"/>
        <w:jc w:val="center"/>
        <w:rPr>
          <w:rFonts w:eastAsia="方正黑体简体"/>
          <w:sz w:val="32"/>
          <w:szCs w:val="22"/>
        </w:rPr>
        <w:sectPr>
          <w:pgSz w:w="12242" w:h="15842"/>
          <w:pgMar w:top="1247" w:right="1134" w:bottom="1247" w:left="1418" w:header="851" w:footer="794" w:gutter="0"/>
          <w:cols w:space="720" w:num="1"/>
        </w:sectPr>
      </w:pPr>
    </w:p>
    <w:p>
      <w:pPr>
        <w:pStyle w:val="2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t>七、主要知识产权和标准规范目录</w:t>
      </w:r>
    </w:p>
    <w:tbl>
      <w:tblPr>
        <w:tblStyle w:val="3"/>
        <w:tblW w:w="14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577"/>
        <w:gridCol w:w="992"/>
        <w:gridCol w:w="1655"/>
        <w:gridCol w:w="1213"/>
        <w:gridCol w:w="1213"/>
        <w:gridCol w:w="1213"/>
        <w:gridCol w:w="2215"/>
        <w:gridCol w:w="2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</w:t>
            </w:r>
          </w:p>
          <w:p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</w:t>
            </w: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（标准发布）</w:t>
            </w: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日期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spacing w:beforeAutospacing="1" w:afterAutospacing="1"/>
        <w:rPr>
          <w:rFonts w:eastAsia="黑体"/>
          <w:kern w:val="0"/>
          <w:sz w:val="32"/>
          <w:szCs w:val="32"/>
        </w:rPr>
        <w:sectPr>
          <w:pgSz w:w="15842" w:h="12242" w:orient="landscape"/>
          <w:pgMar w:top="1418" w:right="1247" w:bottom="1134" w:left="1247" w:header="851" w:footer="794" w:gutter="0"/>
          <w:cols w:space="720" w:num="1"/>
        </w:sectPr>
      </w:pPr>
    </w:p>
    <w:p>
      <w:pPr>
        <w:pStyle w:val="2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t>八、代表性论文专著目录</w:t>
      </w:r>
    </w:p>
    <w:tbl>
      <w:tblPr>
        <w:tblStyle w:val="3"/>
        <w:tblW w:w="84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3744"/>
        <w:gridCol w:w="1279"/>
        <w:gridCol w:w="930"/>
        <w:gridCol w:w="9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exact"/>
          <w:jc w:val="center"/>
        </w:trPr>
        <w:tc>
          <w:tcPr>
            <w:tcW w:w="154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 者</w:t>
            </w:r>
          </w:p>
        </w:tc>
        <w:tc>
          <w:tcPr>
            <w:tcW w:w="37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论文专著名称/刊物</w:t>
            </w:r>
          </w:p>
        </w:tc>
        <w:tc>
          <w:tcPr>
            <w:tcW w:w="127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年卷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页码</w:t>
            </w:r>
          </w:p>
        </w:tc>
        <w:tc>
          <w:tcPr>
            <w:tcW w:w="93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发表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（年、月）</w:t>
            </w:r>
          </w:p>
        </w:tc>
        <w:tc>
          <w:tcPr>
            <w:tcW w:w="90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他引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  <w:jc w:val="center"/>
        </w:trPr>
        <w:tc>
          <w:tcPr>
            <w:tcW w:w="154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bCs/>
                <w:szCs w:val="21"/>
              </w:rPr>
              <w:t>陈菲琼、</w:t>
            </w:r>
            <w:r>
              <w:rPr>
                <w:rFonts w:eastAsia="华文楷体"/>
                <w:spacing w:val="15"/>
                <w:szCs w:val="21"/>
              </w:rPr>
              <w:t>刘慧倩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eastAsia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著作：“走出去”企业境外合规经营风险防范操作细则研究，光明日报出版社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>2</w:t>
            </w:r>
            <w:r>
              <w:rPr>
                <w:sz w:val="18"/>
                <w:szCs w:val="18"/>
                <w:shd w:val="clear" w:color="auto" w:fill="FFFFFF"/>
              </w:rPr>
              <w:t>02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4, 1</w:t>
            </w:r>
            <w:r>
              <w:rPr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398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2</w:t>
            </w:r>
            <w:r>
              <w:rPr>
                <w:sz w:val="18"/>
                <w:szCs w:val="13"/>
              </w:rPr>
              <w:t>02</w:t>
            </w:r>
            <w:r>
              <w:rPr>
                <w:rFonts w:hint="eastAsia"/>
                <w:sz w:val="18"/>
                <w:szCs w:val="13"/>
              </w:rPr>
              <w:t>4</w:t>
            </w:r>
            <w:r>
              <w:rPr>
                <w:sz w:val="18"/>
                <w:szCs w:val="13"/>
              </w:rPr>
              <w:t>.0</w:t>
            </w:r>
            <w:r>
              <w:rPr>
                <w:rFonts w:hint="eastAsia"/>
                <w:sz w:val="18"/>
                <w:szCs w:val="13"/>
              </w:rPr>
              <w:t>5</w:t>
            </w: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exact"/>
          <w:jc w:val="center"/>
        </w:trPr>
        <w:tc>
          <w:tcPr>
            <w:tcW w:w="154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陈菲琼、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朱洁如、王文静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Overseas compliance risk prevention for multinational corporations in a law and economics perspective: empirical evidence from Chinese MNCs. </w:t>
            </w:r>
            <w:r>
              <w:rPr>
                <w:rFonts w:hint="eastAsia"/>
                <w:i/>
                <w:iCs/>
                <w:sz w:val="18"/>
                <w:szCs w:val="18"/>
              </w:rPr>
              <w:t>Multinational Business Review.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>2023,</w:t>
            </w:r>
            <w:r>
              <w:rPr>
                <w:sz w:val="18"/>
                <w:szCs w:val="18"/>
                <w:shd w:val="clear" w:color="auto" w:fill="FFFFFF"/>
              </w:rPr>
              <w:t>31(1), 136-156.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2023.01</w:t>
            </w: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exact"/>
          <w:jc w:val="center"/>
        </w:trPr>
        <w:tc>
          <w:tcPr>
            <w:tcW w:w="154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eastAsia="华文楷体"/>
                <w:b/>
                <w:bCs/>
                <w:spacing w:val="15"/>
                <w:szCs w:val="21"/>
              </w:rPr>
              <w:t>陈菲琼</w:t>
            </w:r>
            <w:r>
              <w:rPr>
                <w:rFonts w:eastAsia="华文楷体"/>
                <w:spacing w:val="15"/>
                <w:szCs w:val="21"/>
              </w:rPr>
              <w:t>、刘慧倩、葛宇昊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How does integration affect industrial innovation through networks in technology-sourcing overseas M&amp;A? A comparison between China and the US. </w:t>
            </w:r>
            <w:r>
              <w:rPr>
                <w:i/>
                <w:iCs/>
                <w:sz w:val="18"/>
                <w:szCs w:val="18"/>
                <w:shd w:val="clear" w:color="auto" w:fill="FFFFFF"/>
              </w:rPr>
              <w:t>Journal of Business Research</w:t>
            </w:r>
            <w:r>
              <w:rPr>
                <w:rFonts w:hint="eastAsia"/>
                <w:i/>
                <w:iCs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2021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sz w:val="18"/>
                <w:szCs w:val="18"/>
                <w:shd w:val="clear" w:color="auto" w:fill="FFFFFF"/>
              </w:rPr>
              <w:t xml:space="preserve">122,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281-292.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2</w:t>
            </w:r>
            <w:r>
              <w:rPr>
                <w:sz w:val="18"/>
                <w:szCs w:val="13"/>
              </w:rPr>
              <w:t>021.01</w:t>
            </w: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  <w:jc w:val="center"/>
        </w:trPr>
        <w:tc>
          <w:tcPr>
            <w:tcW w:w="154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eastAsia="华文楷体"/>
                <w:b/>
                <w:bCs/>
                <w:spacing w:val="1"/>
                <w:szCs w:val="21"/>
              </w:rPr>
              <w:t>陈菲琼</w:t>
            </w:r>
            <w:r>
              <w:rPr>
                <w:rFonts w:eastAsia="华文楷体"/>
                <w:spacing w:val="1"/>
                <w:szCs w:val="21"/>
              </w:rPr>
              <w:t>、朱洁如、王文静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sz w:val="18"/>
                <w:szCs w:val="18"/>
              </w:rPr>
              <w:t xml:space="preserve">Driving force of industrial technology innovation: Coevolution of multistage overseas M&amp;A integration and knowledge network reconfiguration. </w:t>
            </w:r>
            <w:r>
              <w:rPr>
                <w:i/>
                <w:iCs/>
                <w:sz w:val="18"/>
                <w:szCs w:val="18"/>
              </w:rPr>
              <w:t>Journal of Business &amp; Industrial Marketing</w:t>
            </w:r>
            <w:r>
              <w:rPr>
                <w:rFonts w:hint="eastAsia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36(8), 1344-1357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2</w:t>
            </w:r>
            <w:r>
              <w:rPr>
                <w:sz w:val="18"/>
                <w:szCs w:val="13"/>
              </w:rPr>
              <w:t>021.08</w:t>
            </w: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exact"/>
          <w:jc w:val="center"/>
        </w:trPr>
        <w:tc>
          <w:tcPr>
            <w:tcW w:w="154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eastAsia="华文楷体"/>
                <w:b/>
                <w:bCs/>
                <w:spacing w:val="1"/>
                <w:szCs w:val="21"/>
              </w:rPr>
              <w:t>陈菲琼</w:t>
            </w:r>
            <w:r>
              <w:rPr>
                <w:rFonts w:eastAsia="华文楷体"/>
                <w:spacing w:val="1"/>
                <w:szCs w:val="21"/>
              </w:rPr>
              <w:t>、王文静、</w:t>
            </w:r>
            <w:r>
              <w:rPr>
                <w:rFonts w:eastAsia="华文楷体"/>
                <w:szCs w:val="21"/>
                <w:shd w:val="clear" w:color="auto" w:fill="FFFFFF"/>
              </w:rPr>
              <w:t xml:space="preserve"> </w:t>
            </w:r>
            <w:r>
              <w:rPr>
                <w:rFonts w:eastAsia="华文楷体"/>
                <w:spacing w:val="1"/>
                <w:szCs w:val="21"/>
              </w:rPr>
              <w:t>朱洁如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sz w:val="18"/>
                <w:szCs w:val="18"/>
              </w:rPr>
              <w:t xml:space="preserve">How do firms upgrade innovation capabilities through the coevolution of post-merger integration and network reconstruction? A multiple-case study of Chinese companies. </w:t>
            </w:r>
            <w:r>
              <w:rPr>
                <w:i/>
                <w:iCs/>
                <w:sz w:val="18"/>
                <w:szCs w:val="18"/>
              </w:rPr>
              <w:t>Journal of Organizational Change Management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35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630-650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2</w:t>
            </w:r>
            <w:r>
              <w:rPr>
                <w:sz w:val="18"/>
                <w:szCs w:val="13"/>
              </w:rPr>
              <w:t>022.03</w:t>
            </w: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exact"/>
          <w:jc w:val="center"/>
        </w:trPr>
        <w:tc>
          <w:tcPr>
            <w:tcW w:w="154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华文楷体"/>
                <w:b/>
                <w:bCs/>
                <w:spacing w:val="1"/>
                <w:szCs w:val="21"/>
              </w:rPr>
            </w:pPr>
            <w:r>
              <w:rPr>
                <w:rFonts w:eastAsia="华文楷体"/>
                <w:b/>
                <w:bCs/>
                <w:spacing w:val="1"/>
                <w:szCs w:val="21"/>
              </w:rPr>
              <w:t>陈菲琼</w:t>
            </w:r>
            <w:r>
              <w:rPr>
                <w:rFonts w:eastAsia="华文楷体"/>
                <w:spacing w:val="1"/>
                <w:szCs w:val="21"/>
              </w:rPr>
              <w:t>、王文静、</w:t>
            </w:r>
            <w:r>
              <w:rPr>
                <w:rFonts w:eastAsia="华文楷体"/>
                <w:szCs w:val="21"/>
                <w:shd w:val="clear" w:color="auto" w:fill="FFFFFF"/>
              </w:rPr>
              <w:t xml:space="preserve"> </w:t>
            </w:r>
            <w:r>
              <w:rPr>
                <w:rFonts w:eastAsia="华文楷体"/>
                <w:spacing w:val="1"/>
                <w:szCs w:val="21"/>
              </w:rPr>
              <w:t>朱洁如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Coevolution of post-merger integration and dual knowledge networks reconstruction: evidence from Chinese overseas acquisitions. </w:t>
            </w:r>
            <w:r>
              <w:rPr>
                <w:i/>
                <w:iCs/>
                <w:sz w:val="18"/>
                <w:szCs w:val="18"/>
              </w:rPr>
              <w:t>Chinese Management Studies</w:t>
            </w:r>
            <w:r>
              <w:rPr>
                <w:rFonts w:hint="eastAsia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>17(4), 906-932.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2</w:t>
            </w:r>
            <w:r>
              <w:rPr>
                <w:sz w:val="18"/>
                <w:szCs w:val="13"/>
              </w:rPr>
              <w:t>02</w:t>
            </w:r>
            <w:r>
              <w:rPr>
                <w:rFonts w:hint="eastAsia"/>
                <w:sz w:val="18"/>
                <w:szCs w:val="13"/>
              </w:rPr>
              <w:t>3</w:t>
            </w:r>
            <w:r>
              <w:rPr>
                <w:sz w:val="18"/>
                <w:szCs w:val="13"/>
              </w:rPr>
              <w:t>.0</w:t>
            </w:r>
            <w:r>
              <w:rPr>
                <w:rFonts w:hint="eastAsia"/>
                <w:sz w:val="18"/>
                <w:szCs w:val="13"/>
              </w:rPr>
              <w:t>6</w:t>
            </w: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7498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合  计:</w:t>
            </w: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</w:t>
            </w:r>
          </w:p>
        </w:tc>
      </w:tr>
    </w:tbl>
    <w:p>
      <w:pPr>
        <w:spacing w:line="5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4279900</wp:posOffset>
            </wp:positionH>
            <wp:positionV relativeFrom="paragraph">
              <wp:posOffset>1033145</wp:posOffset>
            </wp:positionV>
            <wp:extent cx="1070610" cy="7874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061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_GB2312"/>
          <w:b/>
          <w:sz w:val="24"/>
        </w:rPr>
        <w:t>承诺：</w:t>
      </w:r>
      <w:r>
        <w:rPr>
          <w:rFonts w:eastAsia="仿宋_GB2312"/>
          <w:bCs/>
          <w:sz w:val="24"/>
          <w:szCs w:val="24"/>
        </w:rPr>
        <w:t>上述第七、八部分所列的知识产权、标准规范和论文专著等符合提名要求且无争议。以上知识产权、标准规范和论文专著用于提名202</w:t>
      </w:r>
      <w:r>
        <w:rPr>
          <w:rFonts w:hint="eastAsia" w:eastAsia="仿宋_GB2312"/>
          <w:bCs/>
          <w:sz w:val="24"/>
          <w:szCs w:val="24"/>
        </w:rPr>
        <w:t>3</w:t>
      </w:r>
      <w:r>
        <w:rPr>
          <w:rFonts w:eastAsia="仿宋_GB2312"/>
          <w:bCs/>
          <w:sz w:val="24"/>
          <w:szCs w:val="24"/>
        </w:rPr>
        <w:t>年度省科学技术进步奖的情况，已征得未列入成果完成单位或完成人的发明人、权利人、作者的同意，有关知情证明材料均存档备查。</w:t>
      </w:r>
    </w:p>
    <w:p>
      <w:pPr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      第一完成人签字：</w:t>
      </w:r>
    </w:p>
    <w:p>
      <w:pPr>
        <w:pStyle w:val="2"/>
        <w:jc w:val="center"/>
        <w:rPr>
          <w:rFonts w:eastAsia="方正黑体简体"/>
          <w:sz w:val="32"/>
          <w:szCs w:val="22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xOWZkYTBiMWYyMzA0NTk1OWFjYTNjMzI0ODU3NTIifQ=="/>
  </w:docVars>
  <w:rsids>
    <w:rsidRoot w:val="468A04E4"/>
    <w:rsid w:val="0004643A"/>
    <w:rsid w:val="00060805"/>
    <w:rsid w:val="00085BDD"/>
    <w:rsid w:val="001A2066"/>
    <w:rsid w:val="00216875"/>
    <w:rsid w:val="00222267"/>
    <w:rsid w:val="003317C2"/>
    <w:rsid w:val="00347715"/>
    <w:rsid w:val="00392172"/>
    <w:rsid w:val="003F08F3"/>
    <w:rsid w:val="00407A2E"/>
    <w:rsid w:val="004304E7"/>
    <w:rsid w:val="00450755"/>
    <w:rsid w:val="00493AA5"/>
    <w:rsid w:val="004A4926"/>
    <w:rsid w:val="00533BFB"/>
    <w:rsid w:val="00551A0F"/>
    <w:rsid w:val="005D2EC4"/>
    <w:rsid w:val="0063132D"/>
    <w:rsid w:val="00646176"/>
    <w:rsid w:val="0065516A"/>
    <w:rsid w:val="00732E8E"/>
    <w:rsid w:val="007505A8"/>
    <w:rsid w:val="008326DA"/>
    <w:rsid w:val="008A2BDD"/>
    <w:rsid w:val="009232E5"/>
    <w:rsid w:val="009E2932"/>
    <w:rsid w:val="00AF687F"/>
    <w:rsid w:val="00B835C7"/>
    <w:rsid w:val="00C0760C"/>
    <w:rsid w:val="00C902AE"/>
    <w:rsid w:val="00C90313"/>
    <w:rsid w:val="00CB2B8C"/>
    <w:rsid w:val="00CC3C54"/>
    <w:rsid w:val="00CD5CDF"/>
    <w:rsid w:val="00CF7048"/>
    <w:rsid w:val="00D57264"/>
    <w:rsid w:val="00D8082B"/>
    <w:rsid w:val="00D86387"/>
    <w:rsid w:val="00D966DB"/>
    <w:rsid w:val="00F41D24"/>
    <w:rsid w:val="00F50C7E"/>
    <w:rsid w:val="00FC0323"/>
    <w:rsid w:val="02D174E6"/>
    <w:rsid w:val="0C604E9E"/>
    <w:rsid w:val="1B4E1B9B"/>
    <w:rsid w:val="31B3151A"/>
    <w:rsid w:val="34E95169"/>
    <w:rsid w:val="39A3641C"/>
    <w:rsid w:val="468A04E4"/>
    <w:rsid w:val="53B50BFF"/>
    <w:rsid w:val="5516572E"/>
    <w:rsid w:val="56E83656"/>
    <w:rsid w:val="60E53887"/>
    <w:rsid w:val="6F2232CB"/>
    <w:rsid w:val="77C5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widowControl/>
      <w:jc w:val="left"/>
    </w:pPr>
  </w:style>
  <w:style w:type="character" w:customStyle="1" w:styleId="5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963</Words>
  <Characters>1772</Characters>
  <Lines>14</Lines>
  <Paragraphs>4</Paragraphs>
  <TotalTime>0</TotalTime>
  <ScaleCrop>false</ScaleCrop>
  <LinksUpToDate>false</LinksUpToDate>
  <CharactersWithSpaces>1925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2024-08-08T01:42:00Z</dcterms:created>
  <dc:creator>陈菲琼</dc:creator>
  <cp:lastModifiedBy>陈菲琼</cp:lastModifiedBy>
  <dcterms:modified xsi:type="dcterms:W3CDTF">2024-08-08T01:46:01Z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65D9DD7126174B14AACD78956320D3DF_13</vt:lpwstr>
  </property>
</Properties>
</file>