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DA8F">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根据《国家科学技术奖励工作办公室关于2025年度国家科学技术奖提名工作的通知》有关要求，现将浙江大学作为牵头单位的成果“</w:t>
      </w:r>
      <w:bookmarkStart w:id="0" w:name="_GoBack"/>
      <w:r>
        <w:rPr>
          <w:rFonts w:hint="eastAsia"/>
          <w:color w:val="000000"/>
          <w:sz w:val="32"/>
          <w:szCs w:val="32"/>
          <w:u w:val="single"/>
        </w:rPr>
        <w:t>新型CAR-T细胞研发及其治疗恶性血液病临床转化创新体系建立</w:t>
      </w:r>
      <w:bookmarkEnd w:id="0"/>
      <w:r>
        <w:rPr>
          <w:rFonts w:hint="eastAsia" w:ascii="仿宋_GB2312" w:hAnsi="仿宋" w:eastAsia="仿宋_GB2312" w:cs="方正小标宋简体"/>
          <w:bCs/>
          <w:sz w:val="32"/>
          <w:szCs w:val="32"/>
        </w:rPr>
        <w:t>”相关内容予以公示。</w:t>
      </w:r>
    </w:p>
    <w:p w14:paraId="4F317CA3">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公示时间：2025年5月30日-2025年6月3日。</w:t>
      </w:r>
    </w:p>
    <w:p w14:paraId="38874724">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38C10652">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联系人：张潇</w:t>
      </w:r>
    </w:p>
    <w:p w14:paraId="601C5440">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联系电话：0571-88981082</w:t>
      </w:r>
    </w:p>
    <w:p w14:paraId="39D8FAA2">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E-mail：zhangxiao67@zju.edu.cn</w:t>
      </w:r>
    </w:p>
    <w:p w14:paraId="5413FB75">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附件：公示材料-</w:t>
      </w:r>
      <w:r>
        <w:rPr>
          <w:rFonts w:ascii="仿宋_GB2312" w:hAnsi="仿宋" w:eastAsia="仿宋_GB2312" w:cs="方正小标宋简体"/>
          <w:bCs/>
          <w:sz w:val="32"/>
          <w:szCs w:val="32"/>
        </w:rPr>
        <w:t>-</w:t>
      </w:r>
      <w:r>
        <w:rPr>
          <w:rFonts w:hint="eastAsia" w:ascii="仿宋_GB2312" w:hAnsi="仿宋" w:eastAsia="仿宋_GB2312" w:cs="方正小标宋简体"/>
          <w:bCs/>
          <w:sz w:val="32"/>
          <w:szCs w:val="32"/>
        </w:rPr>
        <w:t>新型CAR-T细胞研发及其治疗恶性血液病临床转化创新体系建立</w:t>
      </w:r>
    </w:p>
    <w:p w14:paraId="1DA292D8">
      <w:pPr>
        <w:adjustRightInd w:val="0"/>
        <w:snapToGrid w:val="0"/>
        <w:spacing w:line="560" w:lineRule="exact"/>
        <w:rPr>
          <w:rFonts w:ascii="仿宋_GB2312" w:hAnsi="仿宋" w:eastAsia="仿宋_GB2312" w:cs="方正小标宋简体"/>
          <w:bCs/>
          <w:sz w:val="32"/>
          <w:szCs w:val="32"/>
        </w:rPr>
      </w:pPr>
    </w:p>
    <w:p w14:paraId="00E82C0F">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ascii="Calibri" w:hAnsi="Calibri" w:eastAsia="仿宋_GB2312" w:cs="Calibri"/>
          <w:bCs/>
          <w:sz w:val="32"/>
          <w:szCs w:val="32"/>
        </w:rPr>
        <w:t> </w:t>
      </w:r>
      <w:r>
        <w:rPr>
          <w:rFonts w:hint="eastAsia" w:ascii="仿宋_GB2312" w:hAnsi="仿宋" w:eastAsia="仿宋_GB2312" w:cs="方正小标宋简体"/>
          <w:bCs/>
          <w:sz w:val="32"/>
          <w:szCs w:val="32"/>
        </w:rPr>
        <w:t>浙江大学</w:t>
      </w:r>
    </w:p>
    <w:p w14:paraId="65EEE8C7">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2025年5月30日</w:t>
      </w:r>
    </w:p>
    <w:p w14:paraId="10EC9574">
      <w:pPr>
        <w:pStyle w:val="5"/>
        <w:adjustRightInd w:val="0"/>
        <w:snapToGrid w:val="0"/>
        <w:spacing w:line="288" w:lineRule="auto"/>
        <w:ind w:firstLine="640"/>
        <w:jc w:val="left"/>
        <w:outlineLvl w:val="0"/>
        <w:rPr>
          <w:rFonts w:ascii="Times New Roman"/>
          <w:color w:val="000000"/>
          <w:sz w:val="32"/>
          <w:szCs w:val="32"/>
          <w:u w:val="single"/>
        </w:rPr>
      </w:pPr>
      <w:r>
        <w:rPr>
          <w:rFonts w:hint="eastAsia" w:ascii="黑体" w:hAnsi="黑体" w:eastAsia="黑体" w:cs="黑体"/>
          <w:sz w:val="32"/>
          <w:szCs w:val="32"/>
        </w:rPr>
        <w:br w:type="page"/>
      </w:r>
    </w:p>
    <w:p w14:paraId="60B470C1">
      <w:pPr>
        <w:rPr>
          <w:rFonts w:ascii="方正小标宋简体" w:hAnsi="方正小标宋简体" w:eastAsia="方正小标宋简体" w:cs="方正小标宋简体"/>
          <w:b/>
          <w:sz w:val="44"/>
          <w:szCs w:val="44"/>
        </w:rPr>
      </w:pPr>
    </w:p>
    <w:p w14:paraId="04D2AD06">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2025年度国家科学技术进步奖提名项目</w:t>
      </w:r>
    </w:p>
    <w:p w14:paraId="21445FA0">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公示内容</w:t>
      </w:r>
    </w:p>
    <w:p w14:paraId="5715498D">
      <w:pPr>
        <w:adjustRightInd w:val="0"/>
        <w:snapToGrid w:val="0"/>
        <w:spacing w:line="560" w:lineRule="exact"/>
        <w:rPr>
          <w:rFonts w:ascii="黑体" w:hAnsi="黑体" w:eastAsia="黑体" w:cs="黑体"/>
          <w:sz w:val="32"/>
          <w:szCs w:val="32"/>
        </w:rPr>
      </w:pPr>
    </w:p>
    <w:p w14:paraId="66B38A8D">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（一）项目名称</w:t>
      </w:r>
    </w:p>
    <w:p w14:paraId="1CEAB425">
      <w:pPr>
        <w:adjustRightInd w:val="0"/>
        <w:snapToGrid w:val="0"/>
        <w:spacing w:line="560" w:lineRule="exact"/>
        <w:rPr>
          <w:rFonts w:ascii="黑体" w:hAnsi="黑体" w:eastAsia="黑体" w:cs="黑体"/>
          <w:sz w:val="32"/>
          <w:szCs w:val="32"/>
        </w:rPr>
      </w:pPr>
      <w:r>
        <w:rPr>
          <w:rFonts w:hint="eastAsia" w:ascii="仿宋_GB2312" w:hAnsi="仿宋" w:eastAsia="仿宋_GB2312" w:cs="方正小标宋简体"/>
          <w:bCs/>
          <w:sz w:val="32"/>
          <w:szCs w:val="32"/>
        </w:rPr>
        <w:t>新型CAR-T细胞研发及其治疗恶性血液病临床转化创新体系建立</w:t>
      </w:r>
    </w:p>
    <w:p w14:paraId="28C1D222">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（二）提名者</w:t>
      </w:r>
    </w:p>
    <w:p w14:paraId="6636238B">
      <w:pPr>
        <w:adjustRightInd w:val="0"/>
        <w:snapToGrid w:val="0"/>
        <w:spacing w:line="560" w:lineRule="exact"/>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浙江省科技厅</w:t>
      </w:r>
    </w:p>
    <w:p w14:paraId="60A6EFA0">
      <w:pPr>
        <w:adjustRightInd w:val="0"/>
        <w:snapToGrid w:val="0"/>
        <w:spacing w:line="560" w:lineRule="exact"/>
        <w:rPr>
          <w:rFonts w:ascii="黑体" w:hAnsi="黑体" w:eastAsia="黑体" w:cs="黑体"/>
          <w:color w:val="000000"/>
          <w:w w:val="90"/>
          <w:sz w:val="32"/>
          <w:szCs w:val="32"/>
        </w:rPr>
      </w:pPr>
      <w:r>
        <w:rPr>
          <w:rFonts w:hint="eastAsia" w:ascii="黑体" w:hAnsi="黑体" w:eastAsia="黑体" w:cs="黑体"/>
          <w:sz w:val="32"/>
          <w:szCs w:val="32"/>
        </w:rPr>
        <w:t>（三）主要知识产权和标准规范等目录</w:t>
      </w:r>
      <w:r>
        <w:rPr>
          <w:rFonts w:hint="eastAsia" w:ascii="黑体" w:hAnsi="黑体" w:eastAsia="黑体" w:cs="黑体"/>
          <w:color w:val="000000"/>
          <w:w w:val="90"/>
          <w:sz w:val="32"/>
          <w:szCs w:val="32"/>
        </w:rPr>
        <w:t>（不超过10件）</w:t>
      </w:r>
    </w:p>
    <w:p w14:paraId="0D11FCAD">
      <w:pPr>
        <w:pStyle w:val="2"/>
      </w:pPr>
    </w:p>
    <w:p w14:paraId="409C4E61">
      <w:pPr>
        <w:pStyle w:val="2"/>
      </w:pPr>
    </w:p>
    <w:p w14:paraId="5582D744">
      <w:pPr>
        <w:pStyle w:val="2"/>
      </w:pPr>
    </w:p>
    <w:tbl>
      <w:tblPr>
        <w:tblStyle w:val="10"/>
        <w:tblpPr w:leftFromText="180" w:rightFromText="180" w:vertAnchor="text" w:horzAnchor="page" w:tblpX="1479" w:tblpY="862"/>
        <w:tblOverlap w:val="never"/>
        <w:tblW w:w="137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4"/>
        <w:gridCol w:w="3014"/>
        <w:gridCol w:w="390"/>
        <w:gridCol w:w="1528"/>
        <w:gridCol w:w="1057"/>
        <w:gridCol w:w="2020"/>
        <w:gridCol w:w="1484"/>
        <w:gridCol w:w="2366"/>
        <w:gridCol w:w="895"/>
      </w:tblGrid>
      <w:tr w14:paraId="7255A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4" w:type="dxa"/>
            <w:vAlign w:val="center"/>
          </w:tcPr>
          <w:p w14:paraId="66970BFC">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知识产权(标准)</w:t>
            </w:r>
          </w:p>
          <w:p w14:paraId="1377C41B">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类别</w:t>
            </w:r>
          </w:p>
        </w:tc>
        <w:tc>
          <w:tcPr>
            <w:tcW w:w="3014" w:type="dxa"/>
            <w:vAlign w:val="center"/>
          </w:tcPr>
          <w:p w14:paraId="07931BD9">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知识产权(标准)</w:t>
            </w:r>
          </w:p>
          <w:p w14:paraId="1FFEAC07">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具体名称</w:t>
            </w:r>
          </w:p>
        </w:tc>
        <w:tc>
          <w:tcPr>
            <w:tcW w:w="390" w:type="dxa"/>
            <w:vAlign w:val="center"/>
          </w:tcPr>
          <w:p w14:paraId="3E235336">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国家</w:t>
            </w:r>
          </w:p>
          <w:p w14:paraId="780BCA34">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(地区)</w:t>
            </w:r>
          </w:p>
        </w:tc>
        <w:tc>
          <w:tcPr>
            <w:tcW w:w="1528" w:type="dxa"/>
            <w:vAlign w:val="center"/>
          </w:tcPr>
          <w:p w14:paraId="3CCF2FF7">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授权号</w:t>
            </w:r>
          </w:p>
          <w:p w14:paraId="004F2258">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(标准编号)</w:t>
            </w:r>
          </w:p>
        </w:tc>
        <w:tc>
          <w:tcPr>
            <w:tcW w:w="1057" w:type="dxa"/>
            <w:vAlign w:val="center"/>
          </w:tcPr>
          <w:p w14:paraId="30CD84BB">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授权</w:t>
            </w:r>
          </w:p>
          <w:p w14:paraId="2D1FDBB5">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(标准发布)</w:t>
            </w:r>
          </w:p>
          <w:p w14:paraId="036BDD47">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日期</w:t>
            </w:r>
          </w:p>
        </w:tc>
        <w:tc>
          <w:tcPr>
            <w:tcW w:w="2020" w:type="dxa"/>
            <w:vAlign w:val="center"/>
          </w:tcPr>
          <w:p w14:paraId="7A918222">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证书编号</w:t>
            </w:r>
            <w:r>
              <w:rPr>
                <w:rFonts w:ascii="Times New Roman"/>
                <w:color w:val="000000"/>
                <w:sz w:val="21"/>
                <w:szCs w:val="21"/>
              </w:rPr>
              <w:br w:type="textWrapping"/>
            </w:r>
            <w:r>
              <w:rPr>
                <w:rFonts w:hint="eastAsia" w:ascii="Times New Roman"/>
                <w:color w:val="000000"/>
                <w:sz w:val="21"/>
                <w:szCs w:val="21"/>
              </w:rPr>
              <w:t>(标准批准发布部门)</w:t>
            </w:r>
          </w:p>
        </w:tc>
        <w:tc>
          <w:tcPr>
            <w:tcW w:w="1484" w:type="dxa"/>
            <w:vAlign w:val="center"/>
          </w:tcPr>
          <w:p w14:paraId="71E971C9">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权利人</w:t>
            </w:r>
          </w:p>
          <w:p w14:paraId="3335DD56">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(标准起草单位)</w:t>
            </w:r>
          </w:p>
        </w:tc>
        <w:tc>
          <w:tcPr>
            <w:tcW w:w="2366" w:type="dxa"/>
            <w:vAlign w:val="center"/>
          </w:tcPr>
          <w:p w14:paraId="57D6C7A0">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发明人</w:t>
            </w:r>
          </w:p>
          <w:p w14:paraId="76D49B43">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(标准起草人)</w:t>
            </w:r>
          </w:p>
        </w:tc>
        <w:tc>
          <w:tcPr>
            <w:tcW w:w="895" w:type="dxa"/>
            <w:vAlign w:val="center"/>
          </w:tcPr>
          <w:p w14:paraId="046C89D9">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发明专利(标准)</w:t>
            </w:r>
          </w:p>
          <w:p w14:paraId="1DB8883E">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有效状态</w:t>
            </w:r>
          </w:p>
        </w:tc>
      </w:tr>
      <w:tr w14:paraId="1EE0A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4" w:type="dxa"/>
            <w:vAlign w:val="center"/>
          </w:tcPr>
          <w:p w14:paraId="4C21CFAD">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国家药品监督管理局药品注册证书</w:t>
            </w:r>
          </w:p>
        </w:tc>
        <w:tc>
          <w:tcPr>
            <w:tcW w:w="3014" w:type="dxa"/>
            <w:vAlign w:val="center"/>
          </w:tcPr>
          <w:p w14:paraId="0832965C">
            <w:pPr>
              <w:pStyle w:val="5"/>
              <w:adjustRightInd w:val="0"/>
              <w:snapToGrid w:val="0"/>
              <w:spacing w:line="320" w:lineRule="exact"/>
              <w:ind w:firstLine="0" w:firstLineChars="0"/>
              <w:jc w:val="left"/>
              <w:textAlignment w:val="center"/>
              <w:rPr>
                <w:rFonts w:ascii="Times New Roman"/>
                <w:color w:val="000000"/>
                <w:sz w:val="21"/>
                <w:szCs w:val="21"/>
              </w:rPr>
            </w:pPr>
            <w:r>
              <w:rPr>
                <w:rFonts w:hint="eastAsia" w:ascii="Times New Roman"/>
                <w:color w:val="000000"/>
                <w:sz w:val="21"/>
                <w:szCs w:val="21"/>
              </w:rPr>
              <w:t>伊基奥赛注射液</w:t>
            </w:r>
          </w:p>
        </w:tc>
        <w:tc>
          <w:tcPr>
            <w:tcW w:w="390" w:type="dxa"/>
            <w:vAlign w:val="center"/>
          </w:tcPr>
          <w:p w14:paraId="59482714">
            <w:pPr>
              <w:pStyle w:val="5"/>
              <w:adjustRightInd w:val="0"/>
              <w:snapToGrid w:val="0"/>
              <w:spacing w:line="320" w:lineRule="exact"/>
              <w:ind w:firstLine="0" w:firstLineChars="0"/>
              <w:jc w:val="center"/>
              <w:textAlignment w:val="center"/>
              <w:rPr>
                <w:rFonts w:ascii="Times New Roman"/>
                <w:color w:val="000000"/>
                <w:sz w:val="21"/>
                <w:szCs w:val="21"/>
              </w:rPr>
            </w:pPr>
            <w:r>
              <w:rPr>
                <w:rFonts w:hint="eastAsia" w:ascii="Times New Roman"/>
                <w:color w:val="000000"/>
                <w:sz w:val="21"/>
                <w:szCs w:val="21"/>
              </w:rPr>
              <w:t>中国</w:t>
            </w:r>
          </w:p>
        </w:tc>
        <w:tc>
          <w:tcPr>
            <w:tcW w:w="1528" w:type="dxa"/>
            <w:vAlign w:val="center"/>
          </w:tcPr>
          <w:p w14:paraId="439B2B8F">
            <w:pPr>
              <w:pStyle w:val="5"/>
              <w:adjustRightInd w:val="0"/>
              <w:snapToGrid w:val="0"/>
              <w:spacing w:line="320" w:lineRule="exact"/>
              <w:ind w:firstLine="0" w:firstLineChars="0"/>
              <w:jc w:val="left"/>
              <w:textAlignment w:val="center"/>
              <w:rPr>
                <w:rFonts w:ascii="Times New Roman"/>
                <w:color w:val="000000"/>
                <w:sz w:val="21"/>
                <w:szCs w:val="21"/>
              </w:rPr>
            </w:pPr>
            <w:r>
              <w:rPr>
                <w:rFonts w:hint="eastAsia" w:ascii="Times New Roman"/>
                <w:color w:val="000000"/>
                <w:sz w:val="21"/>
                <w:szCs w:val="21"/>
              </w:rPr>
              <w:t>CXSS2200055国</w:t>
            </w:r>
          </w:p>
        </w:tc>
        <w:tc>
          <w:tcPr>
            <w:tcW w:w="1057" w:type="dxa"/>
            <w:vAlign w:val="center"/>
          </w:tcPr>
          <w:p w14:paraId="4D587AF4">
            <w:pPr>
              <w:pStyle w:val="5"/>
              <w:adjustRightInd w:val="0"/>
              <w:snapToGrid w:val="0"/>
              <w:spacing w:line="320" w:lineRule="exact"/>
              <w:ind w:firstLine="0" w:firstLineChars="0"/>
              <w:jc w:val="left"/>
              <w:textAlignment w:val="center"/>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023</w:t>
            </w:r>
            <w:r>
              <w:rPr>
                <w:rFonts w:hint="eastAsia" w:ascii="Times New Roman"/>
                <w:color w:val="000000"/>
                <w:sz w:val="21"/>
                <w:szCs w:val="21"/>
              </w:rPr>
              <w:t>-6-3</w:t>
            </w:r>
            <w:r>
              <w:rPr>
                <w:rFonts w:ascii="Times New Roman"/>
                <w:color w:val="000000"/>
                <w:sz w:val="21"/>
                <w:szCs w:val="21"/>
              </w:rPr>
              <w:t>0</w:t>
            </w:r>
          </w:p>
        </w:tc>
        <w:tc>
          <w:tcPr>
            <w:tcW w:w="2020" w:type="dxa"/>
            <w:vAlign w:val="center"/>
          </w:tcPr>
          <w:p w14:paraId="1E50DC80">
            <w:pPr>
              <w:pStyle w:val="5"/>
              <w:adjustRightInd w:val="0"/>
              <w:snapToGrid w:val="0"/>
              <w:spacing w:line="320" w:lineRule="exact"/>
              <w:ind w:firstLine="0" w:firstLineChars="0"/>
              <w:jc w:val="left"/>
              <w:textAlignment w:val="center"/>
              <w:rPr>
                <w:rFonts w:ascii="Times New Roman"/>
                <w:color w:val="000000"/>
                <w:sz w:val="21"/>
                <w:szCs w:val="21"/>
              </w:rPr>
            </w:pPr>
            <w:r>
              <w:rPr>
                <w:rFonts w:ascii="Times New Roman"/>
                <w:color w:val="000000"/>
                <w:sz w:val="21"/>
                <w:szCs w:val="21"/>
              </w:rPr>
              <w:t>2023S01123</w:t>
            </w:r>
          </w:p>
        </w:tc>
        <w:tc>
          <w:tcPr>
            <w:tcW w:w="1484" w:type="dxa"/>
            <w:vAlign w:val="center"/>
          </w:tcPr>
          <w:p w14:paraId="2574AF8B">
            <w:pPr>
              <w:pStyle w:val="5"/>
              <w:adjustRightInd w:val="0"/>
              <w:snapToGrid w:val="0"/>
              <w:spacing w:line="320" w:lineRule="exact"/>
              <w:ind w:firstLine="0" w:firstLineChars="0"/>
              <w:jc w:val="left"/>
              <w:textAlignment w:val="center"/>
              <w:rPr>
                <w:rFonts w:ascii="Times New Roman"/>
                <w:color w:val="000000"/>
                <w:sz w:val="21"/>
                <w:szCs w:val="21"/>
              </w:rPr>
            </w:pPr>
            <w:r>
              <w:rPr>
                <w:rFonts w:hint="eastAsia" w:ascii="Times New Roman"/>
                <w:color w:val="000000"/>
                <w:sz w:val="21"/>
                <w:szCs w:val="21"/>
              </w:rPr>
              <w:t>南京驯鹿生物医药有限公司</w:t>
            </w:r>
          </w:p>
        </w:tc>
        <w:tc>
          <w:tcPr>
            <w:tcW w:w="2366" w:type="dxa"/>
            <w:vAlign w:val="center"/>
          </w:tcPr>
          <w:p w14:paraId="7C29C1BD">
            <w:pPr>
              <w:pStyle w:val="5"/>
              <w:adjustRightInd w:val="0"/>
              <w:snapToGrid w:val="0"/>
              <w:spacing w:line="320" w:lineRule="exact"/>
              <w:ind w:firstLine="0" w:firstLineChars="0"/>
              <w:jc w:val="left"/>
              <w:textAlignment w:val="center"/>
              <w:rPr>
                <w:rFonts w:ascii="Times New Roman"/>
                <w:color w:val="000000"/>
                <w:sz w:val="21"/>
                <w:szCs w:val="21"/>
              </w:rPr>
            </w:pPr>
            <w:r>
              <w:rPr>
                <w:rFonts w:hint="eastAsia" w:ascii="Times New Roman"/>
                <w:color w:val="000000"/>
                <w:sz w:val="21"/>
                <w:szCs w:val="21"/>
              </w:rPr>
              <w:t>南京驯鹿生物医药有限公司</w:t>
            </w:r>
          </w:p>
        </w:tc>
        <w:tc>
          <w:tcPr>
            <w:tcW w:w="895" w:type="dxa"/>
            <w:vAlign w:val="center"/>
          </w:tcPr>
          <w:p w14:paraId="3399881C">
            <w:pPr>
              <w:pStyle w:val="5"/>
              <w:adjustRightInd w:val="0"/>
              <w:snapToGrid w:val="0"/>
              <w:spacing w:line="320" w:lineRule="exact"/>
              <w:ind w:firstLine="0" w:firstLineChars="0"/>
              <w:jc w:val="left"/>
              <w:textAlignment w:val="center"/>
              <w:rPr>
                <w:rFonts w:ascii="Times New Roman"/>
                <w:color w:val="000000"/>
                <w:sz w:val="21"/>
                <w:szCs w:val="21"/>
              </w:rPr>
            </w:pPr>
          </w:p>
        </w:tc>
      </w:tr>
      <w:tr w14:paraId="7CB5C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25FE9D06">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论文</w:t>
            </w:r>
          </w:p>
        </w:tc>
        <w:tc>
          <w:tcPr>
            <w:tcW w:w="3014" w:type="dxa"/>
          </w:tcPr>
          <w:p w14:paraId="31C846AF">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Non-viral， specifically targeted CAR-T cells achieve high safety and efficacy in B-NHL</w:t>
            </w:r>
          </w:p>
        </w:tc>
        <w:tc>
          <w:tcPr>
            <w:tcW w:w="390" w:type="dxa"/>
          </w:tcPr>
          <w:p w14:paraId="69C385A1">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中国</w:t>
            </w:r>
          </w:p>
        </w:tc>
        <w:tc>
          <w:tcPr>
            <w:tcW w:w="1528" w:type="dxa"/>
          </w:tcPr>
          <w:p w14:paraId="347917A5">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Nature. 2022 Sep;609(7926):369-374.</w:t>
            </w:r>
          </w:p>
        </w:tc>
        <w:tc>
          <w:tcPr>
            <w:tcW w:w="1057" w:type="dxa"/>
          </w:tcPr>
          <w:p w14:paraId="4818BF56">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2022</w:t>
            </w:r>
            <w:r>
              <w:rPr>
                <w:rFonts w:hint="eastAsia" w:ascii="Times New Roman"/>
                <w:color w:val="000000"/>
                <w:sz w:val="21"/>
                <w:szCs w:val="21"/>
              </w:rPr>
              <w:t>年9月</w:t>
            </w:r>
          </w:p>
        </w:tc>
        <w:tc>
          <w:tcPr>
            <w:tcW w:w="2020" w:type="dxa"/>
          </w:tcPr>
          <w:p w14:paraId="516F1444">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10.1038/s41586-022-05140-y</w:t>
            </w:r>
          </w:p>
        </w:tc>
        <w:tc>
          <w:tcPr>
            <w:tcW w:w="1484" w:type="dxa"/>
          </w:tcPr>
          <w:p w14:paraId="3D008604">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浙江大学医学院附属第一医院</w:t>
            </w:r>
          </w:p>
        </w:tc>
        <w:tc>
          <w:tcPr>
            <w:tcW w:w="2366" w:type="dxa"/>
          </w:tcPr>
          <w:p w14:paraId="26C73861">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Zhang J, Hu Y, Yang J, Li W, Zhang M, Wang Q, Zhang L, Wei G, Tian Y, Zhao K, Chen A, Tan B, Cui J, Li D, Li Y, Qi Y, Wang D, Wu Y, Li D, Du B, Liu M, Huang H</w:t>
            </w:r>
          </w:p>
        </w:tc>
        <w:tc>
          <w:tcPr>
            <w:tcW w:w="895" w:type="dxa"/>
          </w:tcPr>
          <w:p w14:paraId="30D18A4D">
            <w:pPr>
              <w:pStyle w:val="5"/>
              <w:adjustRightInd w:val="0"/>
              <w:snapToGrid w:val="0"/>
              <w:spacing w:line="390" w:lineRule="exact"/>
              <w:ind w:firstLine="0" w:firstLineChars="0"/>
              <w:jc w:val="left"/>
              <w:rPr>
                <w:rFonts w:ascii="Times New Roman"/>
                <w:color w:val="000000"/>
                <w:sz w:val="21"/>
                <w:szCs w:val="21"/>
              </w:rPr>
            </w:pPr>
          </w:p>
        </w:tc>
      </w:tr>
      <w:tr w14:paraId="77667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0ED182EA">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3014" w:type="dxa"/>
          </w:tcPr>
          <w:p w14:paraId="41B8E1BD">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Sequential CD7 CAR T-Cell Therapy and Allogeneic HSCT without GVHD Prophylaxis</w:t>
            </w:r>
          </w:p>
        </w:tc>
        <w:tc>
          <w:tcPr>
            <w:tcW w:w="390" w:type="dxa"/>
          </w:tcPr>
          <w:p w14:paraId="39DC1EA6">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1528" w:type="dxa"/>
          </w:tcPr>
          <w:p w14:paraId="356A8200">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N Engl J Med. 2024 Apr 25;390(16):1467-1480.</w:t>
            </w:r>
          </w:p>
        </w:tc>
        <w:tc>
          <w:tcPr>
            <w:tcW w:w="1057" w:type="dxa"/>
          </w:tcPr>
          <w:p w14:paraId="7037D344">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024</w:t>
            </w:r>
            <w:r>
              <w:rPr>
                <w:rFonts w:hint="eastAsia" w:ascii="Times New Roman"/>
                <w:color w:val="000000"/>
                <w:sz w:val="21"/>
                <w:szCs w:val="21"/>
              </w:rPr>
              <w:t>年4月</w:t>
            </w:r>
          </w:p>
        </w:tc>
        <w:tc>
          <w:tcPr>
            <w:tcW w:w="2020" w:type="dxa"/>
          </w:tcPr>
          <w:p w14:paraId="6EE9A5A2">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10.1056/NEJMoa2313812</w:t>
            </w:r>
          </w:p>
        </w:tc>
        <w:tc>
          <w:tcPr>
            <w:tcW w:w="1484" w:type="dxa"/>
          </w:tcPr>
          <w:p w14:paraId="6DCE7AA9">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浙江大学医学院附属第一医院</w:t>
            </w:r>
          </w:p>
        </w:tc>
        <w:tc>
          <w:tcPr>
            <w:tcW w:w="2366" w:type="dxa"/>
          </w:tcPr>
          <w:p w14:paraId="23A96176">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Hu Y, Zhang M, Yang T, Mo Z, Wei G, Jing R, Zhao H, Chen R, Zu C, Gu T, Xiao P, Hong R, Feng J, Fu S, Kong D, Xu H, Cui J, Huang S, Liang B, Yuan X, Cui Q, Guo H, Yu Y, Feng Y, Jin C, Ren J, Chang AH, Wang D, Huang H.</w:t>
            </w:r>
          </w:p>
        </w:tc>
        <w:tc>
          <w:tcPr>
            <w:tcW w:w="895" w:type="dxa"/>
          </w:tcPr>
          <w:p w14:paraId="3120092B">
            <w:pPr>
              <w:pStyle w:val="5"/>
              <w:adjustRightInd w:val="0"/>
              <w:snapToGrid w:val="0"/>
              <w:spacing w:line="390" w:lineRule="exact"/>
              <w:ind w:firstLine="0" w:firstLineChars="0"/>
              <w:jc w:val="left"/>
              <w:rPr>
                <w:rFonts w:ascii="Times New Roman"/>
                <w:color w:val="000000"/>
                <w:sz w:val="21"/>
                <w:szCs w:val="21"/>
              </w:rPr>
            </w:pPr>
          </w:p>
        </w:tc>
      </w:tr>
      <w:tr w14:paraId="00A8C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2B26B03F">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3014" w:type="dxa"/>
          </w:tcPr>
          <w:p w14:paraId="302F96A7">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Equecabtagene Autoleucel in Patients With Relapsed or Refractory Multiple Myeloma: The FUMANBA-1 Nonrandomized Clinical Trial</w:t>
            </w:r>
          </w:p>
        </w:tc>
        <w:tc>
          <w:tcPr>
            <w:tcW w:w="390" w:type="dxa"/>
          </w:tcPr>
          <w:p w14:paraId="46FA887B">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1528" w:type="dxa"/>
          </w:tcPr>
          <w:p w14:paraId="789546E8">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JAMA Oncol. 2024 Nov 7;10(12):1681-1688.</w:t>
            </w:r>
          </w:p>
        </w:tc>
        <w:tc>
          <w:tcPr>
            <w:tcW w:w="1057" w:type="dxa"/>
          </w:tcPr>
          <w:p w14:paraId="63A98E0E">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024</w:t>
            </w:r>
            <w:r>
              <w:rPr>
                <w:rFonts w:hint="eastAsia" w:ascii="Times New Roman"/>
                <w:color w:val="000000"/>
                <w:sz w:val="21"/>
                <w:szCs w:val="21"/>
              </w:rPr>
              <w:t>年1</w:t>
            </w:r>
            <w:r>
              <w:rPr>
                <w:rFonts w:ascii="Times New Roman"/>
                <w:color w:val="000000"/>
                <w:sz w:val="21"/>
                <w:szCs w:val="21"/>
              </w:rPr>
              <w:t>1</w:t>
            </w:r>
            <w:r>
              <w:rPr>
                <w:rFonts w:hint="eastAsia" w:ascii="Times New Roman"/>
                <w:color w:val="000000"/>
                <w:sz w:val="21"/>
                <w:szCs w:val="21"/>
              </w:rPr>
              <w:t>月</w:t>
            </w:r>
          </w:p>
        </w:tc>
        <w:tc>
          <w:tcPr>
            <w:tcW w:w="2020" w:type="dxa"/>
          </w:tcPr>
          <w:p w14:paraId="4ECD3502">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10.1001/jamaoncol.2024.4879</w:t>
            </w:r>
          </w:p>
        </w:tc>
        <w:tc>
          <w:tcPr>
            <w:tcW w:w="1484" w:type="dxa"/>
          </w:tcPr>
          <w:p w14:paraId="29A69FBC">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同济医学院</w:t>
            </w:r>
          </w:p>
        </w:tc>
        <w:tc>
          <w:tcPr>
            <w:tcW w:w="2366" w:type="dxa"/>
          </w:tcPr>
          <w:p w14:paraId="55895137">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Li C, Zhou K, Hu Y, Zou D, Chen L, Chen B, Liu J, Zhang X, Ren H, Hu K, Liu P, Mi JQ, Li Z, Ding K, Wang D, Wang W, Cai S, Li J, Song Y, Huang H, Qiu L.</w:t>
            </w:r>
          </w:p>
        </w:tc>
        <w:tc>
          <w:tcPr>
            <w:tcW w:w="895" w:type="dxa"/>
          </w:tcPr>
          <w:p w14:paraId="1F863114">
            <w:pPr>
              <w:pStyle w:val="5"/>
              <w:adjustRightInd w:val="0"/>
              <w:snapToGrid w:val="0"/>
              <w:spacing w:line="390" w:lineRule="exact"/>
              <w:ind w:firstLine="0" w:firstLineChars="0"/>
              <w:jc w:val="left"/>
              <w:rPr>
                <w:rFonts w:ascii="Times New Roman"/>
                <w:color w:val="000000"/>
                <w:sz w:val="21"/>
                <w:szCs w:val="21"/>
              </w:rPr>
            </w:pPr>
          </w:p>
        </w:tc>
      </w:tr>
      <w:tr w14:paraId="12F82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31FF7CE8">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3014" w:type="dxa"/>
          </w:tcPr>
          <w:p w14:paraId="2A7B7969">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Dasatinib and CAR T-Cell Therapy in Newly Diagnosed Philadelphia Chromosome-Positive Acute Lymphoblastic Leukemia: A Nonrandomized Clinical Trial</w:t>
            </w:r>
          </w:p>
        </w:tc>
        <w:tc>
          <w:tcPr>
            <w:tcW w:w="390" w:type="dxa"/>
          </w:tcPr>
          <w:p w14:paraId="16743970">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1528" w:type="dxa"/>
          </w:tcPr>
          <w:p w14:paraId="0CAEDF05">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JAMA Oncol. 2025 Apr 17:e250674.</w:t>
            </w:r>
          </w:p>
        </w:tc>
        <w:tc>
          <w:tcPr>
            <w:tcW w:w="1057" w:type="dxa"/>
          </w:tcPr>
          <w:p w14:paraId="59AF9092">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025</w:t>
            </w:r>
            <w:r>
              <w:rPr>
                <w:rFonts w:hint="eastAsia" w:ascii="Times New Roman"/>
                <w:color w:val="000000"/>
                <w:sz w:val="21"/>
                <w:szCs w:val="21"/>
              </w:rPr>
              <w:t>年4月</w:t>
            </w:r>
          </w:p>
        </w:tc>
        <w:tc>
          <w:tcPr>
            <w:tcW w:w="2020" w:type="dxa"/>
          </w:tcPr>
          <w:p w14:paraId="7D1581B7">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10.1001/jamaoncol.2025.0674</w:t>
            </w:r>
          </w:p>
        </w:tc>
        <w:tc>
          <w:tcPr>
            <w:tcW w:w="1484" w:type="dxa"/>
          </w:tcPr>
          <w:p w14:paraId="65CB384D">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w:t>
            </w:r>
          </w:p>
        </w:tc>
        <w:tc>
          <w:tcPr>
            <w:tcW w:w="2366" w:type="dxa"/>
          </w:tcPr>
          <w:p w14:paraId="3CC109D6">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Zhang M, Fu S, Feng J, Hong R, Wei G, Zhao H, Zhao M, Xu H, Cui J, Huang S, Wu X, Liu L, Sun J, Wu W, Zhu Y, He J, Zhao Y, Cai Z, Zheng W, Ye X, Shi J, Luo Y, Wang D, Chang AH, Hu Y, Huang H</w:t>
            </w:r>
          </w:p>
        </w:tc>
        <w:tc>
          <w:tcPr>
            <w:tcW w:w="895" w:type="dxa"/>
          </w:tcPr>
          <w:p w14:paraId="54672DB7">
            <w:pPr>
              <w:pStyle w:val="5"/>
              <w:adjustRightInd w:val="0"/>
              <w:snapToGrid w:val="0"/>
              <w:spacing w:line="390" w:lineRule="exact"/>
              <w:ind w:firstLine="0" w:firstLineChars="0"/>
              <w:jc w:val="left"/>
              <w:rPr>
                <w:rFonts w:ascii="Times New Roman"/>
                <w:color w:val="000000"/>
                <w:sz w:val="21"/>
                <w:szCs w:val="21"/>
              </w:rPr>
            </w:pPr>
          </w:p>
        </w:tc>
      </w:tr>
      <w:tr w14:paraId="200A2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00C4389B">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论文</w:t>
            </w:r>
          </w:p>
        </w:tc>
        <w:tc>
          <w:tcPr>
            <w:tcW w:w="3014" w:type="dxa"/>
          </w:tcPr>
          <w:p w14:paraId="58792C88">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 xml:space="preserve">GPRC5D CAR T cells (OriCAR-017) in patients with relapsed or refractory multiple myeloma (POLARIS): a first-in-human， single-centre， single-arm， phase 1 trial. </w:t>
            </w:r>
          </w:p>
        </w:tc>
        <w:tc>
          <w:tcPr>
            <w:tcW w:w="390" w:type="dxa"/>
          </w:tcPr>
          <w:p w14:paraId="39384DF3">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中国</w:t>
            </w:r>
          </w:p>
        </w:tc>
        <w:tc>
          <w:tcPr>
            <w:tcW w:w="1528" w:type="dxa"/>
          </w:tcPr>
          <w:p w14:paraId="6811EB2C">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Lancet Haematol. 2023 Feb；10(2):e107-e116.</w:t>
            </w:r>
          </w:p>
        </w:tc>
        <w:tc>
          <w:tcPr>
            <w:tcW w:w="1057" w:type="dxa"/>
          </w:tcPr>
          <w:p w14:paraId="5420CECB">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023</w:t>
            </w:r>
            <w:r>
              <w:rPr>
                <w:rFonts w:hint="eastAsia" w:ascii="Times New Roman"/>
                <w:color w:val="000000"/>
                <w:sz w:val="21"/>
                <w:szCs w:val="21"/>
              </w:rPr>
              <w:t>年2月</w:t>
            </w:r>
          </w:p>
        </w:tc>
        <w:tc>
          <w:tcPr>
            <w:tcW w:w="2020" w:type="dxa"/>
          </w:tcPr>
          <w:p w14:paraId="36AB4855">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10.1016/S2352-3026(22)00372-6</w:t>
            </w:r>
          </w:p>
        </w:tc>
        <w:tc>
          <w:tcPr>
            <w:tcW w:w="1484" w:type="dxa"/>
          </w:tcPr>
          <w:p w14:paraId="295F4758">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w:t>
            </w:r>
          </w:p>
        </w:tc>
        <w:tc>
          <w:tcPr>
            <w:tcW w:w="2366" w:type="dxa"/>
          </w:tcPr>
          <w:p w14:paraId="05AD5461">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Zhang M, Wei G, Zhou L, Zhou J, Chen S, Zhang W, Wang D, Luo X, Cui J, Huang S, Fu S, Zhou X, Tang Y, Ding X, Kuang J, He XP, Hu Y, Huang H.</w:t>
            </w:r>
          </w:p>
        </w:tc>
        <w:tc>
          <w:tcPr>
            <w:tcW w:w="895" w:type="dxa"/>
          </w:tcPr>
          <w:p w14:paraId="40233361">
            <w:pPr>
              <w:pStyle w:val="5"/>
              <w:adjustRightInd w:val="0"/>
              <w:snapToGrid w:val="0"/>
              <w:spacing w:line="390" w:lineRule="exact"/>
              <w:ind w:firstLine="0" w:firstLineChars="0"/>
              <w:jc w:val="left"/>
              <w:rPr>
                <w:rFonts w:ascii="Times New Roman"/>
                <w:color w:val="000000"/>
                <w:sz w:val="21"/>
                <w:szCs w:val="21"/>
              </w:rPr>
            </w:pPr>
          </w:p>
        </w:tc>
      </w:tr>
      <w:tr w14:paraId="2EF00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4" w:type="dxa"/>
          </w:tcPr>
          <w:p w14:paraId="6D21B120">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论文</w:t>
            </w:r>
          </w:p>
        </w:tc>
        <w:tc>
          <w:tcPr>
            <w:tcW w:w="3014" w:type="dxa"/>
          </w:tcPr>
          <w:p w14:paraId="5EED700B">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Genetically modified CD7-targeting allogeneic CAR-T cell therapy with enhanced efficacy for relapsed/refractory CD7-positive hematological malignancies: a phase I clinical study.</w:t>
            </w:r>
          </w:p>
        </w:tc>
        <w:tc>
          <w:tcPr>
            <w:tcW w:w="390" w:type="dxa"/>
          </w:tcPr>
          <w:p w14:paraId="3A8A5086">
            <w:pPr>
              <w:pStyle w:val="5"/>
              <w:adjustRightInd w:val="0"/>
              <w:snapToGrid w:val="0"/>
              <w:spacing w:line="390" w:lineRule="exact"/>
              <w:ind w:firstLine="0" w:firstLineChars="0"/>
              <w:jc w:val="center"/>
              <w:rPr>
                <w:rFonts w:ascii="Times New Roman"/>
                <w:color w:val="000000"/>
                <w:sz w:val="21"/>
                <w:szCs w:val="21"/>
              </w:rPr>
            </w:pPr>
            <w:r>
              <w:rPr>
                <w:rFonts w:hint="eastAsia" w:ascii="Times New Roman"/>
                <w:color w:val="000000"/>
                <w:sz w:val="21"/>
                <w:szCs w:val="21"/>
              </w:rPr>
              <w:t>中国</w:t>
            </w:r>
          </w:p>
        </w:tc>
        <w:tc>
          <w:tcPr>
            <w:tcW w:w="1528" w:type="dxa"/>
          </w:tcPr>
          <w:p w14:paraId="794ADEAD">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Cell Res. 2022 Nov；32(11):995-1007.</w:t>
            </w:r>
          </w:p>
        </w:tc>
        <w:tc>
          <w:tcPr>
            <w:tcW w:w="1057" w:type="dxa"/>
          </w:tcPr>
          <w:p w14:paraId="7E126878">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022</w:t>
            </w:r>
            <w:r>
              <w:rPr>
                <w:rFonts w:hint="eastAsia" w:ascii="Times New Roman"/>
                <w:color w:val="000000"/>
                <w:sz w:val="21"/>
                <w:szCs w:val="21"/>
              </w:rPr>
              <w:t>年1</w:t>
            </w:r>
            <w:r>
              <w:rPr>
                <w:rFonts w:ascii="Times New Roman"/>
                <w:color w:val="000000"/>
                <w:sz w:val="21"/>
                <w:szCs w:val="21"/>
              </w:rPr>
              <w:t>1</w:t>
            </w:r>
            <w:r>
              <w:rPr>
                <w:rFonts w:hint="eastAsia" w:ascii="Times New Roman"/>
                <w:color w:val="000000"/>
                <w:sz w:val="21"/>
                <w:szCs w:val="21"/>
              </w:rPr>
              <w:t>月</w:t>
            </w:r>
          </w:p>
        </w:tc>
        <w:tc>
          <w:tcPr>
            <w:tcW w:w="2020" w:type="dxa"/>
          </w:tcPr>
          <w:p w14:paraId="45116564">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DOI: 10.1038/s41422-022-00721-y</w:t>
            </w:r>
          </w:p>
        </w:tc>
        <w:tc>
          <w:tcPr>
            <w:tcW w:w="1484" w:type="dxa"/>
          </w:tcPr>
          <w:p w14:paraId="529C1BB9">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w:t>
            </w:r>
          </w:p>
        </w:tc>
        <w:tc>
          <w:tcPr>
            <w:tcW w:w="2366" w:type="dxa"/>
          </w:tcPr>
          <w:p w14:paraId="056BCA57">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Hu Y, Zhou Y, Zhang M, Zhao H, Wei G, Ge W, Cui Q, Mu Q, Chen G, Han L, Guo T, Cui J, Jiang X, Zheng X, Yu S, Li X, Zhang X, Chen M, Li X, Gao M, Wang K, Zu C, Zhang H, He X, Wang Y, Wang D, Ren J, Huang H.</w:t>
            </w:r>
          </w:p>
        </w:tc>
        <w:tc>
          <w:tcPr>
            <w:tcW w:w="895" w:type="dxa"/>
          </w:tcPr>
          <w:p w14:paraId="5BA9EB53">
            <w:pPr>
              <w:pStyle w:val="5"/>
              <w:adjustRightInd w:val="0"/>
              <w:snapToGrid w:val="0"/>
              <w:spacing w:line="390" w:lineRule="exact"/>
              <w:ind w:firstLine="0" w:firstLineChars="0"/>
              <w:jc w:val="left"/>
              <w:rPr>
                <w:rFonts w:ascii="Times New Roman"/>
                <w:color w:val="000000"/>
                <w:sz w:val="21"/>
                <w:szCs w:val="21"/>
              </w:rPr>
            </w:pPr>
          </w:p>
        </w:tc>
      </w:tr>
      <w:tr w14:paraId="50F66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4" w:type="dxa"/>
          </w:tcPr>
          <w:p w14:paraId="707DA0EB">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3014" w:type="dxa"/>
          </w:tcPr>
          <w:p w14:paraId="544F6811">
            <w:pPr>
              <w:pStyle w:val="3"/>
              <w:widowControl/>
              <w:shd w:val="clear" w:color="auto" w:fill="FFFFFF"/>
              <w:spacing w:line="360" w:lineRule="auto"/>
              <w:rPr>
                <w:rFonts w:hint="default" w:ascii="Times New Roman" w:hAnsi="Times New Roman"/>
                <w:b w:val="0"/>
                <w:bCs w:val="0"/>
                <w:color w:val="000000"/>
                <w:kern w:val="2"/>
                <w:sz w:val="21"/>
                <w:szCs w:val="21"/>
              </w:rPr>
            </w:pPr>
            <w:r>
              <w:rPr>
                <w:rFonts w:hint="default" w:ascii="Times New Roman" w:hAnsi="Times New Roman"/>
                <w:b w:val="0"/>
                <w:bCs w:val="0"/>
                <w:color w:val="000000"/>
                <w:kern w:val="2"/>
                <w:sz w:val="21"/>
                <w:szCs w:val="21"/>
              </w:rPr>
              <w:t>Tespa1 is involved in late thymocyte development through the regulation of TCR-mediated signaling</w:t>
            </w:r>
          </w:p>
          <w:p w14:paraId="44999064">
            <w:pPr>
              <w:pStyle w:val="5"/>
              <w:adjustRightInd w:val="0"/>
              <w:snapToGrid w:val="0"/>
              <w:spacing w:line="390" w:lineRule="exact"/>
              <w:ind w:firstLine="0" w:firstLineChars="0"/>
              <w:jc w:val="left"/>
              <w:rPr>
                <w:rFonts w:ascii="Times New Roman"/>
                <w:color w:val="000000"/>
                <w:sz w:val="21"/>
                <w:szCs w:val="21"/>
              </w:rPr>
            </w:pPr>
          </w:p>
        </w:tc>
        <w:tc>
          <w:tcPr>
            <w:tcW w:w="390" w:type="dxa"/>
          </w:tcPr>
          <w:p w14:paraId="7E2F9230">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1528" w:type="dxa"/>
          </w:tcPr>
          <w:p w14:paraId="2D2A52E9">
            <w:pPr>
              <w:widowControl/>
              <w:shd w:val="clear" w:color="auto" w:fill="FFFFFF"/>
              <w:spacing w:line="11" w:lineRule="atLeast"/>
              <w:jc w:val="left"/>
              <w:rPr>
                <w:color w:val="000000"/>
                <w:szCs w:val="21"/>
              </w:rPr>
            </w:pPr>
            <w:r>
              <w:rPr>
                <w:color w:val="000000"/>
                <w:szCs w:val="21"/>
              </w:rPr>
              <w:t>Nat Immunol</w:t>
            </w:r>
            <w:r>
              <w:rPr>
                <w:rFonts w:hint="eastAsia"/>
                <w:color w:val="000000"/>
                <w:szCs w:val="21"/>
              </w:rPr>
              <w:t xml:space="preserve">. </w:t>
            </w:r>
            <w:r>
              <w:rPr>
                <w:color w:val="000000"/>
                <w:szCs w:val="21"/>
              </w:rPr>
              <w:t> 2012;13(6):560-8.</w:t>
            </w:r>
          </w:p>
          <w:p w14:paraId="5AB47F15">
            <w:pPr>
              <w:pStyle w:val="5"/>
              <w:adjustRightInd w:val="0"/>
              <w:snapToGrid w:val="0"/>
              <w:spacing w:line="390" w:lineRule="exact"/>
              <w:ind w:firstLine="0" w:firstLineChars="0"/>
              <w:jc w:val="left"/>
              <w:rPr>
                <w:rFonts w:ascii="Times New Roman"/>
                <w:color w:val="000000"/>
                <w:sz w:val="21"/>
                <w:szCs w:val="21"/>
              </w:rPr>
            </w:pPr>
            <w:r>
              <w:rPr>
                <w:rFonts w:ascii="Segoe UI" w:hAnsi="Segoe UI" w:eastAsia="Segoe UI" w:cs="Segoe UI"/>
                <w:color w:val="212121"/>
                <w:sz w:val="12"/>
                <w:szCs w:val="12"/>
                <w:shd w:val="clear" w:color="auto" w:fill="FFFFFF"/>
              </w:rPr>
              <w:t> </w:t>
            </w:r>
          </w:p>
        </w:tc>
        <w:tc>
          <w:tcPr>
            <w:tcW w:w="1057" w:type="dxa"/>
          </w:tcPr>
          <w:p w14:paraId="39F63CF5">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w:t>
            </w:r>
            <w:r>
              <w:rPr>
                <w:rFonts w:ascii="Times New Roman"/>
                <w:color w:val="000000"/>
                <w:sz w:val="21"/>
                <w:szCs w:val="21"/>
              </w:rPr>
              <w:t>01</w:t>
            </w:r>
            <w:r>
              <w:rPr>
                <w:rFonts w:hint="eastAsia" w:ascii="Times New Roman"/>
                <w:color w:val="000000"/>
                <w:sz w:val="21"/>
                <w:szCs w:val="21"/>
              </w:rPr>
              <w:t>2年5月</w:t>
            </w:r>
          </w:p>
        </w:tc>
        <w:tc>
          <w:tcPr>
            <w:tcW w:w="2020" w:type="dxa"/>
          </w:tcPr>
          <w:p w14:paraId="49A519BC">
            <w:pPr>
              <w:widowControl/>
              <w:spacing w:before="100" w:beforeAutospacing="1" w:after="100" w:afterAutospacing="1" w:line="11" w:lineRule="atLeast"/>
              <w:ind w:left="-360"/>
            </w:pPr>
            <w:r>
              <w:rPr>
                <w:color w:val="000000"/>
                <w:szCs w:val="21"/>
              </w:rPr>
              <w:t>DOI</w:t>
            </w:r>
            <w:r>
              <w:rPr>
                <w:rFonts w:hint="eastAsia"/>
                <w:color w:val="000000"/>
                <w:szCs w:val="21"/>
              </w:rPr>
              <w:t>DOI</w:t>
            </w:r>
            <w:r>
              <w:rPr>
                <w:color w:val="000000"/>
                <w:szCs w:val="21"/>
              </w:rPr>
              <w:t>: </w:t>
            </w:r>
            <w:r>
              <w:fldChar w:fldCharType="begin"/>
            </w:r>
            <w:r>
              <w:instrText xml:space="preserve"> HYPERLINK "https://doi.org/10.1038/ni.2301" \t "https://pubmed.ncbi.nlm.nih.gov/22561606/_blank" </w:instrText>
            </w:r>
            <w:r>
              <w:fldChar w:fldCharType="separate"/>
            </w:r>
            <w:r>
              <w:rPr>
                <w:color w:val="000000"/>
                <w:szCs w:val="21"/>
              </w:rPr>
              <w:t>10.1038/ni.2301</w:t>
            </w:r>
            <w:r>
              <w:rPr>
                <w:color w:val="000000"/>
                <w:szCs w:val="21"/>
              </w:rPr>
              <w:fldChar w:fldCharType="end"/>
            </w:r>
          </w:p>
          <w:p w14:paraId="46D4891A">
            <w:pPr>
              <w:pStyle w:val="5"/>
              <w:adjustRightInd w:val="0"/>
              <w:snapToGrid w:val="0"/>
              <w:spacing w:line="390" w:lineRule="exact"/>
              <w:ind w:firstLine="0" w:firstLineChars="0"/>
              <w:jc w:val="left"/>
              <w:rPr>
                <w:rFonts w:ascii="Times New Roman"/>
                <w:color w:val="000000"/>
                <w:sz w:val="21"/>
                <w:szCs w:val="21"/>
              </w:rPr>
            </w:pPr>
          </w:p>
        </w:tc>
        <w:tc>
          <w:tcPr>
            <w:tcW w:w="1484" w:type="dxa"/>
          </w:tcPr>
          <w:p w14:paraId="616DD740">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浙江大学</w:t>
            </w:r>
          </w:p>
        </w:tc>
        <w:tc>
          <w:tcPr>
            <w:tcW w:w="2366" w:type="dxa"/>
          </w:tcPr>
          <w:p w14:paraId="31F1F5B4">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Wang D, Zheng M, Lei L, Ji J, Yao Y, Qiu Y, Ma L, Lou J, Ouyang C, Zhang X, He Y, Chi J, Wang L, Kuang Y, Wang J, Cao X, Lu L</w:t>
            </w:r>
          </w:p>
        </w:tc>
        <w:tc>
          <w:tcPr>
            <w:tcW w:w="895" w:type="dxa"/>
          </w:tcPr>
          <w:p w14:paraId="4ACAB685">
            <w:pPr>
              <w:pStyle w:val="5"/>
              <w:adjustRightInd w:val="0"/>
              <w:snapToGrid w:val="0"/>
              <w:spacing w:line="390" w:lineRule="exact"/>
              <w:ind w:firstLine="0" w:firstLineChars="0"/>
              <w:jc w:val="left"/>
              <w:rPr>
                <w:rFonts w:ascii="Times New Roman"/>
                <w:color w:val="000000"/>
                <w:sz w:val="21"/>
                <w:szCs w:val="21"/>
              </w:rPr>
            </w:pPr>
          </w:p>
        </w:tc>
      </w:tr>
      <w:tr w14:paraId="6EBBA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4" w:type="dxa"/>
          </w:tcPr>
          <w:p w14:paraId="5ADAC843">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授权发明专利</w:t>
            </w:r>
          </w:p>
        </w:tc>
        <w:tc>
          <w:tcPr>
            <w:tcW w:w="3014" w:type="dxa"/>
          </w:tcPr>
          <w:p w14:paraId="52CC63F3">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工程化免疫细胞的制备及其 中国用途</w:t>
            </w:r>
          </w:p>
        </w:tc>
        <w:tc>
          <w:tcPr>
            <w:tcW w:w="390" w:type="dxa"/>
          </w:tcPr>
          <w:p w14:paraId="54F9F890">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中国</w:t>
            </w:r>
          </w:p>
        </w:tc>
        <w:tc>
          <w:tcPr>
            <w:tcW w:w="1528" w:type="dxa"/>
          </w:tcPr>
          <w:p w14:paraId="5B63EC72">
            <w:pPr>
              <w:pStyle w:val="5"/>
              <w:adjustRightInd w:val="0"/>
              <w:snapToGrid w:val="0"/>
              <w:spacing w:line="390" w:lineRule="exact"/>
              <w:ind w:firstLine="0" w:firstLineChars="0"/>
              <w:jc w:val="left"/>
              <w:rPr>
                <w:rFonts w:ascii="Times New Roman"/>
                <w:color w:val="000000"/>
              </w:rPr>
            </w:pPr>
            <w:r>
              <w:rPr>
                <w:rFonts w:ascii="Times New Roman"/>
                <w:color w:val="000000"/>
              </w:rPr>
              <w:t>ZL 2020 1</w:t>
            </w:r>
          </w:p>
          <w:p w14:paraId="4C445F09">
            <w:pPr>
              <w:pStyle w:val="5"/>
              <w:adjustRightInd w:val="0"/>
              <w:snapToGrid w:val="0"/>
              <w:spacing w:line="390" w:lineRule="exact"/>
              <w:ind w:firstLine="0" w:firstLineChars="0"/>
              <w:jc w:val="left"/>
              <w:rPr>
                <w:rFonts w:ascii="Segoe UI" w:hAnsi="Segoe UI" w:eastAsia="Segoe UI" w:cs="Segoe UI"/>
                <w:color w:val="212121"/>
                <w:sz w:val="12"/>
                <w:szCs w:val="12"/>
                <w:shd w:val="clear" w:color="auto" w:fill="FFFFFF"/>
              </w:rPr>
            </w:pPr>
            <w:r>
              <w:rPr>
                <w:rFonts w:ascii="Times New Roman"/>
                <w:color w:val="000000"/>
              </w:rPr>
              <w:t>0324385.2</w:t>
            </w:r>
          </w:p>
        </w:tc>
        <w:tc>
          <w:tcPr>
            <w:tcW w:w="1057" w:type="dxa"/>
          </w:tcPr>
          <w:p w14:paraId="2439EEB4">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rPr>
              <w:t>2020-10-23</w:t>
            </w:r>
          </w:p>
        </w:tc>
        <w:tc>
          <w:tcPr>
            <w:tcW w:w="2020" w:type="dxa"/>
          </w:tcPr>
          <w:p w14:paraId="5593D190">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rPr>
              <w:t>4042826</w:t>
            </w:r>
          </w:p>
        </w:tc>
        <w:tc>
          <w:tcPr>
            <w:tcW w:w="1484" w:type="dxa"/>
          </w:tcPr>
          <w:p w14:paraId="71C78487">
            <w:pPr>
              <w:pStyle w:val="5"/>
              <w:adjustRightInd w:val="0"/>
              <w:snapToGrid w:val="0"/>
              <w:spacing w:line="390" w:lineRule="exact"/>
              <w:ind w:firstLine="0" w:firstLineChars="0"/>
              <w:jc w:val="left"/>
              <w:rPr>
                <w:rFonts w:ascii="Times New Roman"/>
                <w:color w:val="000000"/>
              </w:rPr>
            </w:pPr>
            <w:r>
              <w:rPr>
                <w:rFonts w:hint="eastAsia" w:ascii="Times New Roman"/>
                <w:color w:val="000000"/>
              </w:rPr>
              <w:t>南京北恒生科技有限</w:t>
            </w:r>
          </w:p>
          <w:p w14:paraId="19A0E191">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公司</w:t>
            </w:r>
          </w:p>
        </w:tc>
        <w:tc>
          <w:tcPr>
            <w:tcW w:w="2366" w:type="dxa"/>
          </w:tcPr>
          <w:p w14:paraId="7A739F37">
            <w:pPr>
              <w:pStyle w:val="5"/>
              <w:adjustRightInd w:val="0"/>
              <w:snapToGrid w:val="0"/>
              <w:spacing w:line="390" w:lineRule="exact"/>
              <w:ind w:firstLine="0" w:firstLineChars="0"/>
              <w:jc w:val="left"/>
              <w:rPr>
                <w:rFonts w:ascii="Times New Roman"/>
                <w:color w:val="000000"/>
              </w:rPr>
            </w:pPr>
            <w:r>
              <w:rPr>
                <w:rFonts w:hint="eastAsia" w:ascii="Times New Roman"/>
                <w:color w:val="000000"/>
              </w:rPr>
              <w:t>周亚丽;任江涛;贺小宏,王延</w:t>
            </w:r>
          </w:p>
          <w:p w14:paraId="7F28B435">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宾;韩露</w:t>
            </w:r>
          </w:p>
        </w:tc>
        <w:tc>
          <w:tcPr>
            <w:tcW w:w="895" w:type="dxa"/>
          </w:tcPr>
          <w:p w14:paraId="195E8DED">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专利权有效</w:t>
            </w:r>
          </w:p>
        </w:tc>
      </w:tr>
      <w:tr w14:paraId="480BD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4" w:type="dxa"/>
          </w:tcPr>
          <w:p w14:paraId="53F29FD9">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授权发明专利</w:t>
            </w:r>
          </w:p>
        </w:tc>
        <w:tc>
          <w:tcPr>
            <w:tcW w:w="3014" w:type="dxa"/>
          </w:tcPr>
          <w:p w14:paraId="37A0FA6E">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一结合BCMA的合抗原受体(CAR)及其应用</w:t>
            </w:r>
          </w:p>
        </w:tc>
        <w:tc>
          <w:tcPr>
            <w:tcW w:w="390" w:type="dxa"/>
          </w:tcPr>
          <w:p w14:paraId="0314EB3D">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台湾</w:t>
            </w:r>
          </w:p>
        </w:tc>
        <w:tc>
          <w:tcPr>
            <w:tcW w:w="1528" w:type="dxa"/>
          </w:tcPr>
          <w:p w14:paraId="30E1067D">
            <w:pPr>
              <w:pStyle w:val="5"/>
              <w:adjustRightInd w:val="0"/>
              <w:snapToGrid w:val="0"/>
              <w:spacing w:line="390" w:lineRule="exact"/>
              <w:ind w:firstLine="0" w:firstLineChars="0"/>
              <w:jc w:val="left"/>
              <w:rPr>
                <w:rFonts w:ascii="Segoe UI" w:hAnsi="Segoe UI" w:eastAsia="Segoe UI" w:cs="Segoe UI"/>
                <w:color w:val="212121"/>
                <w:sz w:val="12"/>
                <w:szCs w:val="12"/>
                <w:shd w:val="clear" w:color="auto" w:fill="FFFFFF"/>
              </w:rPr>
            </w:pPr>
            <w:r>
              <w:rPr>
                <w:rFonts w:ascii="Times New Roman"/>
                <w:color w:val="000000"/>
              </w:rPr>
              <w:t>I728308</w:t>
            </w:r>
          </w:p>
        </w:tc>
        <w:tc>
          <w:tcPr>
            <w:tcW w:w="1057" w:type="dxa"/>
          </w:tcPr>
          <w:p w14:paraId="2B7D2697">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rPr>
              <w:t>2021-06-15</w:t>
            </w:r>
          </w:p>
        </w:tc>
        <w:tc>
          <w:tcPr>
            <w:tcW w:w="2020" w:type="dxa"/>
          </w:tcPr>
          <w:p w14:paraId="3054F5EC">
            <w:pPr>
              <w:pStyle w:val="5"/>
              <w:adjustRightInd w:val="0"/>
              <w:snapToGrid w:val="0"/>
              <w:spacing w:line="390" w:lineRule="exact"/>
              <w:ind w:firstLine="0" w:firstLineChars="0"/>
              <w:jc w:val="left"/>
              <w:rPr>
                <w:rFonts w:ascii="Times New Roman"/>
                <w:color w:val="000000"/>
                <w:sz w:val="21"/>
                <w:szCs w:val="21"/>
              </w:rPr>
            </w:pPr>
            <w:r>
              <w:rPr>
                <w:rFonts w:ascii="Times New Roman"/>
                <w:color w:val="000000"/>
              </w:rPr>
              <w:t>I728308</w:t>
            </w:r>
          </w:p>
        </w:tc>
        <w:tc>
          <w:tcPr>
            <w:tcW w:w="1484" w:type="dxa"/>
          </w:tcPr>
          <w:p w14:paraId="5DAB377B">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南京驯鹿生物医药有限公司公司</w:t>
            </w:r>
          </w:p>
        </w:tc>
        <w:tc>
          <w:tcPr>
            <w:tcW w:w="2366" w:type="dxa"/>
          </w:tcPr>
          <w:p w14:paraId="66C73F2F">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周剑峰、刘军建、胡广、杨永坤、孟广荣、高文静、王玉玉、牛盼盼</w:t>
            </w:r>
          </w:p>
        </w:tc>
        <w:tc>
          <w:tcPr>
            <w:tcW w:w="895" w:type="dxa"/>
          </w:tcPr>
          <w:p w14:paraId="48906BE9">
            <w:pPr>
              <w:pStyle w:val="5"/>
              <w:adjustRightInd w:val="0"/>
              <w:snapToGrid w:val="0"/>
              <w:spacing w:line="390" w:lineRule="exact"/>
              <w:ind w:firstLine="0" w:firstLineChars="0"/>
              <w:jc w:val="left"/>
              <w:rPr>
                <w:rFonts w:ascii="Times New Roman"/>
                <w:color w:val="000000"/>
                <w:sz w:val="21"/>
                <w:szCs w:val="21"/>
              </w:rPr>
            </w:pPr>
            <w:r>
              <w:rPr>
                <w:rFonts w:hint="eastAsia" w:ascii="Times New Roman"/>
                <w:color w:val="000000"/>
              </w:rPr>
              <w:t>专利权有效</w:t>
            </w:r>
          </w:p>
        </w:tc>
      </w:tr>
    </w:tbl>
    <w:p w14:paraId="0459AADF">
      <w:pPr>
        <w:pStyle w:val="2"/>
        <w:rPr>
          <w:rFonts w:ascii="黑体" w:hAnsi="黑体" w:eastAsia="黑体" w:cs="黑体"/>
          <w:sz w:val="32"/>
          <w:szCs w:val="32"/>
        </w:rPr>
      </w:pPr>
    </w:p>
    <w:p w14:paraId="48B850EB">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（四）主要完成人</w:t>
      </w:r>
    </w:p>
    <w:p w14:paraId="30D5B75B">
      <w:pPr>
        <w:adjustRightInd w:val="0"/>
        <w:snapToGrid w:val="0"/>
        <w:spacing w:line="560" w:lineRule="exact"/>
        <w:rPr>
          <w:rFonts w:ascii="黑体" w:hAnsi="黑体" w:cs="黑体"/>
          <w:sz w:val="32"/>
          <w:szCs w:val="32"/>
        </w:rPr>
      </w:pPr>
      <w:r>
        <w:rPr>
          <w:rFonts w:hint="eastAsia"/>
          <w:color w:val="000000"/>
          <w:sz w:val="32"/>
          <w:szCs w:val="32"/>
        </w:rPr>
        <w:t>黄河、胡永仙、鲁林荣、胡广、李春蕊、邱录贵、张楫钦、刘明耀、张鸿声、任江涛、张明明、赵厚力、周凌辉</w:t>
      </w:r>
    </w:p>
    <w:p w14:paraId="7CF9E234">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（五）主要完成单位</w:t>
      </w:r>
    </w:p>
    <w:p w14:paraId="5ADD4A4F">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浙江大学</w:t>
      </w:r>
    </w:p>
    <w:p w14:paraId="71FB65ED">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南京驯鹿生物医药有限公司</w:t>
      </w:r>
    </w:p>
    <w:p w14:paraId="5AE43C43">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华中科技大学附属同济医院</w:t>
      </w:r>
    </w:p>
    <w:p w14:paraId="1E34459C">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中国医学科学院血液病医院（中国医学科学院血液学研究所）</w:t>
      </w:r>
    </w:p>
    <w:p w14:paraId="27FF427E">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上海邦耀生物科技有限公司</w:t>
      </w:r>
    </w:p>
    <w:p w14:paraId="59479C80">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上海雅科生物科技有限公司</w:t>
      </w:r>
    </w:p>
    <w:p w14:paraId="183B3996">
      <w:pPr>
        <w:pStyle w:val="5"/>
        <w:adjustRightInd w:val="0"/>
        <w:snapToGrid w:val="0"/>
        <w:spacing w:line="288" w:lineRule="auto"/>
        <w:ind w:firstLine="640"/>
        <w:jc w:val="left"/>
        <w:outlineLvl w:val="0"/>
        <w:rPr>
          <w:rFonts w:ascii="Times New Roman"/>
          <w:color w:val="000000"/>
          <w:sz w:val="32"/>
          <w:szCs w:val="32"/>
        </w:rPr>
      </w:pPr>
      <w:r>
        <w:rPr>
          <w:rFonts w:hint="eastAsia" w:ascii="Times New Roman"/>
          <w:color w:val="000000"/>
          <w:sz w:val="32"/>
          <w:szCs w:val="32"/>
        </w:rPr>
        <w:t>南京北恒生物科技有限公司</w:t>
      </w:r>
    </w:p>
    <w:p w14:paraId="5042E421">
      <w:pPr>
        <w:adjustRightInd w:val="0"/>
        <w:snapToGrid w:val="0"/>
        <w:spacing w:line="560" w:lineRule="exact"/>
        <w:rPr>
          <w:sz w:val="32"/>
          <w:szCs w:val="32"/>
        </w:rPr>
      </w:pPr>
    </w:p>
    <w:sectPr>
      <w:footerReference r:id="rId3" w:type="default"/>
      <w:footerReference r:id="rId4" w:type="even"/>
      <w:pgSz w:w="16838" w:h="11906" w:orient="landscape"/>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7C6F">
    <w:pPr>
      <w:pStyle w:val="7"/>
      <w:framePr w:wrap="around" w:vAnchor="text" w:hAnchor="margin" w:xAlign="center" w:y="1"/>
      <w:rPr>
        <w:rStyle w:val="13"/>
      </w:rPr>
    </w:pPr>
  </w:p>
  <w:p w14:paraId="405797D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FDAA">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CD032B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1"/>
    <w:rsid w:val="00003577"/>
    <w:rsid w:val="00006B56"/>
    <w:rsid w:val="00010406"/>
    <w:rsid w:val="00024C74"/>
    <w:rsid w:val="000318DA"/>
    <w:rsid w:val="00036E61"/>
    <w:rsid w:val="000669C8"/>
    <w:rsid w:val="00072681"/>
    <w:rsid w:val="00080D53"/>
    <w:rsid w:val="000A290D"/>
    <w:rsid w:val="000B4AA9"/>
    <w:rsid w:val="000D2556"/>
    <w:rsid w:val="000D2943"/>
    <w:rsid w:val="000F28F2"/>
    <w:rsid w:val="0011420E"/>
    <w:rsid w:val="001225B2"/>
    <w:rsid w:val="00140BC0"/>
    <w:rsid w:val="001455AF"/>
    <w:rsid w:val="0014656F"/>
    <w:rsid w:val="00174C82"/>
    <w:rsid w:val="00190032"/>
    <w:rsid w:val="001A16C9"/>
    <w:rsid w:val="001A1EFF"/>
    <w:rsid w:val="001A6B61"/>
    <w:rsid w:val="001C2831"/>
    <w:rsid w:val="001C3EAF"/>
    <w:rsid w:val="001D09D8"/>
    <w:rsid w:val="001D704B"/>
    <w:rsid w:val="00203483"/>
    <w:rsid w:val="00237524"/>
    <w:rsid w:val="00245728"/>
    <w:rsid w:val="002510B3"/>
    <w:rsid w:val="00270BAF"/>
    <w:rsid w:val="00291928"/>
    <w:rsid w:val="002C1A30"/>
    <w:rsid w:val="002C71EA"/>
    <w:rsid w:val="002E2619"/>
    <w:rsid w:val="002E47D2"/>
    <w:rsid w:val="002E523B"/>
    <w:rsid w:val="002E61BF"/>
    <w:rsid w:val="002F45CC"/>
    <w:rsid w:val="00311A06"/>
    <w:rsid w:val="00330B37"/>
    <w:rsid w:val="003714D6"/>
    <w:rsid w:val="00381862"/>
    <w:rsid w:val="003C5A69"/>
    <w:rsid w:val="004137FC"/>
    <w:rsid w:val="0042035E"/>
    <w:rsid w:val="00462718"/>
    <w:rsid w:val="00475D61"/>
    <w:rsid w:val="00487691"/>
    <w:rsid w:val="004916E6"/>
    <w:rsid w:val="004C3D76"/>
    <w:rsid w:val="004C6F5D"/>
    <w:rsid w:val="004C7BBD"/>
    <w:rsid w:val="004D4F4E"/>
    <w:rsid w:val="004F1A1D"/>
    <w:rsid w:val="00504CAB"/>
    <w:rsid w:val="0052171C"/>
    <w:rsid w:val="00525496"/>
    <w:rsid w:val="00527A96"/>
    <w:rsid w:val="00563E72"/>
    <w:rsid w:val="00572A40"/>
    <w:rsid w:val="0058425D"/>
    <w:rsid w:val="00592F3F"/>
    <w:rsid w:val="005A301B"/>
    <w:rsid w:val="005A4C5A"/>
    <w:rsid w:val="005A63D7"/>
    <w:rsid w:val="005D2A43"/>
    <w:rsid w:val="005D7BB1"/>
    <w:rsid w:val="005E7123"/>
    <w:rsid w:val="005F4E42"/>
    <w:rsid w:val="005F7367"/>
    <w:rsid w:val="00601480"/>
    <w:rsid w:val="00612FE8"/>
    <w:rsid w:val="00632D55"/>
    <w:rsid w:val="006451CA"/>
    <w:rsid w:val="006462CB"/>
    <w:rsid w:val="00646B32"/>
    <w:rsid w:val="00651CE6"/>
    <w:rsid w:val="00671E7E"/>
    <w:rsid w:val="006751F7"/>
    <w:rsid w:val="006822AE"/>
    <w:rsid w:val="0068331B"/>
    <w:rsid w:val="00687B01"/>
    <w:rsid w:val="006901F6"/>
    <w:rsid w:val="006A1A02"/>
    <w:rsid w:val="006C62FC"/>
    <w:rsid w:val="00702E11"/>
    <w:rsid w:val="007122C2"/>
    <w:rsid w:val="00720D87"/>
    <w:rsid w:val="00720DD9"/>
    <w:rsid w:val="00732AF0"/>
    <w:rsid w:val="00760CED"/>
    <w:rsid w:val="00764925"/>
    <w:rsid w:val="00776ACE"/>
    <w:rsid w:val="0079259B"/>
    <w:rsid w:val="007927CB"/>
    <w:rsid w:val="00795142"/>
    <w:rsid w:val="007A490E"/>
    <w:rsid w:val="007B1DDF"/>
    <w:rsid w:val="007B457D"/>
    <w:rsid w:val="007B4F10"/>
    <w:rsid w:val="007C2DD9"/>
    <w:rsid w:val="007C4C1C"/>
    <w:rsid w:val="007D44E9"/>
    <w:rsid w:val="007E6680"/>
    <w:rsid w:val="00822F41"/>
    <w:rsid w:val="008236D5"/>
    <w:rsid w:val="00825117"/>
    <w:rsid w:val="00834466"/>
    <w:rsid w:val="0084234F"/>
    <w:rsid w:val="0084366F"/>
    <w:rsid w:val="008451A8"/>
    <w:rsid w:val="00847951"/>
    <w:rsid w:val="00854784"/>
    <w:rsid w:val="00864CD5"/>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767D7"/>
    <w:rsid w:val="00A827CE"/>
    <w:rsid w:val="00A91E01"/>
    <w:rsid w:val="00A95E8F"/>
    <w:rsid w:val="00AA5860"/>
    <w:rsid w:val="00AC18CF"/>
    <w:rsid w:val="00AD2117"/>
    <w:rsid w:val="00AF3E40"/>
    <w:rsid w:val="00B121F3"/>
    <w:rsid w:val="00B70893"/>
    <w:rsid w:val="00B70CE6"/>
    <w:rsid w:val="00B75EC1"/>
    <w:rsid w:val="00B86FD9"/>
    <w:rsid w:val="00BA2FD2"/>
    <w:rsid w:val="00BA58E7"/>
    <w:rsid w:val="00BB5598"/>
    <w:rsid w:val="00BE5B9B"/>
    <w:rsid w:val="00BF04EA"/>
    <w:rsid w:val="00C014DF"/>
    <w:rsid w:val="00C016B5"/>
    <w:rsid w:val="00C016DD"/>
    <w:rsid w:val="00C02AE9"/>
    <w:rsid w:val="00C23AD5"/>
    <w:rsid w:val="00C33810"/>
    <w:rsid w:val="00C65192"/>
    <w:rsid w:val="00C725AC"/>
    <w:rsid w:val="00CF370E"/>
    <w:rsid w:val="00D0308A"/>
    <w:rsid w:val="00D131C3"/>
    <w:rsid w:val="00D2361E"/>
    <w:rsid w:val="00D236D5"/>
    <w:rsid w:val="00D4521F"/>
    <w:rsid w:val="00D5219A"/>
    <w:rsid w:val="00D525DA"/>
    <w:rsid w:val="00D54C80"/>
    <w:rsid w:val="00D60B41"/>
    <w:rsid w:val="00DC1621"/>
    <w:rsid w:val="00DC7AA7"/>
    <w:rsid w:val="00DE1EAE"/>
    <w:rsid w:val="00E02BD8"/>
    <w:rsid w:val="00E06FD6"/>
    <w:rsid w:val="00E07250"/>
    <w:rsid w:val="00E14DB9"/>
    <w:rsid w:val="00E24C86"/>
    <w:rsid w:val="00E30127"/>
    <w:rsid w:val="00E43F82"/>
    <w:rsid w:val="00E5309C"/>
    <w:rsid w:val="00E55977"/>
    <w:rsid w:val="00E71520"/>
    <w:rsid w:val="00E851DF"/>
    <w:rsid w:val="00EB2F9A"/>
    <w:rsid w:val="00EB49E8"/>
    <w:rsid w:val="00EB778D"/>
    <w:rsid w:val="00EC0F7C"/>
    <w:rsid w:val="00EC5F77"/>
    <w:rsid w:val="00EE0243"/>
    <w:rsid w:val="00EE0345"/>
    <w:rsid w:val="00F01250"/>
    <w:rsid w:val="00F17C25"/>
    <w:rsid w:val="00F333F6"/>
    <w:rsid w:val="00F3785C"/>
    <w:rsid w:val="00F40914"/>
    <w:rsid w:val="00F441F5"/>
    <w:rsid w:val="00F7047A"/>
    <w:rsid w:val="00F81A01"/>
    <w:rsid w:val="00F82045"/>
    <w:rsid w:val="00F852C1"/>
    <w:rsid w:val="00F9461B"/>
    <w:rsid w:val="00FB0852"/>
    <w:rsid w:val="00FB17F1"/>
    <w:rsid w:val="00FD4138"/>
    <w:rsid w:val="00FE3092"/>
    <w:rsid w:val="00FE435F"/>
    <w:rsid w:val="01FD42EF"/>
    <w:rsid w:val="03A23C27"/>
    <w:rsid w:val="0517712C"/>
    <w:rsid w:val="091F0FEF"/>
    <w:rsid w:val="09A15F99"/>
    <w:rsid w:val="09BD1F32"/>
    <w:rsid w:val="0B402B47"/>
    <w:rsid w:val="0C92338D"/>
    <w:rsid w:val="0DE565E7"/>
    <w:rsid w:val="0EB9774E"/>
    <w:rsid w:val="0F975F68"/>
    <w:rsid w:val="0FA37CB2"/>
    <w:rsid w:val="10A83678"/>
    <w:rsid w:val="152F25BA"/>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BC7E86"/>
    <w:rsid w:val="29F222C1"/>
    <w:rsid w:val="2A0F3A83"/>
    <w:rsid w:val="2E032AE7"/>
    <w:rsid w:val="31565117"/>
    <w:rsid w:val="317F3195"/>
    <w:rsid w:val="34B91F8A"/>
    <w:rsid w:val="35494B7A"/>
    <w:rsid w:val="355B47A5"/>
    <w:rsid w:val="37D05063"/>
    <w:rsid w:val="392A3BCE"/>
    <w:rsid w:val="3BA03635"/>
    <w:rsid w:val="3FE51083"/>
    <w:rsid w:val="430C405C"/>
    <w:rsid w:val="45B82804"/>
    <w:rsid w:val="46E22750"/>
    <w:rsid w:val="475443C7"/>
    <w:rsid w:val="478F67EB"/>
    <w:rsid w:val="49CA274A"/>
    <w:rsid w:val="4B1F1850"/>
    <w:rsid w:val="4D0B7FA1"/>
    <w:rsid w:val="4D4D3AFB"/>
    <w:rsid w:val="4D854753"/>
    <w:rsid w:val="4DE54BC7"/>
    <w:rsid w:val="4EB53D97"/>
    <w:rsid w:val="526622C1"/>
    <w:rsid w:val="567315FF"/>
    <w:rsid w:val="572B12F6"/>
    <w:rsid w:val="5A427C66"/>
    <w:rsid w:val="5FD67D35"/>
    <w:rsid w:val="600A5100"/>
    <w:rsid w:val="6534765C"/>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4">
    <w:name w:val="annotation text"/>
    <w:basedOn w:val="1"/>
    <w:link w:val="15"/>
    <w:unhideWhenUsed/>
    <w:qFormat/>
    <w:uiPriority w:val="99"/>
    <w:pPr>
      <w:jc w:val="left"/>
    </w:pPr>
  </w:style>
  <w:style w:type="paragraph" w:styleId="5">
    <w:name w:val="Plain Text"/>
    <w:basedOn w:val="1"/>
    <w:link w:val="16"/>
    <w:qFormat/>
    <w:uiPriority w:val="0"/>
    <w:pPr>
      <w:spacing w:line="360" w:lineRule="auto"/>
      <w:ind w:firstLine="480" w:firstLineChars="200"/>
    </w:pPr>
    <w:rPr>
      <w:rFonts w:ascii="仿宋_GB2312"/>
      <w:sz w:val="24"/>
      <w:szCs w:val="20"/>
    </w:r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unhideWhenUsed/>
    <w:qFormat/>
    <w:uiPriority w:val="99"/>
    <w:rPr>
      <w:sz w:val="21"/>
      <w:szCs w:val="21"/>
    </w:rPr>
  </w:style>
  <w:style w:type="character" w:customStyle="1" w:styleId="15">
    <w:name w:val="批注文字 字符"/>
    <w:link w:val="4"/>
    <w:semiHidden/>
    <w:qFormat/>
    <w:uiPriority w:val="99"/>
    <w:rPr>
      <w:rFonts w:ascii="Times New Roman" w:hAnsi="Times New Roman" w:eastAsia="宋体" w:cs="Times New Roman"/>
      <w:szCs w:val="24"/>
    </w:rPr>
  </w:style>
  <w:style w:type="character" w:customStyle="1" w:styleId="16">
    <w:name w:val="纯文本 字符1"/>
    <w:link w:val="5"/>
    <w:qFormat/>
    <w:locked/>
    <w:uiPriority w:val="0"/>
    <w:rPr>
      <w:rFonts w:ascii="仿宋_GB2312" w:hAnsi="Times New Roman" w:eastAsia="宋体" w:cs="Times New Roman"/>
      <w:sz w:val="24"/>
      <w:szCs w:val="20"/>
    </w:rPr>
  </w:style>
  <w:style w:type="character" w:customStyle="1" w:styleId="17">
    <w:name w:val="批注框文本 字符"/>
    <w:link w:val="6"/>
    <w:semiHidden/>
    <w:qFormat/>
    <w:uiPriority w:val="99"/>
    <w:rPr>
      <w:rFonts w:ascii="Times New Roman" w:hAnsi="Times New Roman" w:eastAsia="宋体" w:cs="Times New Roman"/>
      <w:sz w:val="18"/>
      <w:szCs w:val="18"/>
    </w:rPr>
  </w:style>
  <w:style w:type="character" w:customStyle="1" w:styleId="18">
    <w:name w:val="页脚 字符"/>
    <w:link w:val="7"/>
    <w:qFormat/>
    <w:uiPriority w:val="99"/>
    <w:rPr>
      <w:sz w:val="18"/>
      <w:szCs w:val="18"/>
    </w:rPr>
  </w:style>
  <w:style w:type="character" w:customStyle="1" w:styleId="19">
    <w:name w:val="页眉 字符"/>
    <w:link w:val="8"/>
    <w:qFormat/>
    <w:uiPriority w:val="99"/>
    <w:rPr>
      <w:sz w:val="18"/>
      <w:szCs w:val="18"/>
    </w:rPr>
  </w:style>
  <w:style w:type="character" w:customStyle="1" w:styleId="20">
    <w:name w:val="批注主题 字符"/>
    <w:link w:val="9"/>
    <w:semiHidden/>
    <w:qFormat/>
    <w:uiPriority w:val="99"/>
    <w:rPr>
      <w:rFonts w:ascii="Times New Roman" w:hAnsi="Times New Roman" w:eastAsia="宋体" w:cs="Times New Roman"/>
      <w:b/>
      <w:bCs/>
      <w:szCs w:val="24"/>
    </w:rPr>
  </w:style>
  <w:style w:type="character" w:customStyle="1" w:styleId="21">
    <w:name w:val="纯文本 字符"/>
    <w:semiHidden/>
    <w:qFormat/>
    <w:uiPriority w:val="99"/>
    <w:rPr>
      <w:rFonts w:ascii="等线" w:hAnsi="Courier New"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303B-3B1A-4DC9-BBF8-F35F482145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1425</Words>
  <Characters>3191</Characters>
  <Lines>27</Lines>
  <Paragraphs>7</Paragraphs>
  <TotalTime>10</TotalTime>
  <ScaleCrop>false</ScaleCrop>
  <LinksUpToDate>false</LinksUpToDate>
  <CharactersWithSpaces>3646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2025-05-25T05:41:00Z</dcterms:created>
  <dc:creator>LY-01</dc:creator>
  <cp:lastModifiedBy>葛格</cp:lastModifiedBy>
  <dcterms:modified xsi:type="dcterms:W3CDTF">2025-05-29T08:16:25Z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eyJoZGlkIjoiZWQyZDlhOWZkMDJiNzFjMThjNDZiYzAxZWIwNjhhMmYiLCJ1c2VySWQiOiI0MjYzNzM1ODAifQ==</vt:lpwstr>
  </property>
  <property fmtid="{D5CDD505-2E9C-101B-9397-08002B2CF9AE}" pid="3" name="KSOProductBuildVer">
    <vt:lpwstr>2052-12.1.0.19770</vt:lpwstr>
  </property>
  <property fmtid="{D5CDD505-2E9C-101B-9397-08002B2CF9AE}" pid="4" name="ICV">
    <vt:lpwstr>259B78555514487A9FAEED65463B7B26_13</vt:lpwstr>
  </property>
</Properties>
</file>