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D7081E">
      <w:pPr>
        <w:adjustRightInd w:val="0"/>
        <w:snapToGrid w:val="0"/>
        <w:spacing w:before="240" w:after="240" w:line="600" w:lineRule="exact"/>
        <w:ind w:firstLine="556"/>
        <w:rPr>
          <w:rFonts w:ascii="仿宋_GB2312" w:hAnsi="仿宋" w:eastAsia="仿宋_GB2312" w:cs="方正小标宋简体"/>
          <w:bCs/>
          <w:sz w:val="32"/>
          <w:szCs w:val="32"/>
        </w:rPr>
      </w:pPr>
      <w:r>
        <w:rPr>
          <w:rFonts w:hint="eastAsia" w:ascii="仿宋_GB2312" w:hAnsi="仿宋" w:eastAsia="仿宋_GB2312" w:cs="方正小标宋简体"/>
          <w:bCs/>
          <w:sz w:val="32"/>
          <w:szCs w:val="32"/>
        </w:rPr>
        <w:t>根据《国家科学技术奖励工作办公室关于2025年度国家科学技术奖提名工作的通知》有关要求，现将浙江大学作为牵头单位的成果“</w:t>
      </w:r>
      <w:bookmarkStart w:id="0" w:name="_GoBack"/>
      <w:r>
        <w:rPr>
          <w:rFonts w:hint="eastAsia" w:ascii="仿宋_GB2312" w:hAnsi="仿宋" w:eastAsia="仿宋_GB2312" w:cs="方正小标宋简体"/>
          <w:bCs/>
          <w:sz w:val="32"/>
          <w:szCs w:val="32"/>
        </w:rPr>
        <w:t>大数据实时处理关键技术及应用</w:t>
      </w:r>
      <w:bookmarkEnd w:id="0"/>
      <w:r>
        <w:rPr>
          <w:rFonts w:hint="eastAsia" w:ascii="仿宋_GB2312" w:hAnsi="仿宋" w:eastAsia="仿宋_GB2312" w:cs="方正小标宋简体"/>
          <w:bCs/>
          <w:sz w:val="32"/>
          <w:szCs w:val="32"/>
        </w:rPr>
        <w:t>”相关内容予以公示。</w:t>
      </w:r>
    </w:p>
    <w:p w14:paraId="6D5F4F6C">
      <w:pPr>
        <w:adjustRightInd w:val="0"/>
        <w:snapToGrid w:val="0"/>
        <w:spacing w:before="240" w:after="240" w:line="600" w:lineRule="exact"/>
        <w:ind w:firstLine="556"/>
        <w:rPr>
          <w:rFonts w:ascii="仿宋_GB2312" w:hAnsi="仿宋" w:eastAsia="仿宋_GB2312" w:cs="方正小标宋简体"/>
          <w:bCs/>
          <w:sz w:val="32"/>
          <w:szCs w:val="32"/>
        </w:rPr>
      </w:pPr>
      <w:r>
        <w:rPr>
          <w:rFonts w:hint="eastAsia" w:ascii="仿宋_GB2312" w:hAnsi="仿宋" w:eastAsia="仿宋_GB2312" w:cs="方正小标宋简体"/>
          <w:bCs/>
          <w:sz w:val="32"/>
          <w:szCs w:val="32"/>
        </w:rPr>
        <w:t>公示时间：2025年5月30日-2025年6月3日。</w:t>
      </w:r>
    </w:p>
    <w:p w14:paraId="7C76CB0E">
      <w:pPr>
        <w:adjustRightInd w:val="0"/>
        <w:snapToGrid w:val="0"/>
        <w:spacing w:before="240" w:after="240" w:line="600" w:lineRule="exact"/>
        <w:ind w:firstLine="556"/>
        <w:rPr>
          <w:rFonts w:ascii="仿宋_GB2312" w:hAnsi="仿宋" w:eastAsia="仿宋_GB2312" w:cs="方正小标宋简体"/>
          <w:bCs/>
          <w:sz w:val="32"/>
          <w:szCs w:val="32"/>
        </w:rPr>
      </w:pPr>
      <w:r>
        <w:rPr>
          <w:rFonts w:hint="eastAsia" w:ascii="仿宋_GB2312" w:hAnsi="仿宋" w:eastAsia="仿宋_GB2312" w:cs="方正小标宋简体"/>
          <w:bCs/>
          <w:sz w:val="32"/>
          <w:szCs w:val="32"/>
        </w:rPr>
        <w:t>对公示的成果、候选人持有异议的，在公示期内，应当以真实身份书面向科研院提出。个人提出异议的，应当在异议材料上签署真实姓名和联系电话、地址；以单位名义提出异议的，应当加盖本单位公章。为方便核实、查证，保证实事求是、公正处理，匿名异议不予受理。我校将按规定对异议者身份予以保护。</w:t>
      </w:r>
    </w:p>
    <w:p w14:paraId="7458DCC8">
      <w:pPr>
        <w:adjustRightInd w:val="0"/>
        <w:snapToGrid w:val="0"/>
        <w:spacing w:before="240" w:after="240" w:line="600" w:lineRule="exact"/>
        <w:ind w:firstLine="556"/>
        <w:rPr>
          <w:rFonts w:ascii="仿宋_GB2312" w:hAnsi="仿宋" w:eastAsia="仿宋_GB2312" w:cs="方正小标宋简体"/>
          <w:bCs/>
          <w:sz w:val="32"/>
          <w:szCs w:val="32"/>
        </w:rPr>
      </w:pPr>
      <w:r>
        <w:rPr>
          <w:rFonts w:hint="eastAsia" w:ascii="仿宋_GB2312" w:hAnsi="仿宋" w:eastAsia="仿宋_GB2312" w:cs="方正小标宋简体"/>
          <w:bCs/>
          <w:sz w:val="32"/>
          <w:szCs w:val="32"/>
        </w:rPr>
        <w:t>联系人：张潇</w:t>
      </w:r>
    </w:p>
    <w:p w14:paraId="101AD8E0">
      <w:pPr>
        <w:adjustRightInd w:val="0"/>
        <w:snapToGrid w:val="0"/>
        <w:spacing w:before="240" w:after="240" w:line="600" w:lineRule="exact"/>
        <w:ind w:firstLine="556"/>
        <w:rPr>
          <w:rFonts w:ascii="仿宋_GB2312" w:hAnsi="仿宋" w:eastAsia="仿宋_GB2312" w:cs="方正小标宋简体"/>
          <w:bCs/>
          <w:sz w:val="32"/>
          <w:szCs w:val="32"/>
        </w:rPr>
      </w:pPr>
      <w:r>
        <w:rPr>
          <w:rFonts w:hint="eastAsia" w:ascii="仿宋_GB2312" w:hAnsi="仿宋" w:eastAsia="仿宋_GB2312" w:cs="方正小标宋简体"/>
          <w:bCs/>
          <w:sz w:val="32"/>
          <w:szCs w:val="32"/>
        </w:rPr>
        <w:t>联系电话：0571-88981082</w:t>
      </w:r>
    </w:p>
    <w:p w14:paraId="70FEB25C">
      <w:pPr>
        <w:adjustRightInd w:val="0"/>
        <w:snapToGrid w:val="0"/>
        <w:spacing w:before="240" w:after="240" w:line="600" w:lineRule="exact"/>
        <w:ind w:firstLine="556"/>
        <w:rPr>
          <w:rFonts w:ascii="仿宋_GB2312" w:hAnsi="仿宋" w:eastAsia="仿宋_GB2312" w:cs="方正小标宋简体"/>
          <w:bCs/>
          <w:sz w:val="32"/>
          <w:szCs w:val="32"/>
        </w:rPr>
      </w:pPr>
      <w:r>
        <w:rPr>
          <w:rFonts w:hint="eastAsia" w:ascii="仿宋_GB2312" w:hAnsi="仿宋" w:eastAsia="仿宋_GB2312" w:cs="方正小标宋简体"/>
          <w:bCs/>
          <w:sz w:val="32"/>
          <w:szCs w:val="32"/>
        </w:rPr>
        <w:t>E-mail：zhangxiao67@zju.edu.cn</w:t>
      </w:r>
    </w:p>
    <w:p w14:paraId="760D5AF8">
      <w:pPr>
        <w:adjustRightInd w:val="0"/>
        <w:snapToGrid w:val="0"/>
        <w:spacing w:before="240" w:after="240" w:line="600" w:lineRule="exact"/>
        <w:ind w:firstLine="556"/>
        <w:rPr>
          <w:rFonts w:ascii="仿宋_GB2312" w:hAnsi="仿宋" w:eastAsia="仿宋_GB2312" w:cs="方正小标宋简体"/>
          <w:bCs/>
          <w:sz w:val="32"/>
          <w:szCs w:val="32"/>
        </w:rPr>
      </w:pPr>
      <w:r>
        <w:rPr>
          <w:rFonts w:hint="eastAsia" w:ascii="仿宋_GB2312" w:hAnsi="仿宋" w:eastAsia="仿宋_GB2312" w:cs="方正小标宋简体"/>
          <w:bCs/>
          <w:sz w:val="32"/>
          <w:szCs w:val="32"/>
        </w:rPr>
        <w:t>附件：公示材料-大数据实时处理关键技术及应用</w:t>
      </w:r>
    </w:p>
    <w:p w14:paraId="7967DD58">
      <w:pPr>
        <w:adjustRightInd w:val="0"/>
        <w:snapToGrid w:val="0"/>
        <w:spacing w:line="560" w:lineRule="exact"/>
        <w:rPr>
          <w:rFonts w:ascii="仿宋_GB2312" w:hAnsi="仿宋" w:eastAsia="仿宋_GB2312" w:cs="方正小标宋简体"/>
          <w:bCs/>
          <w:sz w:val="32"/>
          <w:szCs w:val="32"/>
        </w:rPr>
      </w:pPr>
    </w:p>
    <w:p w14:paraId="20A35F8C">
      <w:pPr>
        <w:adjustRightInd w:val="0"/>
        <w:snapToGrid w:val="0"/>
        <w:spacing w:before="240" w:after="240" w:line="600" w:lineRule="exact"/>
        <w:ind w:firstLine="556"/>
        <w:jc w:val="right"/>
        <w:rPr>
          <w:rFonts w:ascii="仿宋_GB2312" w:hAnsi="仿宋" w:eastAsia="仿宋_GB2312" w:cs="方正小标宋简体"/>
          <w:bCs/>
          <w:sz w:val="32"/>
          <w:szCs w:val="32"/>
        </w:rPr>
      </w:pPr>
      <w:r>
        <w:rPr>
          <w:rFonts w:ascii="Calibri" w:hAnsi="Calibri" w:eastAsia="仿宋_GB2312" w:cs="Calibri"/>
          <w:bCs/>
          <w:sz w:val="32"/>
          <w:szCs w:val="32"/>
        </w:rPr>
        <w:t> </w:t>
      </w:r>
      <w:r>
        <w:rPr>
          <w:rFonts w:hint="eastAsia" w:ascii="仿宋_GB2312" w:hAnsi="仿宋" w:eastAsia="仿宋_GB2312" w:cs="方正小标宋简体"/>
          <w:bCs/>
          <w:sz w:val="32"/>
          <w:szCs w:val="32"/>
        </w:rPr>
        <w:t>浙江大学</w:t>
      </w:r>
    </w:p>
    <w:p w14:paraId="36954AF6">
      <w:pPr>
        <w:adjustRightInd w:val="0"/>
        <w:snapToGrid w:val="0"/>
        <w:spacing w:before="240" w:after="240" w:line="600" w:lineRule="exact"/>
        <w:ind w:firstLine="556"/>
        <w:jc w:val="right"/>
        <w:rPr>
          <w:rFonts w:ascii="仿宋_GB2312" w:hAnsi="仿宋" w:eastAsia="仿宋_GB2312" w:cs="方正小标宋简体"/>
          <w:bCs/>
          <w:sz w:val="32"/>
          <w:szCs w:val="32"/>
        </w:rPr>
      </w:pPr>
      <w:r>
        <w:rPr>
          <w:rFonts w:hint="eastAsia" w:ascii="仿宋_GB2312" w:hAnsi="仿宋" w:eastAsia="仿宋_GB2312" w:cs="方正小标宋简体"/>
          <w:bCs/>
          <w:sz w:val="32"/>
          <w:szCs w:val="32"/>
        </w:rPr>
        <w:t>2025年5月30日</w:t>
      </w:r>
    </w:p>
    <w:p w14:paraId="186995B0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附件</w:t>
      </w:r>
    </w:p>
    <w:p w14:paraId="0E5E6829">
      <w:pPr>
        <w:adjustRightInd w:val="0"/>
        <w:snapToGrid w:val="0"/>
        <w:spacing w:line="700" w:lineRule="exact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2025年度国家技术发明奖提名项目</w:t>
      </w:r>
    </w:p>
    <w:p w14:paraId="595D2CD1">
      <w:pPr>
        <w:adjustRightInd w:val="0"/>
        <w:snapToGrid w:val="0"/>
        <w:spacing w:line="700" w:lineRule="exact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公示内容</w:t>
      </w:r>
    </w:p>
    <w:p w14:paraId="7841DB3A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</w:p>
    <w:p w14:paraId="5795FAA6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（一）项目名称</w:t>
      </w:r>
    </w:p>
    <w:p w14:paraId="3494DFB2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大数据实时处理关键技术及应用</w:t>
      </w:r>
    </w:p>
    <w:p w14:paraId="31572B33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（二）提名者</w:t>
      </w:r>
    </w:p>
    <w:p w14:paraId="3E64837E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浙江省</w:t>
      </w:r>
    </w:p>
    <w:p w14:paraId="46369033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（三）主要知识产权和标准规范等目录</w:t>
      </w:r>
      <w:r>
        <w:rPr>
          <w:rFonts w:hint="eastAsia" w:ascii="黑体" w:hAnsi="黑体" w:eastAsia="黑体" w:cs="黑体"/>
          <w:color w:val="000000"/>
          <w:w w:val="90"/>
          <w:sz w:val="32"/>
          <w:szCs w:val="32"/>
        </w:rPr>
        <w:t>（不超过10件）</w:t>
      </w:r>
    </w:p>
    <w:tbl>
      <w:tblPr>
        <w:tblStyle w:val="9"/>
        <w:tblW w:w="8850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83"/>
        <w:gridCol w:w="983"/>
        <w:gridCol w:w="983"/>
        <w:gridCol w:w="983"/>
        <w:gridCol w:w="983"/>
        <w:gridCol w:w="983"/>
        <w:gridCol w:w="983"/>
        <w:gridCol w:w="983"/>
        <w:gridCol w:w="986"/>
      </w:tblGrid>
      <w:tr w14:paraId="7F92E1B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atLeast"/>
        </w:trPr>
        <w:tc>
          <w:tcPr>
            <w:tcW w:w="983" w:type="dxa"/>
            <w:vAlign w:val="center"/>
          </w:tcPr>
          <w:p w14:paraId="39B1C047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color w:val="000000"/>
                <w:sz w:val="21"/>
              </w:rPr>
              <w:t>知识产权(标准)</w:t>
            </w:r>
          </w:p>
          <w:p w14:paraId="0D073DDD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color w:val="000000"/>
                <w:sz w:val="21"/>
              </w:rPr>
              <w:t>类别</w:t>
            </w:r>
          </w:p>
        </w:tc>
        <w:tc>
          <w:tcPr>
            <w:tcW w:w="983" w:type="dxa"/>
            <w:vAlign w:val="center"/>
          </w:tcPr>
          <w:p w14:paraId="11F4B68B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color w:val="000000"/>
                <w:sz w:val="21"/>
              </w:rPr>
              <w:t>知识产权(标准)</w:t>
            </w:r>
          </w:p>
          <w:p w14:paraId="1E08B311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color w:val="000000"/>
                <w:sz w:val="21"/>
              </w:rPr>
              <w:t>具体名称</w:t>
            </w:r>
          </w:p>
        </w:tc>
        <w:tc>
          <w:tcPr>
            <w:tcW w:w="983" w:type="dxa"/>
            <w:vAlign w:val="center"/>
          </w:tcPr>
          <w:p w14:paraId="6E0A641B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color w:val="000000"/>
                <w:sz w:val="21"/>
              </w:rPr>
              <w:t>国家</w:t>
            </w:r>
          </w:p>
          <w:p w14:paraId="5C5F2B7E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color w:val="000000"/>
                <w:sz w:val="21"/>
              </w:rPr>
              <w:t>(地区)</w:t>
            </w:r>
          </w:p>
        </w:tc>
        <w:tc>
          <w:tcPr>
            <w:tcW w:w="983" w:type="dxa"/>
            <w:vAlign w:val="center"/>
          </w:tcPr>
          <w:p w14:paraId="2B93EFEB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b/>
                <w:bCs/>
                <w:color w:val="000000"/>
                <w:sz w:val="21"/>
              </w:rPr>
              <w:t>授权号</w:t>
            </w:r>
          </w:p>
          <w:p w14:paraId="4A4CC633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color w:val="000000"/>
                <w:sz w:val="21"/>
              </w:rPr>
              <w:t>(标准编号)</w:t>
            </w:r>
          </w:p>
        </w:tc>
        <w:tc>
          <w:tcPr>
            <w:tcW w:w="983" w:type="dxa"/>
            <w:vAlign w:val="center"/>
          </w:tcPr>
          <w:p w14:paraId="48F054D6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b/>
                <w:bCs/>
                <w:color w:val="000000"/>
                <w:sz w:val="21"/>
              </w:rPr>
              <w:t>授权</w:t>
            </w:r>
            <w:r>
              <w:rPr>
                <w:rFonts w:hint="eastAsia" w:ascii="Times New Roman"/>
                <w:color w:val="000000"/>
                <w:sz w:val="21"/>
              </w:rPr>
              <w:t>(标准发布)日期</w:t>
            </w:r>
          </w:p>
        </w:tc>
        <w:tc>
          <w:tcPr>
            <w:tcW w:w="983" w:type="dxa"/>
            <w:vAlign w:val="center"/>
          </w:tcPr>
          <w:p w14:paraId="77102CD0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color w:val="000000"/>
                <w:sz w:val="21"/>
              </w:rPr>
              <w:t>证书编号</w:t>
            </w:r>
            <w:r>
              <w:rPr>
                <w:rFonts w:ascii="Times New Roman"/>
                <w:color w:val="000000"/>
                <w:sz w:val="21"/>
              </w:rPr>
              <w:br w:type="textWrapping"/>
            </w:r>
            <w:r>
              <w:rPr>
                <w:rFonts w:hint="eastAsia" w:ascii="Times New Roman"/>
                <w:color w:val="000000"/>
                <w:sz w:val="21"/>
              </w:rPr>
              <w:t>(标准批准发布部门)</w:t>
            </w:r>
          </w:p>
        </w:tc>
        <w:tc>
          <w:tcPr>
            <w:tcW w:w="983" w:type="dxa"/>
            <w:vAlign w:val="center"/>
          </w:tcPr>
          <w:p w14:paraId="0F287E4A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color w:val="000000"/>
                <w:sz w:val="21"/>
              </w:rPr>
              <w:t>权利人(标准起草单位)</w:t>
            </w:r>
          </w:p>
        </w:tc>
        <w:tc>
          <w:tcPr>
            <w:tcW w:w="983" w:type="dxa"/>
            <w:vAlign w:val="center"/>
          </w:tcPr>
          <w:p w14:paraId="5454B8F2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color w:val="000000"/>
                <w:sz w:val="21"/>
              </w:rPr>
              <w:t>发明人(标准起草人)</w:t>
            </w:r>
          </w:p>
        </w:tc>
        <w:tc>
          <w:tcPr>
            <w:tcW w:w="986" w:type="dxa"/>
            <w:vAlign w:val="center"/>
          </w:tcPr>
          <w:p w14:paraId="01147CA8">
            <w:pPr>
              <w:pStyle w:val="4"/>
              <w:adjustRightInd w:val="0"/>
              <w:snapToGrid w:val="0"/>
              <w:spacing w:line="320" w:lineRule="exact"/>
              <w:ind w:firstLine="0" w:firstLineChars="0"/>
              <w:jc w:val="center"/>
              <w:textAlignment w:val="center"/>
              <w:rPr>
                <w:rFonts w:ascii="Times New Roman"/>
                <w:color w:val="000000"/>
                <w:sz w:val="21"/>
              </w:rPr>
            </w:pPr>
            <w:r>
              <w:rPr>
                <w:rFonts w:hint="eastAsia" w:ascii="Times New Roman"/>
                <w:color w:val="000000"/>
                <w:sz w:val="21"/>
              </w:rPr>
              <w:t>发明专利(标准)有效状态</w:t>
            </w:r>
          </w:p>
        </w:tc>
      </w:tr>
      <w:tr w14:paraId="50B214D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983" w:type="dxa"/>
            <w:vAlign w:val="center"/>
          </w:tcPr>
          <w:p w14:paraId="5092BE07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发明专利</w:t>
            </w:r>
          </w:p>
        </w:tc>
        <w:tc>
          <w:tcPr>
            <w:tcW w:w="983" w:type="dxa"/>
            <w:vAlign w:val="center"/>
          </w:tcPr>
          <w:p w14:paraId="2890ED35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" w:hAnsi="Times"/>
                <w:snapToGrid w:val="0"/>
                <w:kern w:val="0"/>
                <w:sz w:val="21"/>
                <w:szCs w:val="21"/>
              </w:rPr>
              <w:t>一种表格数据重构方法及装置、问答方法</w:t>
            </w:r>
          </w:p>
        </w:tc>
        <w:tc>
          <w:tcPr>
            <w:tcW w:w="983" w:type="dxa"/>
            <w:vAlign w:val="center"/>
          </w:tcPr>
          <w:p w14:paraId="5AE8DBD9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中国</w:t>
            </w:r>
          </w:p>
        </w:tc>
        <w:tc>
          <w:tcPr>
            <w:tcW w:w="983" w:type="dxa"/>
            <w:vAlign w:val="center"/>
          </w:tcPr>
          <w:p w14:paraId="32470C9E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ZL 2024 1 0490193.7</w:t>
            </w:r>
          </w:p>
        </w:tc>
        <w:tc>
          <w:tcPr>
            <w:tcW w:w="983" w:type="dxa"/>
            <w:vAlign w:val="center"/>
          </w:tcPr>
          <w:p w14:paraId="6ABBDBBE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2024年</w:t>
            </w:r>
            <w:r>
              <w:rPr>
                <w:rFonts w:hint="eastAsia" w:ascii="Times" w:hAnsi="Times"/>
                <w:snapToGrid w:val="0"/>
                <w:sz w:val="21"/>
                <w:szCs w:val="21"/>
              </w:rPr>
              <w:t>7</w:t>
            </w:r>
            <w:r>
              <w:rPr>
                <w:rFonts w:ascii="Times" w:hAnsi="Times"/>
                <w:snapToGrid w:val="0"/>
                <w:sz w:val="21"/>
                <w:szCs w:val="21"/>
              </w:rPr>
              <w:t>月30日</w:t>
            </w:r>
          </w:p>
        </w:tc>
        <w:tc>
          <w:tcPr>
            <w:tcW w:w="983" w:type="dxa"/>
            <w:vAlign w:val="center"/>
          </w:tcPr>
          <w:p w14:paraId="43E9F9C4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7242628</w:t>
            </w:r>
          </w:p>
        </w:tc>
        <w:tc>
          <w:tcPr>
            <w:tcW w:w="983" w:type="dxa"/>
            <w:vAlign w:val="center"/>
          </w:tcPr>
          <w:p w14:paraId="021FA3B5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浙江大学</w:t>
            </w:r>
          </w:p>
        </w:tc>
        <w:tc>
          <w:tcPr>
            <w:tcW w:w="983" w:type="dxa"/>
            <w:vAlign w:val="center"/>
          </w:tcPr>
          <w:p w14:paraId="12D7FF85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" w:hAnsi="Times"/>
                <w:snapToGrid w:val="0"/>
                <w:kern w:val="0"/>
                <w:sz w:val="21"/>
                <w:szCs w:val="21"/>
              </w:rPr>
              <w:t>陈刚</w:t>
            </w: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；</w:t>
            </w:r>
            <w:r>
              <w:rPr>
                <w:rFonts w:hint="eastAsia" w:ascii="Times" w:hAnsi="Times"/>
                <w:snapToGrid w:val="0"/>
                <w:kern w:val="0"/>
                <w:sz w:val="21"/>
                <w:szCs w:val="21"/>
              </w:rPr>
              <w:t>赵俊博</w:t>
            </w: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；</w:t>
            </w:r>
            <w:r>
              <w:rPr>
                <w:rFonts w:hint="eastAsia" w:ascii="Times" w:hAnsi="Times"/>
                <w:snapToGrid w:val="0"/>
                <w:kern w:val="0"/>
                <w:sz w:val="21"/>
                <w:szCs w:val="21"/>
              </w:rPr>
              <w:t>伍赛</w:t>
            </w: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；</w:t>
            </w:r>
            <w:r>
              <w:rPr>
                <w:rFonts w:hint="eastAsia" w:ascii="Times" w:hAnsi="Times"/>
                <w:snapToGrid w:val="0"/>
                <w:kern w:val="0"/>
                <w:sz w:val="21"/>
                <w:szCs w:val="21"/>
              </w:rPr>
              <w:t>王皓波</w:t>
            </w: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；</w:t>
            </w:r>
            <w:r>
              <w:rPr>
                <w:rFonts w:hint="eastAsia" w:ascii="Times" w:hAnsi="Times"/>
                <w:snapToGrid w:val="0"/>
                <w:kern w:val="0"/>
                <w:sz w:val="21"/>
                <w:szCs w:val="21"/>
              </w:rPr>
              <w:t>张东祥</w:t>
            </w: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；</w:t>
            </w:r>
            <w:r>
              <w:rPr>
                <w:rFonts w:hint="eastAsia" w:ascii="Times" w:hAnsi="Times"/>
                <w:snapToGrid w:val="0"/>
                <w:kern w:val="0"/>
                <w:sz w:val="21"/>
                <w:szCs w:val="21"/>
              </w:rPr>
              <w:t>胡天磊</w:t>
            </w:r>
          </w:p>
        </w:tc>
        <w:tc>
          <w:tcPr>
            <w:tcW w:w="986" w:type="dxa"/>
            <w:vAlign w:val="center"/>
          </w:tcPr>
          <w:p w14:paraId="03723D9B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有效</w:t>
            </w:r>
          </w:p>
        </w:tc>
      </w:tr>
      <w:tr w14:paraId="01FC8AA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983" w:type="dxa"/>
            <w:vAlign w:val="center"/>
          </w:tcPr>
          <w:p w14:paraId="1E2B1396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发明专利</w:t>
            </w:r>
          </w:p>
        </w:tc>
        <w:tc>
          <w:tcPr>
            <w:tcW w:w="983" w:type="dxa"/>
            <w:vAlign w:val="center"/>
          </w:tcPr>
          <w:p w14:paraId="678E488E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一种支持动态更新的在线属性异常点检测方法</w:t>
            </w:r>
          </w:p>
        </w:tc>
        <w:tc>
          <w:tcPr>
            <w:tcW w:w="983" w:type="dxa"/>
            <w:vAlign w:val="center"/>
          </w:tcPr>
          <w:p w14:paraId="16FC3125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中国</w:t>
            </w:r>
          </w:p>
        </w:tc>
        <w:tc>
          <w:tcPr>
            <w:tcW w:w="983" w:type="dxa"/>
            <w:vAlign w:val="center"/>
          </w:tcPr>
          <w:p w14:paraId="77ABF4B7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ZL201010237922.6</w:t>
            </w:r>
          </w:p>
        </w:tc>
        <w:tc>
          <w:tcPr>
            <w:tcW w:w="983" w:type="dxa"/>
            <w:vAlign w:val="center"/>
          </w:tcPr>
          <w:p w14:paraId="39091E27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2012年05月23日</w:t>
            </w:r>
          </w:p>
        </w:tc>
        <w:tc>
          <w:tcPr>
            <w:tcW w:w="983" w:type="dxa"/>
            <w:vAlign w:val="center"/>
          </w:tcPr>
          <w:p w14:paraId="235573F8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949210</w:t>
            </w:r>
          </w:p>
        </w:tc>
        <w:tc>
          <w:tcPr>
            <w:tcW w:w="983" w:type="dxa"/>
            <w:vAlign w:val="center"/>
          </w:tcPr>
          <w:p w14:paraId="4D4357B1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浙江大学</w:t>
            </w:r>
          </w:p>
        </w:tc>
        <w:tc>
          <w:tcPr>
            <w:tcW w:w="983" w:type="dxa"/>
            <w:vAlign w:val="center"/>
          </w:tcPr>
          <w:p w14:paraId="7FA3DDF3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陈刚；寿黎但；胡天磊；陈珂；曹晖</w:t>
            </w:r>
          </w:p>
        </w:tc>
        <w:tc>
          <w:tcPr>
            <w:tcW w:w="986" w:type="dxa"/>
            <w:vAlign w:val="center"/>
          </w:tcPr>
          <w:p w14:paraId="1369DBB2">
            <w:pPr>
              <w:pStyle w:val="21"/>
              <w:spacing w:before="8"/>
              <w:ind w:left="0"/>
              <w:jc w:val="center"/>
              <w:rPr>
                <w:rFonts w:ascii="Times" w:hAnsi="Times"/>
                <w:snapToGrid w:val="0"/>
                <w:sz w:val="21"/>
                <w:szCs w:val="21"/>
                <w:lang w:eastAsia="zh-CN"/>
              </w:rPr>
            </w:pPr>
          </w:p>
          <w:p w14:paraId="5053EE47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有效</w:t>
            </w:r>
          </w:p>
        </w:tc>
      </w:tr>
      <w:tr w14:paraId="4A80145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983" w:type="dxa"/>
            <w:vAlign w:val="center"/>
          </w:tcPr>
          <w:p w14:paraId="67DF5776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发明专利</w:t>
            </w:r>
          </w:p>
        </w:tc>
        <w:tc>
          <w:tcPr>
            <w:tcW w:w="983" w:type="dxa"/>
            <w:vAlign w:val="center"/>
          </w:tcPr>
          <w:p w14:paraId="5DC17BEE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一种基于时间窗口可移动的动态数据快速处理方法</w:t>
            </w:r>
          </w:p>
        </w:tc>
        <w:tc>
          <w:tcPr>
            <w:tcW w:w="983" w:type="dxa"/>
            <w:vAlign w:val="center"/>
          </w:tcPr>
          <w:p w14:paraId="14D7C547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中国</w:t>
            </w:r>
          </w:p>
        </w:tc>
        <w:tc>
          <w:tcPr>
            <w:tcW w:w="983" w:type="dxa"/>
            <w:vAlign w:val="center"/>
          </w:tcPr>
          <w:p w14:paraId="00521220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ZL201510082930.0</w:t>
            </w:r>
          </w:p>
        </w:tc>
        <w:tc>
          <w:tcPr>
            <w:tcW w:w="983" w:type="dxa"/>
            <w:vAlign w:val="center"/>
          </w:tcPr>
          <w:p w14:paraId="30A9D8AB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2017年10月24日</w:t>
            </w:r>
          </w:p>
        </w:tc>
        <w:tc>
          <w:tcPr>
            <w:tcW w:w="983" w:type="dxa"/>
            <w:vAlign w:val="center"/>
          </w:tcPr>
          <w:p w14:paraId="5B9C8F27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2665852</w:t>
            </w:r>
          </w:p>
        </w:tc>
        <w:tc>
          <w:tcPr>
            <w:tcW w:w="983" w:type="dxa"/>
            <w:vAlign w:val="center"/>
          </w:tcPr>
          <w:p w14:paraId="497F0A1E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浙江邦盛科技有限公司</w:t>
            </w:r>
          </w:p>
        </w:tc>
        <w:tc>
          <w:tcPr>
            <w:tcW w:w="983" w:type="dxa"/>
            <w:vAlign w:val="center"/>
          </w:tcPr>
          <w:p w14:paraId="026CB9B7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王新根；黄滔；胡时豪</w:t>
            </w:r>
          </w:p>
        </w:tc>
        <w:tc>
          <w:tcPr>
            <w:tcW w:w="986" w:type="dxa"/>
            <w:vAlign w:val="center"/>
          </w:tcPr>
          <w:p w14:paraId="404B04AD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有效</w:t>
            </w:r>
          </w:p>
        </w:tc>
      </w:tr>
      <w:tr w14:paraId="20C7C5C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983" w:type="dxa"/>
            <w:vAlign w:val="center"/>
          </w:tcPr>
          <w:p w14:paraId="34663B04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发明专利</w:t>
            </w:r>
          </w:p>
        </w:tc>
        <w:tc>
          <w:tcPr>
            <w:tcW w:w="983" w:type="dxa"/>
            <w:vAlign w:val="center"/>
          </w:tcPr>
          <w:p w14:paraId="409D2A3B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一种大数据方差标准差的分布式或增量计算方法</w:t>
            </w:r>
          </w:p>
        </w:tc>
        <w:tc>
          <w:tcPr>
            <w:tcW w:w="983" w:type="dxa"/>
            <w:vAlign w:val="center"/>
          </w:tcPr>
          <w:p w14:paraId="23129BB9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中国</w:t>
            </w:r>
          </w:p>
        </w:tc>
        <w:tc>
          <w:tcPr>
            <w:tcW w:w="983" w:type="dxa"/>
            <w:vAlign w:val="center"/>
          </w:tcPr>
          <w:p w14:paraId="275A4DC3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ZL201510083970.7</w:t>
            </w:r>
          </w:p>
        </w:tc>
        <w:tc>
          <w:tcPr>
            <w:tcW w:w="983" w:type="dxa"/>
            <w:vAlign w:val="center"/>
          </w:tcPr>
          <w:p w14:paraId="7E3CE193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2017年07月14日</w:t>
            </w:r>
          </w:p>
        </w:tc>
        <w:tc>
          <w:tcPr>
            <w:tcW w:w="983" w:type="dxa"/>
            <w:vAlign w:val="center"/>
          </w:tcPr>
          <w:p w14:paraId="2DDAB75E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2553515</w:t>
            </w:r>
          </w:p>
        </w:tc>
        <w:tc>
          <w:tcPr>
            <w:tcW w:w="983" w:type="dxa"/>
            <w:vAlign w:val="center"/>
          </w:tcPr>
          <w:p w14:paraId="3B0CBE21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浙江邦盛科技有限公司</w:t>
            </w:r>
          </w:p>
        </w:tc>
        <w:tc>
          <w:tcPr>
            <w:tcW w:w="983" w:type="dxa"/>
            <w:vAlign w:val="center"/>
          </w:tcPr>
          <w:p w14:paraId="0D530E66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王新根；黄滔；胡时豪</w:t>
            </w:r>
          </w:p>
        </w:tc>
        <w:tc>
          <w:tcPr>
            <w:tcW w:w="986" w:type="dxa"/>
            <w:vAlign w:val="center"/>
          </w:tcPr>
          <w:p w14:paraId="704D2221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有效</w:t>
            </w:r>
          </w:p>
        </w:tc>
      </w:tr>
      <w:tr w14:paraId="3A7AB07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983" w:type="dxa"/>
            <w:vAlign w:val="center"/>
          </w:tcPr>
          <w:p w14:paraId="503C2AF2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发明专利</w:t>
            </w:r>
          </w:p>
        </w:tc>
        <w:tc>
          <w:tcPr>
            <w:tcW w:w="983" w:type="dxa"/>
          </w:tcPr>
          <w:p w14:paraId="55CDBE01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一种基于数据湖的查询方法和装置</w:t>
            </w:r>
          </w:p>
        </w:tc>
        <w:tc>
          <w:tcPr>
            <w:tcW w:w="983" w:type="dxa"/>
          </w:tcPr>
          <w:p w14:paraId="7AA645D1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中国</w:t>
            </w:r>
          </w:p>
        </w:tc>
        <w:tc>
          <w:tcPr>
            <w:tcW w:w="983" w:type="dxa"/>
          </w:tcPr>
          <w:p w14:paraId="7651E734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 New Roman"/>
                <w:color w:val="000000"/>
                <w:sz w:val="21"/>
                <w:szCs w:val="21"/>
              </w:rPr>
              <w:t>2024106501214</w:t>
            </w:r>
          </w:p>
        </w:tc>
        <w:tc>
          <w:tcPr>
            <w:tcW w:w="983" w:type="dxa"/>
          </w:tcPr>
          <w:p w14:paraId="157C6958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 New Roman"/>
                <w:color w:val="000000"/>
                <w:sz w:val="21"/>
                <w:szCs w:val="21"/>
              </w:rPr>
              <w:t>2024.8.13</w:t>
            </w:r>
          </w:p>
        </w:tc>
        <w:tc>
          <w:tcPr>
            <w:tcW w:w="983" w:type="dxa"/>
          </w:tcPr>
          <w:p w14:paraId="684B2CD9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" w:hAnsi="Times"/>
                <w:snapToGrid w:val="0"/>
                <w:sz w:val="21"/>
                <w:szCs w:val="21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7288080</w:t>
            </w:r>
          </w:p>
        </w:tc>
        <w:tc>
          <w:tcPr>
            <w:tcW w:w="983" w:type="dxa"/>
          </w:tcPr>
          <w:p w14:paraId="4128C16A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浙江大学</w:t>
            </w:r>
          </w:p>
        </w:tc>
        <w:tc>
          <w:tcPr>
            <w:tcW w:w="983" w:type="dxa"/>
          </w:tcPr>
          <w:p w14:paraId="09C80ADF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陈刚;陈纯;伍赛;赵俊博;张东祥;唐秀;宋明黎;高云君</w:t>
            </w:r>
          </w:p>
        </w:tc>
        <w:tc>
          <w:tcPr>
            <w:tcW w:w="986" w:type="dxa"/>
          </w:tcPr>
          <w:p w14:paraId="3E9078C8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有效</w:t>
            </w:r>
          </w:p>
        </w:tc>
      </w:tr>
      <w:tr w14:paraId="271B6FC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atLeast"/>
        </w:trPr>
        <w:tc>
          <w:tcPr>
            <w:tcW w:w="983" w:type="dxa"/>
            <w:vAlign w:val="center"/>
          </w:tcPr>
          <w:p w14:paraId="0BCB2D73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发明专利</w:t>
            </w:r>
          </w:p>
        </w:tc>
        <w:tc>
          <w:tcPr>
            <w:tcW w:w="983" w:type="dxa"/>
            <w:vAlign w:val="center"/>
          </w:tcPr>
          <w:p w14:paraId="1E7FBD11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一种基于欧氏距离的高维数据准确近</w:t>
            </w:r>
            <w:r>
              <w:rPr>
                <w:rFonts w:hint="eastAsia" w:ascii="Times" w:hAnsi="Times"/>
                <w:snapToGrid w:val="0"/>
                <w:kern w:val="0"/>
                <w:sz w:val="21"/>
                <w:szCs w:val="21"/>
              </w:rPr>
              <w:t>邻快速检索方法</w:t>
            </w:r>
          </w:p>
        </w:tc>
        <w:tc>
          <w:tcPr>
            <w:tcW w:w="983" w:type="dxa"/>
            <w:vAlign w:val="center"/>
          </w:tcPr>
          <w:p w14:paraId="76CD368A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中国</w:t>
            </w:r>
          </w:p>
        </w:tc>
        <w:tc>
          <w:tcPr>
            <w:tcW w:w="983" w:type="dxa"/>
            <w:vAlign w:val="center"/>
          </w:tcPr>
          <w:p w14:paraId="3050177A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  <w:sz w:val="21"/>
                <w:szCs w:val="21"/>
              </w:rPr>
            </w:pPr>
            <w:r>
              <w:rPr>
                <w:rFonts w:ascii="Times New Roman"/>
                <w:color w:val="000000"/>
                <w:sz w:val="21"/>
                <w:szCs w:val="21"/>
              </w:rPr>
              <w:t>ZL201310226758.2</w:t>
            </w:r>
          </w:p>
        </w:tc>
        <w:tc>
          <w:tcPr>
            <w:tcW w:w="983" w:type="dxa"/>
            <w:vAlign w:val="center"/>
          </w:tcPr>
          <w:p w14:paraId="6ECBA4B1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201</w:t>
            </w:r>
            <w:r>
              <w:rPr>
                <w:rFonts w:hint="eastAsia" w:ascii="Times" w:hAnsi="Times"/>
                <w:snapToGrid w:val="0"/>
                <w:sz w:val="21"/>
                <w:szCs w:val="21"/>
              </w:rPr>
              <w:t>6</w:t>
            </w:r>
            <w:r>
              <w:rPr>
                <w:rFonts w:ascii="Times" w:hAnsi="Times"/>
                <w:snapToGrid w:val="0"/>
                <w:sz w:val="21"/>
                <w:szCs w:val="21"/>
              </w:rPr>
              <w:t>年0</w:t>
            </w:r>
            <w:r>
              <w:rPr>
                <w:rFonts w:hint="eastAsia" w:ascii="Times" w:hAnsi="Times"/>
                <w:snapToGrid w:val="0"/>
                <w:sz w:val="21"/>
                <w:szCs w:val="21"/>
              </w:rPr>
              <w:t>6</w:t>
            </w:r>
            <w:r>
              <w:rPr>
                <w:rFonts w:ascii="Times" w:hAnsi="Times"/>
                <w:snapToGrid w:val="0"/>
                <w:sz w:val="21"/>
                <w:szCs w:val="21"/>
              </w:rPr>
              <w:t>月</w:t>
            </w:r>
            <w:r>
              <w:rPr>
                <w:rFonts w:hint="eastAsia" w:ascii="Times" w:hAnsi="Times"/>
                <w:snapToGrid w:val="0"/>
                <w:sz w:val="21"/>
                <w:szCs w:val="21"/>
              </w:rPr>
              <w:t>29</w:t>
            </w:r>
            <w:r>
              <w:rPr>
                <w:rFonts w:ascii="Times" w:hAnsi="Times"/>
                <w:snapToGrid w:val="0"/>
                <w:sz w:val="21"/>
                <w:szCs w:val="21"/>
              </w:rPr>
              <w:t>日</w:t>
            </w:r>
          </w:p>
        </w:tc>
        <w:tc>
          <w:tcPr>
            <w:tcW w:w="983" w:type="dxa"/>
            <w:vAlign w:val="center"/>
          </w:tcPr>
          <w:p w14:paraId="2F27814A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" w:hAnsi="Times"/>
                <w:snapToGrid w:val="0"/>
                <w:sz w:val="21"/>
                <w:szCs w:val="21"/>
              </w:rPr>
              <w:t>2130486</w:t>
            </w:r>
          </w:p>
        </w:tc>
        <w:tc>
          <w:tcPr>
            <w:tcW w:w="983" w:type="dxa"/>
            <w:vAlign w:val="center"/>
          </w:tcPr>
          <w:p w14:paraId="42FD4EEC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浙江大学</w:t>
            </w:r>
          </w:p>
        </w:tc>
        <w:tc>
          <w:tcPr>
            <w:tcW w:w="983" w:type="dxa"/>
            <w:vAlign w:val="center"/>
          </w:tcPr>
          <w:p w14:paraId="61B23F44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  <w:sz w:val="21"/>
                <w:szCs w:val="21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陈纯;王灿;卜佳俊;朱林;徐斌;吴晓凡;汪识翰</w:t>
            </w:r>
          </w:p>
        </w:tc>
        <w:tc>
          <w:tcPr>
            <w:tcW w:w="986" w:type="dxa"/>
            <w:vAlign w:val="center"/>
          </w:tcPr>
          <w:p w14:paraId="03C31FE3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有效</w:t>
            </w:r>
          </w:p>
        </w:tc>
      </w:tr>
      <w:tr w14:paraId="545BDDB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983" w:type="dxa"/>
            <w:vAlign w:val="center"/>
          </w:tcPr>
          <w:p w14:paraId="56D25F9F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发明专利</w:t>
            </w:r>
          </w:p>
        </w:tc>
        <w:tc>
          <w:tcPr>
            <w:tcW w:w="983" w:type="dxa"/>
          </w:tcPr>
          <w:p w14:paraId="0F00ED19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Structure and method of aggregation index for improving aggregation query efficiency</w:t>
            </w:r>
          </w:p>
        </w:tc>
        <w:tc>
          <w:tcPr>
            <w:tcW w:w="983" w:type="dxa"/>
          </w:tcPr>
          <w:p w14:paraId="59D155AC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美国</w:t>
            </w:r>
          </w:p>
        </w:tc>
        <w:tc>
          <w:tcPr>
            <w:tcW w:w="983" w:type="dxa"/>
          </w:tcPr>
          <w:p w14:paraId="0A13FEE2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US11928113B2</w:t>
            </w:r>
          </w:p>
        </w:tc>
        <w:tc>
          <w:tcPr>
            <w:tcW w:w="983" w:type="dxa"/>
          </w:tcPr>
          <w:p w14:paraId="1DBDDDE5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 New Roman"/>
                <w:color w:val="000000"/>
                <w:sz w:val="21"/>
                <w:szCs w:val="21"/>
              </w:rPr>
              <w:t>2022-11-03</w:t>
            </w:r>
          </w:p>
        </w:tc>
        <w:tc>
          <w:tcPr>
            <w:tcW w:w="983" w:type="dxa"/>
          </w:tcPr>
          <w:p w14:paraId="1470A664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US11928113B2</w:t>
            </w:r>
          </w:p>
        </w:tc>
        <w:tc>
          <w:tcPr>
            <w:tcW w:w="983" w:type="dxa"/>
          </w:tcPr>
          <w:p w14:paraId="6D5F6623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浙江邦盛科技股份有限公司</w:t>
            </w:r>
          </w:p>
        </w:tc>
        <w:tc>
          <w:tcPr>
            <w:tcW w:w="983" w:type="dxa"/>
          </w:tcPr>
          <w:p w14:paraId="67EEEC16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王新根，王新宇，金路，陈伟，高杨，鲁萍，黄滔</w:t>
            </w:r>
          </w:p>
        </w:tc>
        <w:tc>
          <w:tcPr>
            <w:tcW w:w="986" w:type="dxa"/>
          </w:tcPr>
          <w:p w14:paraId="0EEE087C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有效</w:t>
            </w:r>
          </w:p>
        </w:tc>
      </w:tr>
      <w:tr w14:paraId="4784B42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983" w:type="dxa"/>
            <w:vAlign w:val="center"/>
          </w:tcPr>
          <w:p w14:paraId="5D5052AB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发明专利</w:t>
            </w:r>
          </w:p>
        </w:tc>
        <w:tc>
          <w:tcPr>
            <w:tcW w:w="983" w:type="dxa"/>
          </w:tcPr>
          <w:p w14:paraId="2B09F648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时序中间态聚合图构建与查询方法、装置、设备及介质</w:t>
            </w:r>
          </w:p>
        </w:tc>
        <w:tc>
          <w:tcPr>
            <w:tcW w:w="983" w:type="dxa"/>
          </w:tcPr>
          <w:p w14:paraId="7F218706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中国</w:t>
            </w:r>
          </w:p>
        </w:tc>
        <w:tc>
          <w:tcPr>
            <w:tcW w:w="983" w:type="dxa"/>
          </w:tcPr>
          <w:p w14:paraId="7B9D7E60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 New Roman"/>
                <w:color w:val="000000"/>
                <w:sz w:val="21"/>
                <w:szCs w:val="21"/>
              </w:rPr>
              <w:t>2024106760280</w:t>
            </w:r>
          </w:p>
        </w:tc>
        <w:tc>
          <w:tcPr>
            <w:tcW w:w="983" w:type="dxa"/>
          </w:tcPr>
          <w:p w14:paraId="456A9A5D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2024.8.20</w:t>
            </w:r>
          </w:p>
        </w:tc>
        <w:tc>
          <w:tcPr>
            <w:tcW w:w="983" w:type="dxa"/>
          </w:tcPr>
          <w:p w14:paraId="24C53DF7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  <w:sz w:val="21"/>
                <w:szCs w:val="21"/>
              </w:rPr>
            </w:pPr>
            <w:r>
              <w:rPr>
                <w:rFonts w:ascii="Times New Roman"/>
                <w:color w:val="000000"/>
                <w:sz w:val="21"/>
                <w:szCs w:val="21"/>
              </w:rPr>
              <w:t>7299075</w:t>
            </w:r>
          </w:p>
        </w:tc>
        <w:tc>
          <w:tcPr>
            <w:tcW w:w="983" w:type="dxa"/>
          </w:tcPr>
          <w:p w14:paraId="6F93EF06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浙江邦盛科技股份有限公司</w:t>
            </w:r>
          </w:p>
        </w:tc>
        <w:tc>
          <w:tcPr>
            <w:tcW w:w="983" w:type="dxa"/>
          </w:tcPr>
          <w:p w14:paraId="14A21F30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陈刚;王新宇;王新根;宋明黎;王刚;鲁萍;黄滔</w:t>
            </w:r>
          </w:p>
        </w:tc>
        <w:tc>
          <w:tcPr>
            <w:tcW w:w="986" w:type="dxa"/>
          </w:tcPr>
          <w:p w14:paraId="04BEB855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有效</w:t>
            </w:r>
          </w:p>
        </w:tc>
      </w:tr>
      <w:tr w14:paraId="17A588D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983" w:type="dxa"/>
            <w:vAlign w:val="center"/>
          </w:tcPr>
          <w:p w14:paraId="79CD5B61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发明专利</w:t>
            </w:r>
          </w:p>
        </w:tc>
        <w:tc>
          <w:tcPr>
            <w:tcW w:w="983" w:type="dxa"/>
          </w:tcPr>
          <w:p w14:paraId="1B8DC662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一种动态中间态聚合图计算方法、装置、设备及存储介质</w:t>
            </w:r>
          </w:p>
        </w:tc>
        <w:tc>
          <w:tcPr>
            <w:tcW w:w="983" w:type="dxa"/>
          </w:tcPr>
          <w:p w14:paraId="5BD3B7CA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中国</w:t>
            </w:r>
          </w:p>
        </w:tc>
        <w:tc>
          <w:tcPr>
            <w:tcW w:w="983" w:type="dxa"/>
          </w:tcPr>
          <w:p w14:paraId="2776EC79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 New Roman"/>
                <w:color w:val="000000"/>
                <w:sz w:val="21"/>
                <w:szCs w:val="21"/>
              </w:rPr>
              <w:t>2024106502221</w:t>
            </w:r>
          </w:p>
        </w:tc>
        <w:tc>
          <w:tcPr>
            <w:tcW w:w="983" w:type="dxa"/>
          </w:tcPr>
          <w:p w14:paraId="05A7B274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 New Roman"/>
                <w:color w:val="000000"/>
                <w:sz w:val="21"/>
                <w:szCs w:val="21"/>
              </w:rPr>
              <w:t>2024.8.13</w:t>
            </w:r>
          </w:p>
        </w:tc>
        <w:tc>
          <w:tcPr>
            <w:tcW w:w="983" w:type="dxa"/>
          </w:tcPr>
          <w:p w14:paraId="36A94621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  <w:sz w:val="21"/>
                <w:szCs w:val="21"/>
              </w:rPr>
            </w:pPr>
            <w:r>
              <w:rPr>
                <w:rFonts w:ascii="Times New Roman"/>
                <w:color w:val="000000"/>
                <w:sz w:val="21"/>
                <w:szCs w:val="21"/>
              </w:rPr>
              <w:t>7279745</w:t>
            </w:r>
          </w:p>
        </w:tc>
        <w:tc>
          <w:tcPr>
            <w:tcW w:w="983" w:type="dxa"/>
          </w:tcPr>
          <w:p w14:paraId="719C5561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浙江邦盛科技股份有限公司</w:t>
            </w:r>
          </w:p>
        </w:tc>
        <w:tc>
          <w:tcPr>
            <w:tcW w:w="983" w:type="dxa"/>
          </w:tcPr>
          <w:p w14:paraId="4DB5DB0F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hint="eastAsia" w:ascii="Times New Roman"/>
                <w:color w:val="000000"/>
                <w:sz w:val="21"/>
                <w:szCs w:val="21"/>
              </w:rPr>
              <w:t>陈刚;王新根;王新宇;王刚;宋明黎;伍赛</w:t>
            </w:r>
          </w:p>
        </w:tc>
        <w:tc>
          <w:tcPr>
            <w:tcW w:w="986" w:type="dxa"/>
          </w:tcPr>
          <w:p w14:paraId="7E6037AD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有效</w:t>
            </w:r>
          </w:p>
        </w:tc>
      </w:tr>
      <w:tr w14:paraId="7282A1E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atLeast"/>
        </w:trPr>
        <w:tc>
          <w:tcPr>
            <w:tcW w:w="983" w:type="dxa"/>
            <w:vAlign w:val="center"/>
          </w:tcPr>
          <w:p w14:paraId="4B636134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发明专利</w:t>
            </w:r>
          </w:p>
        </w:tc>
        <w:tc>
          <w:tcPr>
            <w:tcW w:w="983" w:type="dxa"/>
          </w:tcPr>
          <w:p w14:paraId="5C37F333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" w:hAnsi="Times"/>
                <w:snapToGrid w:val="0"/>
                <w:kern w:val="0"/>
                <w:sz w:val="21"/>
                <w:szCs w:val="21"/>
              </w:rPr>
            </w:pPr>
            <w:r>
              <w:rPr>
                <w:rFonts w:hint="eastAsia" w:ascii="Times" w:hAnsi="Times"/>
                <w:snapToGrid w:val="0"/>
                <w:kern w:val="0"/>
                <w:sz w:val="21"/>
                <w:szCs w:val="21"/>
              </w:rPr>
              <w:t>确定SQL语句对关键业务的性能的影响的方法、系统和设备</w:t>
            </w:r>
          </w:p>
        </w:tc>
        <w:tc>
          <w:tcPr>
            <w:tcW w:w="983" w:type="dxa"/>
            <w:vAlign w:val="center"/>
          </w:tcPr>
          <w:p w14:paraId="60A26FAE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 New Roman"/>
                <w:color w:val="000000"/>
              </w:rPr>
            </w:pPr>
            <w:r>
              <w:rPr>
                <w:rFonts w:ascii="Times" w:hAnsi="Times"/>
                <w:snapToGrid w:val="0"/>
                <w:kern w:val="0"/>
                <w:sz w:val="21"/>
                <w:szCs w:val="21"/>
              </w:rPr>
              <w:t>中国</w:t>
            </w:r>
          </w:p>
        </w:tc>
        <w:tc>
          <w:tcPr>
            <w:tcW w:w="983" w:type="dxa"/>
            <w:vAlign w:val="center"/>
          </w:tcPr>
          <w:p w14:paraId="239271EF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center"/>
              <w:rPr>
                <w:rFonts w:ascii="Times" w:hAnsi="Times"/>
                <w:snapToGrid w:val="0"/>
                <w:sz w:val="21"/>
                <w:szCs w:val="21"/>
              </w:rPr>
            </w:pPr>
            <w:r>
              <w:rPr>
                <w:rFonts w:ascii="Times" w:hAnsi="Times"/>
                <w:snapToGrid w:val="0"/>
                <w:sz w:val="21"/>
                <w:szCs w:val="21"/>
              </w:rPr>
              <w:t>ZL201110455493.4</w:t>
            </w:r>
          </w:p>
        </w:tc>
        <w:tc>
          <w:tcPr>
            <w:tcW w:w="983" w:type="dxa"/>
            <w:vAlign w:val="center"/>
          </w:tcPr>
          <w:p w14:paraId="0DE54BFA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center"/>
              <w:rPr>
                <w:rFonts w:ascii="Times New Roman"/>
                <w:color w:val="000000"/>
              </w:rPr>
            </w:pPr>
            <w:r>
              <w:rPr>
                <w:rFonts w:hint="eastAsia" w:ascii="Times" w:hAnsi="Times"/>
                <w:snapToGrid w:val="0"/>
                <w:sz w:val="21"/>
                <w:szCs w:val="21"/>
              </w:rPr>
              <w:t>2016年04月27日</w:t>
            </w:r>
          </w:p>
        </w:tc>
        <w:tc>
          <w:tcPr>
            <w:tcW w:w="983" w:type="dxa"/>
            <w:vAlign w:val="center"/>
          </w:tcPr>
          <w:p w14:paraId="35A3ECE9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center"/>
              <w:rPr>
                <w:rFonts w:ascii="Times" w:hAnsi="Times"/>
                <w:snapToGrid w:val="0"/>
                <w:sz w:val="21"/>
                <w:szCs w:val="21"/>
              </w:rPr>
            </w:pPr>
            <w:r>
              <w:rPr>
                <w:rFonts w:hint="eastAsia" w:ascii="Times" w:hAnsi="Times"/>
                <w:snapToGrid w:val="0"/>
                <w:sz w:val="21"/>
                <w:szCs w:val="21"/>
              </w:rPr>
              <w:t>3419995</w:t>
            </w:r>
          </w:p>
        </w:tc>
        <w:tc>
          <w:tcPr>
            <w:tcW w:w="983" w:type="dxa"/>
            <w:vAlign w:val="center"/>
          </w:tcPr>
          <w:p w14:paraId="074472A0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" w:hAnsi="Times"/>
                <w:snapToGrid w:val="0"/>
                <w:kern w:val="0"/>
                <w:sz w:val="21"/>
                <w:szCs w:val="21"/>
              </w:rPr>
            </w:pPr>
            <w:r>
              <w:rPr>
                <w:rFonts w:hint="eastAsia" w:ascii="Times" w:hAnsi="Times"/>
                <w:snapToGrid w:val="0"/>
                <w:kern w:val="0"/>
                <w:sz w:val="21"/>
                <w:szCs w:val="21"/>
              </w:rPr>
              <w:t>中国移动通信集团浙江有限公司</w:t>
            </w:r>
          </w:p>
        </w:tc>
        <w:tc>
          <w:tcPr>
            <w:tcW w:w="983" w:type="dxa"/>
            <w:vAlign w:val="center"/>
          </w:tcPr>
          <w:p w14:paraId="2AD46292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left"/>
              <w:rPr>
                <w:rFonts w:ascii="Times" w:hAnsi="Times"/>
                <w:snapToGrid w:val="0"/>
                <w:kern w:val="0"/>
                <w:sz w:val="21"/>
                <w:szCs w:val="21"/>
              </w:rPr>
            </w:pPr>
            <w:r>
              <w:rPr>
                <w:rFonts w:hint="eastAsia" w:ascii="Times" w:hAnsi="Times"/>
                <w:snapToGrid w:val="0"/>
                <w:kern w:val="0"/>
                <w:sz w:val="21"/>
                <w:szCs w:val="21"/>
              </w:rPr>
              <w:t>王晓征；肖爱元</w:t>
            </w:r>
          </w:p>
        </w:tc>
        <w:tc>
          <w:tcPr>
            <w:tcW w:w="986" w:type="dxa"/>
            <w:vAlign w:val="center"/>
          </w:tcPr>
          <w:p w14:paraId="0D7D456F">
            <w:pPr>
              <w:pStyle w:val="4"/>
              <w:adjustRightInd w:val="0"/>
              <w:snapToGrid w:val="0"/>
              <w:spacing w:line="390" w:lineRule="exact"/>
              <w:ind w:firstLine="0" w:firstLineChars="0"/>
              <w:jc w:val="center"/>
              <w:rPr>
                <w:rFonts w:ascii="Times" w:hAnsi="Times"/>
                <w:snapToGrid w:val="0"/>
                <w:sz w:val="21"/>
                <w:szCs w:val="21"/>
              </w:rPr>
            </w:pPr>
            <w:r>
              <w:rPr>
                <w:rFonts w:hint="eastAsia" w:ascii="Times" w:hAnsi="Times"/>
                <w:snapToGrid w:val="0"/>
                <w:sz w:val="21"/>
                <w:szCs w:val="21"/>
              </w:rPr>
              <w:t>有效</w:t>
            </w:r>
          </w:p>
        </w:tc>
      </w:tr>
    </w:tbl>
    <w:p w14:paraId="63C4595B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</w:p>
    <w:p w14:paraId="69F3EEF0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（四）主要完成人（完成单位）</w:t>
      </w:r>
    </w:p>
    <w:p w14:paraId="6671A6D5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陈刚（浙江大学），陈纯（浙江大学），王新根（浙江邦盛科技股份有限公司），王新宇（浙江邦盛科技股份有限公司），伍赛（浙江大学），王晓征（中国移动通信集团浙江有限公司）</w:t>
      </w:r>
    </w:p>
    <w:p w14:paraId="6F1DFD3D">
      <w:pPr>
        <w:adjustRightInd w:val="0"/>
        <w:snapToGrid w:val="0"/>
        <w:spacing w:line="560" w:lineRule="exact"/>
        <w:rPr>
          <w:sz w:val="32"/>
          <w:szCs w:val="32"/>
        </w:rPr>
      </w:pPr>
    </w:p>
    <w:p w14:paraId="62C00787">
      <w:pPr>
        <w:pStyle w:val="2"/>
      </w:pPr>
    </w:p>
    <w:p w14:paraId="09D3CDBD">
      <w:pPr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E97C6F">
    <w:pPr>
      <w:pStyle w:val="6"/>
      <w:framePr w:wrap="around" w:vAnchor="text" w:hAnchor="margin" w:xAlign="center" w:y="1"/>
      <w:rPr>
        <w:rStyle w:val="12"/>
      </w:rPr>
    </w:pPr>
  </w:p>
  <w:p w14:paraId="405797D3"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C0FDAA">
    <w:pPr>
      <w:pStyle w:val="6"/>
      <w:framePr w:wrap="around" w:vAnchor="text" w:hAnchor="margin" w:xAlign="center" w:y="1"/>
      <w:rPr>
        <w:rStyle w:val="12"/>
      </w:rPr>
    </w:pPr>
    <w:r>
      <w:rPr>
        <w:rStyle w:val="12"/>
      </w:rPr>
      <w:fldChar w:fldCharType="begin"/>
    </w:r>
    <w:r>
      <w:rPr>
        <w:rStyle w:val="12"/>
      </w:rPr>
      <w:instrText xml:space="preserve">PAGE  </w:instrText>
    </w:r>
    <w:r>
      <w:rPr>
        <w:rStyle w:val="12"/>
      </w:rPr>
      <w:fldChar w:fldCharType="end"/>
    </w:r>
  </w:p>
  <w:p w14:paraId="5CD032B4"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F41"/>
    <w:rsid w:val="00003577"/>
    <w:rsid w:val="00006B56"/>
    <w:rsid w:val="00010406"/>
    <w:rsid w:val="00024C74"/>
    <w:rsid w:val="000318DA"/>
    <w:rsid w:val="00036E61"/>
    <w:rsid w:val="000669C8"/>
    <w:rsid w:val="00072681"/>
    <w:rsid w:val="000740EC"/>
    <w:rsid w:val="00080D53"/>
    <w:rsid w:val="00096AC0"/>
    <w:rsid w:val="000A290D"/>
    <w:rsid w:val="000B4AA9"/>
    <w:rsid w:val="000D2556"/>
    <w:rsid w:val="000D2943"/>
    <w:rsid w:val="000F28F2"/>
    <w:rsid w:val="0011420E"/>
    <w:rsid w:val="001225B2"/>
    <w:rsid w:val="00140BC0"/>
    <w:rsid w:val="001455AF"/>
    <w:rsid w:val="0014656F"/>
    <w:rsid w:val="00167AC4"/>
    <w:rsid w:val="00174C82"/>
    <w:rsid w:val="00190032"/>
    <w:rsid w:val="001A16C9"/>
    <w:rsid w:val="001A1EFF"/>
    <w:rsid w:val="001A6B61"/>
    <w:rsid w:val="001C2831"/>
    <w:rsid w:val="001C3EAF"/>
    <w:rsid w:val="001D09D8"/>
    <w:rsid w:val="001D704B"/>
    <w:rsid w:val="00203483"/>
    <w:rsid w:val="00237524"/>
    <w:rsid w:val="00245728"/>
    <w:rsid w:val="002510B3"/>
    <w:rsid w:val="00270BAF"/>
    <w:rsid w:val="00291928"/>
    <w:rsid w:val="002A3C85"/>
    <w:rsid w:val="002C1A30"/>
    <w:rsid w:val="002C71EA"/>
    <w:rsid w:val="002E2619"/>
    <w:rsid w:val="002E47D2"/>
    <w:rsid w:val="002E523B"/>
    <w:rsid w:val="002E61BF"/>
    <w:rsid w:val="002F45CC"/>
    <w:rsid w:val="00311A06"/>
    <w:rsid w:val="00330B37"/>
    <w:rsid w:val="00357F55"/>
    <w:rsid w:val="003714D6"/>
    <w:rsid w:val="00381862"/>
    <w:rsid w:val="003C5A69"/>
    <w:rsid w:val="004137FC"/>
    <w:rsid w:val="0042035E"/>
    <w:rsid w:val="00462718"/>
    <w:rsid w:val="00475D61"/>
    <w:rsid w:val="00486338"/>
    <w:rsid w:val="00487691"/>
    <w:rsid w:val="004916E6"/>
    <w:rsid w:val="004B2F3E"/>
    <w:rsid w:val="004C3D76"/>
    <w:rsid w:val="004C6F5D"/>
    <w:rsid w:val="004C7BBD"/>
    <w:rsid w:val="004D4F4E"/>
    <w:rsid w:val="004F1A1D"/>
    <w:rsid w:val="00504CAB"/>
    <w:rsid w:val="0052171C"/>
    <w:rsid w:val="00525496"/>
    <w:rsid w:val="00527A96"/>
    <w:rsid w:val="00563E72"/>
    <w:rsid w:val="00572A40"/>
    <w:rsid w:val="0058425D"/>
    <w:rsid w:val="0058670D"/>
    <w:rsid w:val="005A301B"/>
    <w:rsid w:val="005A4C5A"/>
    <w:rsid w:val="005A63D7"/>
    <w:rsid w:val="005B11E8"/>
    <w:rsid w:val="005D2A43"/>
    <w:rsid w:val="005D7BB1"/>
    <w:rsid w:val="005E7123"/>
    <w:rsid w:val="005F4E42"/>
    <w:rsid w:val="005F7367"/>
    <w:rsid w:val="00601480"/>
    <w:rsid w:val="00612FE8"/>
    <w:rsid w:val="00627A25"/>
    <w:rsid w:val="00632D55"/>
    <w:rsid w:val="006451CA"/>
    <w:rsid w:val="006462CB"/>
    <w:rsid w:val="00651CE6"/>
    <w:rsid w:val="00671E7E"/>
    <w:rsid w:val="006751F7"/>
    <w:rsid w:val="006822AE"/>
    <w:rsid w:val="00683093"/>
    <w:rsid w:val="0068331B"/>
    <w:rsid w:val="00687B01"/>
    <w:rsid w:val="006901F6"/>
    <w:rsid w:val="006A1A02"/>
    <w:rsid w:val="006C62FC"/>
    <w:rsid w:val="006D3947"/>
    <w:rsid w:val="00702E11"/>
    <w:rsid w:val="00710737"/>
    <w:rsid w:val="007122C2"/>
    <w:rsid w:val="00720D87"/>
    <w:rsid w:val="00720DD9"/>
    <w:rsid w:val="00732AF0"/>
    <w:rsid w:val="00760CED"/>
    <w:rsid w:val="00764925"/>
    <w:rsid w:val="00776ACE"/>
    <w:rsid w:val="0079259B"/>
    <w:rsid w:val="007927CB"/>
    <w:rsid w:val="00795142"/>
    <w:rsid w:val="007A490E"/>
    <w:rsid w:val="007B1DDF"/>
    <w:rsid w:val="007B457D"/>
    <w:rsid w:val="007C2DD9"/>
    <w:rsid w:val="007C4C1C"/>
    <w:rsid w:val="007D44E9"/>
    <w:rsid w:val="007E6680"/>
    <w:rsid w:val="00801466"/>
    <w:rsid w:val="00822F41"/>
    <w:rsid w:val="008236D5"/>
    <w:rsid w:val="00825117"/>
    <w:rsid w:val="0083193D"/>
    <w:rsid w:val="00834466"/>
    <w:rsid w:val="0084234F"/>
    <w:rsid w:val="0084366F"/>
    <w:rsid w:val="008451A8"/>
    <w:rsid w:val="00847951"/>
    <w:rsid w:val="00854784"/>
    <w:rsid w:val="00864CD5"/>
    <w:rsid w:val="008A06C4"/>
    <w:rsid w:val="008A42AE"/>
    <w:rsid w:val="008B1D3A"/>
    <w:rsid w:val="008B1DB8"/>
    <w:rsid w:val="008C0294"/>
    <w:rsid w:val="008C6E20"/>
    <w:rsid w:val="008D0687"/>
    <w:rsid w:val="008D0E8D"/>
    <w:rsid w:val="008F20AC"/>
    <w:rsid w:val="008F6AA4"/>
    <w:rsid w:val="0090182D"/>
    <w:rsid w:val="009063FC"/>
    <w:rsid w:val="0090774B"/>
    <w:rsid w:val="00915460"/>
    <w:rsid w:val="00926ECA"/>
    <w:rsid w:val="00964538"/>
    <w:rsid w:val="009733A5"/>
    <w:rsid w:val="0098257F"/>
    <w:rsid w:val="00A05545"/>
    <w:rsid w:val="00A11023"/>
    <w:rsid w:val="00A136A9"/>
    <w:rsid w:val="00A2588F"/>
    <w:rsid w:val="00A2607C"/>
    <w:rsid w:val="00A263FD"/>
    <w:rsid w:val="00A27BDC"/>
    <w:rsid w:val="00A35798"/>
    <w:rsid w:val="00A767D7"/>
    <w:rsid w:val="00A827CE"/>
    <w:rsid w:val="00A91E01"/>
    <w:rsid w:val="00AA5860"/>
    <w:rsid w:val="00AC18CF"/>
    <w:rsid w:val="00AD2117"/>
    <w:rsid w:val="00AF3E40"/>
    <w:rsid w:val="00B06ECA"/>
    <w:rsid w:val="00B121F3"/>
    <w:rsid w:val="00B437BF"/>
    <w:rsid w:val="00B70893"/>
    <w:rsid w:val="00B70CE6"/>
    <w:rsid w:val="00B75EC1"/>
    <w:rsid w:val="00B86FD9"/>
    <w:rsid w:val="00BA2FD2"/>
    <w:rsid w:val="00BA3DC4"/>
    <w:rsid w:val="00BA58E7"/>
    <w:rsid w:val="00BC1F9B"/>
    <w:rsid w:val="00BE5B9B"/>
    <w:rsid w:val="00BF04EA"/>
    <w:rsid w:val="00C014DF"/>
    <w:rsid w:val="00C016B5"/>
    <w:rsid w:val="00C016DD"/>
    <w:rsid w:val="00C02AE9"/>
    <w:rsid w:val="00C23AD5"/>
    <w:rsid w:val="00C33810"/>
    <w:rsid w:val="00C725AC"/>
    <w:rsid w:val="00CC72AA"/>
    <w:rsid w:val="00CF370E"/>
    <w:rsid w:val="00D0308A"/>
    <w:rsid w:val="00D131C3"/>
    <w:rsid w:val="00D2361E"/>
    <w:rsid w:val="00D236D5"/>
    <w:rsid w:val="00D4521F"/>
    <w:rsid w:val="00D5219A"/>
    <w:rsid w:val="00D525DA"/>
    <w:rsid w:val="00D54C80"/>
    <w:rsid w:val="00D60B41"/>
    <w:rsid w:val="00DC1621"/>
    <w:rsid w:val="00DC7AA7"/>
    <w:rsid w:val="00DE1EAE"/>
    <w:rsid w:val="00E02BD8"/>
    <w:rsid w:val="00E06FD6"/>
    <w:rsid w:val="00E07250"/>
    <w:rsid w:val="00E14DB9"/>
    <w:rsid w:val="00E24C86"/>
    <w:rsid w:val="00E30127"/>
    <w:rsid w:val="00E43F82"/>
    <w:rsid w:val="00E5309C"/>
    <w:rsid w:val="00E55977"/>
    <w:rsid w:val="00E71520"/>
    <w:rsid w:val="00E851DF"/>
    <w:rsid w:val="00EB01E5"/>
    <w:rsid w:val="00EB2F9A"/>
    <w:rsid w:val="00EB778D"/>
    <w:rsid w:val="00EC0F7C"/>
    <w:rsid w:val="00EC5F77"/>
    <w:rsid w:val="00EE0243"/>
    <w:rsid w:val="00EE0345"/>
    <w:rsid w:val="00F003E7"/>
    <w:rsid w:val="00F01250"/>
    <w:rsid w:val="00F17C25"/>
    <w:rsid w:val="00F333F6"/>
    <w:rsid w:val="00F3785C"/>
    <w:rsid w:val="00F40914"/>
    <w:rsid w:val="00F441F5"/>
    <w:rsid w:val="00F47430"/>
    <w:rsid w:val="00F7047A"/>
    <w:rsid w:val="00F81A01"/>
    <w:rsid w:val="00F82045"/>
    <w:rsid w:val="00F85112"/>
    <w:rsid w:val="00F852C1"/>
    <w:rsid w:val="00FB0852"/>
    <w:rsid w:val="00FB17F1"/>
    <w:rsid w:val="00FD4138"/>
    <w:rsid w:val="00FE3092"/>
    <w:rsid w:val="00FE435F"/>
    <w:rsid w:val="01FD42EF"/>
    <w:rsid w:val="03A23C27"/>
    <w:rsid w:val="0517712C"/>
    <w:rsid w:val="091F0FEF"/>
    <w:rsid w:val="09A15F99"/>
    <w:rsid w:val="09BD1F32"/>
    <w:rsid w:val="0B402B47"/>
    <w:rsid w:val="0C92338D"/>
    <w:rsid w:val="0DE565E7"/>
    <w:rsid w:val="0EB9774E"/>
    <w:rsid w:val="0F975F68"/>
    <w:rsid w:val="0FA37CB2"/>
    <w:rsid w:val="10A83678"/>
    <w:rsid w:val="152F25BA"/>
    <w:rsid w:val="16AC39FC"/>
    <w:rsid w:val="172419CE"/>
    <w:rsid w:val="17F92F26"/>
    <w:rsid w:val="181836D6"/>
    <w:rsid w:val="19953518"/>
    <w:rsid w:val="19EB1DCD"/>
    <w:rsid w:val="1A9A0F56"/>
    <w:rsid w:val="1AB5657D"/>
    <w:rsid w:val="1C3E4A09"/>
    <w:rsid w:val="1C767B21"/>
    <w:rsid w:val="1D7F461C"/>
    <w:rsid w:val="1E0A6237"/>
    <w:rsid w:val="20B9542D"/>
    <w:rsid w:val="226333FC"/>
    <w:rsid w:val="229C164D"/>
    <w:rsid w:val="22AF32C1"/>
    <w:rsid w:val="22C56B99"/>
    <w:rsid w:val="28BC7E86"/>
    <w:rsid w:val="29F222C1"/>
    <w:rsid w:val="2E032AE7"/>
    <w:rsid w:val="31565117"/>
    <w:rsid w:val="317F3195"/>
    <w:rsid w:val="34B91F8A"/>
    <w:rsid w:val="35494B7A"/>
    <w:rsid w:val="355B47A5"/>
    <w:rsid w:val="37D05063"/>
    <w:rsid w:val="392A3BCE"/>
    <w:rsid w:val="3BA03635"/>
    <w:rsid w:val="3FE51083"/>
    <w:rsid w:val="45B82804"/>
    <w:rsid w:val="46E22750"/>
    <w:rsid w:val="475443C7"/>
    <w:rsid w:val="478F67EB"/>
    <w:rsid w:val="4B1F1850"/>
    <w:rsid w:val="4D4D3AFB"/>
    <w:rsid w:val="4D854753"/>
    <w:rsid w:val="4DE54BC7"/>
    <w:rsid w:val="4EB53D97"/>
    <w:rsid w:val="526622C1"/>
    <w:rsid w:val="567315FF"/>
    <w:rsid w:val="572B12F6"/>
    <w:rsid w:val="5A427C66"/>
    <w:rsid w:val="5FD67D35"/>
    <w:rsid w:val="600A5100"/>
    <w:rsid w:val="6534765C"/>
    <w:rsid w:val="6B5B09C1"/>
    <w:rsid w:val="6CCA7D73"/>
    <w:rsid w:val="6D93510E"/>
    <w:rsid w:val="6F855772"/>
    <w:rsid w:val="71B22A92"/>
    <w:rsid w:val="71CB33D1"/>
    <w:rsid w:val="727D7636"/>
    <w:rsid w:val="728A4867"/>
    <w:rsid w:val="73010A86"/>
    <w:rsid w:val="73982EF1"/>
    <w:rsid w:val="73EC3386"/>
    <w:rsid w:val="7A1B0A08"/>
    <w:rsid w:val="7A6B4B71"/>
    <w:rsid w:val="7CA61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semiHidden="0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semiHidden/>
    <w:qFormat/>
    <w:uiPriority w:val="0"/>
    <w:pPr>
      <w:spacing w:after="120"/>
    </w:pPr>
  </w:style>
  <w:style w:type="paragraph" w:styleId="3">
    <w:name w:val="annotation text"/>
    <w:basedOn w:val="1"/>
    <w:link w:val="14"/>
    <w:unhideWhenUsed/>
    <w:uiPriority w:val="99"/>
    <w:pPr>
      <w:jc w:val="left"/>
    </w:pPr>
  </w:style>
  <w:style w:type="paragraph" w:styleId="4">
    <w:name w:val="Plain Text"/>
    <w:basedOn w:val="1"/>
    <w:link w:val="15"/>
    <w:qFormat/>
    <w:uiPriority w:val="99"/>
    <w:pPr>
      <w:spacing w:line="360" w:lineRule="auto"/>
      <w:ind w:firstLine="480" w:firstLineChars="200"/>
    </w:pPr>
    <w:rPr>
      <w:rFonts w:ascii="仿宋_GB2312"/>
      <w:sz w:val="24"/>
      <w:szCs w:val="20"/>
    </w:rPr>
  </w:style>
  <w:style w:type="paragraph" w:styleId="5">
    <w:name w:val="Balloon Text"/>
    <w:basedOn w:val="1"/>
    <w:link w:val="16"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7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annotation subject"/>
    <w:basedOn w:val="3"/>
    <w:next w:val="3"/>
    <w:link w:val="19"/>
    <w:unhideWhenUsed/>
    <w:qFormat/>
    <w:uiPriority w:val="99"/>
    <w:rPr>
      <w:b/>
      <w:bCs/>
    </w:rPr>
  </w:style>
  <w:style w:type="table" w:styleId="10">
    <w:name w:val="Table Grid"/>
    <w:basedOn w:val="9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qFormat/>
    <w:uiPriority w:val="0"/>
  </w:style>
  <w:style w:type="character" w:styleId="13">
    <w:name w:val="annotation reference"/>
    <w:unhideWhenUsed/>
    <w:qFormat/>
    <w:uiPriority w:val="99"/>
    <w:rPr>
      <w:sz w:val="21"/>
      <w:szCs w:val="21"/>
    </w:rPr>
  </w:style>
  <w:style w:type="character" w:customStyle="1" w:styleId="14">
    <w:name w:val="批注文字 字符"/>
    <w:link w:val="3"/>
    <w:semiHidden/>
    <w:uiPriority w:val="99"/>
    <w:rPr>
      <w:rFonts w:ascii="Times New Roman" w:hAnsi="Times New Roman" w:eastAsia="宋体" w:cs="Times New Roman"/>
      <w:szCs w:val="24"/>
    </w:rPr>
  </w:style>
  <w:style w:type="character" w:customStyle="1" w:styleId="15">
    <w:name w:val="纯文本 字符1"/>
    <w:link w:val="4"/>
    <w:qFormat/>
    <w:locked/>
    <w:uiPriority w:val="0"/>
    <w:rPr>
      <w:rFonts w:ascii="仿宋_GB2312" w:hAnsi="Times New Roman" w:eastAsia="宋体" w:cs="Times New Roman"/>
      <w:sz w:val="24"/>
      <w:szCs w:val="20"/>
    </w:rPr>
  </w:style>
  <w:style w:type="character" w:customStyle="1" w:styleId="16">
    <w:name w:val="批注框文本 字符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页脚 字符"/>
    <w:link w:val="6"/>
    <w:qFormat/>
    <w:uiPriority w:val="99"/>
    <w:rPr>
      <w:sz w:val="18"/>
      <w:szCs w:val="18"/>
    </w:rPr>
  </w:style>
  <w:style w:type="character" w:customStyle="1" w:styleId="18">
    <w:name w:val="页眉 字符"/>
    <w:link w:val="7"/>
    <w:qFormat/>
    <w:uiPriority w:val="99"/>
    <w:rPr>
      <w:sz w:val="18"/>
      <w:szCs w:val="18"/>
    </w:rPr>
  </w:style>
  <w:style w:type="character" w:customStyle="1" w:styleId="19">
    <w:name w:val="批注主题 字符"/>
    <w:link w:val="8"/>
    <w:semiHidden/>
    <w:qFormat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20">
    <w:name w:val="纯文本 字符"/>
    <w:qFormat/>
    <w:uiPriority w:val="99"/>
    <w:rPr>
      <w:rFonts w:ascii="等线" w:hAnsi="Courier New" w:cs="Courier New"/>
      <w:szCs w:val="24"/>
    </w:rPr>
  </w:style>
  <w:style w:type="paragraph" w:customStyle="1" w:styleId="21">
    <w:name w:val="Table Paragraph"/>
    <w:basedOn w:val="1"/>
    <w:qFormat/>
    <w:uiPriority w:val="1"/>
    <w:pPr>
      <w:autoSpaceDE w:val="0"/>
      <w:autoSpaceDN w:val="0"/>
      <w:spacing w:before="195"/>
      <w:ind w:left="100"/>
      <w:jc w:val="left"/>
    </w:pPr>
    <w:rPr>
      <w:rFonts w:ascii="宋体" w:hAnsi="宋体" w:cs="宋体"/>
      <w:kern w:val="0"/>
      <w:sz w:val="22"/>
      <w:szCs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2A7EC3-6501-4F33-9D44-6E71066B162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1159</Words>
  <Characters>1541</Characters>
  <Lines>12</Lines>
  <Paragraphs>3</Paragraphs>
  <TotalTime>91</TotalTime>
  <ScaleCrop>false</ScaleCrop>
  <LinksUpToDate>false</LinksUpToDate>
  <CharactersWithSpaces>1555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2025-05-25T05:41:00Z</dcterms:created>
  <dc:creator>LY-01</dc:creator>
  <cp:lastModifiedBy>葛格</cp:lastModifiedBy>
  <dcterms:modified xsi:type="dcterms:W3CDTF">2025-05-30T13:17:58Z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eyJoZGlkIjoiNDk3YmE2YjEwOGMxZjYxNzE4MDBhNDM0NWJkYjNjMmQiLCJ1c2VySWQiOiIxMDQwODM5OTkwIn0=</vt:lpwstr>
  </property>
  <property fmtid="{D5CDD505-2E9C-101B-9397-08002B2CF9AE}" pid="3" name="KSOProductBuildVer">
    <vt:lpwstr>2052-12.1.0.19770</vt:lpwstr>
  </property>
  <property fmtid="{D5CDD505-2E9C-101B-9397-08002B2CF9AE}" pid="4" name="ICV">
    <vt:lpwstr>42D9CF17A52A43FB86EE7DF3CEDD669E_13</vt:lpwstr>
  </property>
</Properties>
</file>