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E4007" w14:textId="77777777" w:rsidR="00E11A45" w:rsidRDefault="00AE404A">
      <w:pPr>
        <w:widowControl/>
        <w:snapToGrid w:val="0"/>
        <w:spacing w:line="360" w:lineRule="auto"/>
        <w:jc w:val="left"/>
        <w:rPr>
          <w:rFonts w:ascii="宋体" w:hAnsi="宋体"/>
          <w:color w:val="000000"/>
          <w:szCs w:val="28"/>
        </w:rPr>
      </w:pPr>
      <w:bookmarkStart w:id="0" w:name="_Toc530473016"/>
      <w:bookmarkStart w:id="1" w:name="_GoBack"/>
      <w:bookmarkEnd w:id="1"/>
      <w:r>
        <w:rPr>
          <w:rFonts w:ascii="黑体" w:eastAsia="黑体" w:hAnsi="黑体" w:cs="黑体" w:hint="eastAsia"/>
          <w:bCs/>
          <w:color w:val="000000"/>
          <w:szCs w:val="28"/>
        </w:rPr>
        <w:t>附表</w:t>
      </w:r>
      <w:r>
        <w:rPr>
          <w:rFonts w:ascii="黑体" w:eastAsia="黑体" w:hAnsi="黑体" w:cs="黑体" w:hint="eastAsia"/>
          <w:bCs/>
          <w:color w:val="000000"/>
          <w:szCs w:val="28"/>
        </w:rPr>
        <w:t>6</w:t>
      </w:r>
      <w:r>
        <w:rPr>
          <w:rFonts w:ascii="黑体" w:eastAsia="黑体" w:hAnsi="黑体" w:cs="黑体" w:hint="eastAsia"/>
          <w:bCs/>
          <w:color w:val="000000"/>
          <w:szCs w:val="28"/>
        </w:rPr>
        <w:t>：</w:t>
      </w:r>
    </w:p>
    <w:p w14:paraId="005B2DCE" w14:textId="77777777" w:rsidR="00E11A45" w:rsidRDefault="00E11A45">
      <w:pPr>
        <w:spacing w:line="100" w:lineRule="exact"/>
        <w:jc w:val="center"/>
        <w:rPr>
          <w:rFonts w:ascii="宋体" w:hAnsi="宋体"/>
          <w:color w:val="000000"/>
          <w:sz w:val="36"/>
          <w:szCs w:val="36"/>
        </w:rPr>
      </w:pPr>
    </w:p>
    <w:p w14:paraId="44F8E278" w14:textId="68514438" w:rsidR="00E11A45" w:rsidRDefault="00AE404A">
      <w:pPr>
        <w:spacing w:line="740" w:lineRule="exact"/>
        <w:jc w:val="center"/>
        <w:outlineLvl w:val="2"/>
        <w:rPr>
          <w:rFonts w:ascii="黑体" w:eastAsia="黑体" w:hAnsi="黑体" w:cs="黑体"/>
          <w:color w:val="000000"/>
          <w:sz w:val="32"/>
          <w:szCs w:val="32"/>
        </w:rPr>
      </w:pPr>
      <w:bookmarkStart w:id="2" w:name="_Toc2124023149"/>
      <w:bookmarkStart w:id="3" w:name="_Toc1550903188"/>
      <w:bookmarkStart w:id="4" w:name="_Toc1099067205"/>
      <w:bookmarkStart w:id="5" w:name="_Toc2131911538"/>
      <w:bookmarkStart w:id="6" w:name="_Toc357348418"/>
      <w:bookmarkStart w:id="7" w:name="_Toc1827832502"/>
      <w:bookmarkStart w:id="8" w:name="_Toc1423068732"/>
      <w:bookmarkStart w:id="9" w:name="_Toc175603519"/>
      <w:bookmarkEnd w:id="0"/>
      <w:r>
        <w:rPr>
          <w:rFonts w:ascii="黑体" w:eastAsia="黑体" w:hAnsi="黑体" w:cs="黑体" w:hint="eastAsia"/>
          <w:color w:val="000000"/>
          <w:sz w:val="32"/>
          <w:szCs w:val="32"/>
        </w:rPr>
        <w:t>2023</w:t>
      </w:r>
      <w:r>
        <w:rPr>
          <w:rFonts w:ascii="黑体" w:eastAsia="黑体" w:hAnsi="黑体" w:cs="黑体" w:hint="eastAsia"/>
          <w:color w:val="000000"/>
          <w:sz w:val="32"/>
          <w:szCs w:val="32"/>
        </w:rPr>
        <w:t>年度海南省科学技术奖提名公示内容</w:t>
      </w:r>
      <w:bookmarkEnd w:id="2"/>
      <w:bookmarkEnd w:id="3"/>
      <w:bookmarkEnd w:id="4"/>
      <w:bookmarkEnd w:id="5"/>
      <w:bookmarkEnd w:id="6"/>
      <w:bookmarkEnd w:id="7"/>
      <w:bookmarkEnd w:id="8"/>
      <w:bookmarkEnd w:id="9"/>
    </w:p>
    <w:p w14:paraId="1B14FD00" w14:textId="77777777" w:rsidR="00E11A45" w:rsidRDefault="00E11A45">
      <w:pPr>
        <w:spacing w:line="100" w:lineRule="exact"/>
        <w:jc w:val="center"/>
        <w:rPr>
          <w:rFonts w:ascii="仿宋_GB2312" w:eastAsia="仿宋_GB2312" w:hAnsi="仿宋_GB2312" w:cs="仿宋_GB2312"/>
          <w:color w:val="000000"/>
          <w:sz w:val="32"/>
          <w:szCs w:val="32"/>
        </w:rPr>
      </w:pPr>
    </w:p>
    <w:p w14:paraId="0F3A9DFA" w14:textId="77777777" w:rsidR="00E11A45" w:rsidRDefault="00AE404A">
      <w:pPr>
        <w:spacing w:line="440" w:lineRule="exact"/>
        <w:jc w:val="center"/>
        <w:rPr>
          <w:rFonts w:eastAsia="仿宋_GB2312"/>
          <w:szCs w:val="24"/>
        </w:rPr>
      </w:pPr>
      <w:r>
        <w:rPr>
          <w:rFonts w:eastAsia="仿宋_GB2312" w:hint="eastAsia"/>
          <w:szCs w:val="24"/>
        </w:rPr>
        <w:t>（适用于项目主要完成单位、主要完成人所在单位）</w:t>
      </w:r>
    </w:p>
    <w:p w14:paraId="56CB4368" w14:textId="77777777" w:rsidR="00E11A45" w:rsidRDefault="00E11A45">
      <w:pPr>
        <w:spacing w:line="440" w:lineRule="exact"/>
        <w:rPr>
          <w:rFonts w:eastAsia="仿宋_GB2312"/>
          <w:szCs w:val="24"/>
        </w:rPr>
      </w:pPr>
    </w:p>
    <w:p w14:paraId="4EE5C07A" w14:textId="62B2096A" w:rsidR="00E11A45" w:rsidRDefault="00AE404A">
      <w:pPr>
        <w:spacing w:line="440" w:lineRule="exact"/>
        <w:jc w:val="center"/>
        <w:rPr>
          <w:rFonts w:eastAsia="仿宋_GB2312"/>
          <w:szCs w:val="24"/>
        </w:rPr>
      </w:pPr>
      <w:r>
        <w:rPr>
          <w:rFonts w:eastAsia="仿宋_GB2312" w:hint="eastAsia"/>
          <w:szCs w:val="24"/>
        </w:rPr>
        <w:t>公示单位（公章）：</w:t>
      </w:r>
      <w:r>
        <w:rPr>
          <w:rFonts w:eastAsia="仿宋_GB2312" w:hint="eastAsia"/>
          <w:szCs w:val="24"/>
        </w:rPr>
        <w:t xml:space="preserve">                </w:t>
      </w:r>
      <w:r>
        <w:rPr>
          <w:rFonts w:eastAsia="仿宋_GB2312" w:hint="eastAsia"/>
          <w:szCs w:val="24"/>
        </w:rPr>
        <w:t>填表日期：</w:t>
      </w:r>
      <w:r w:rsidR="00424E22">
        <w:rPr>
          <w:rFonts w:eastAsia="仿宋_GB2312"/>
          <w:szCs w:val="24"/>
        </w:rPr>
        <w:t>202</w:t>
      </w:r>
      <w:r w:rsidR="00352B01">
        <w:rPr>
          <w:rFonts w:eastAsia="仿宋_GB2312"/>
          <w:szCs w:val="24"/>
        </w:rPr>
        <w:t>4</w:t>
      </w:r>
      <w:r>
        <w:rPr>
          <w:rFonts w:eastAsia="仿宋_GB2312" w:hint="eastAsia"/>
          <w:szCs w:val="24"/>
        </w:rPr>
        <w:t>年</w:t>
      </w:r>
      <w:r>
        <w:rPr>
          <w:rFonts w:eastAsia="仿宋_GB2312" w:hint="eastAsia"/>
          <w:szCs w:val="24"/>
        </w:rPr>
        <w:t xml:space="preserve"> </w:t>
      </w:r>
      <w:r w:rsidR="00424E22">
        <w:rPr>
          <w:rFonts w:eastAsia="仿宋_GB2312"/>
          <w:szCs w:val="24"/>
        </w:rPr>
        <w:t>1</w:t>
      </w:r>
      <w:r>
        <w:rPr>
          <w:rFonts w:eastAsia="仿宋_GB2312" w:hint="eastAsia"/>
          <w:szCs w:val="24"/>
        </w:rPr>
        <w:t>月</w:t>
      </w:r>
      <w:r w:rsidR="00352B01">
        <w:rPr>
          <w:rFonts w:eastAsia="仿宋_GB2312"/>
          <w:szCs w:val="24"/>
        </w:rPr>
        <w:t>1</w:t>
      </w:r>
      <w:r>
        <w:rPr>
          <w:rFonts w:eastAsia="仿宋_GB2312" w:hint="eastAsia"/>
          <w:szCs w:val="24"/>
        </w:rPr>
        <w:t>日</w:t>
      </w:r>
    </w:p>
    <w:tbl>
      <w:tblPr>
        <w:tblW w:w="9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E11A45" w14:paraId="7E71A413" w14:textId="77777777">
        <w:trPr>
          <w:trHeight w:val="777"/>
          <w:jc w:val="center"/>
        </w:trPr>
        <w:tc>
          <w:tcPr>
            <w:tcW w:w="2269" w:type="dxa"/>
            <w:vAlign w:val="center"/>
          </w:tcPr>
          <w:p w14:paraId="5F15DE09" w14:textId="77777777" w:rsidR="00E11A45" w:rsidRDefault="00AE404A">
            <w:pPr>
              <w:jc w:val="center"/>
              <w:rPr>
                <w:rStyle w:val="title1"/>
                <w:rFonts w:eastAsia="仿宋_GB2312"/>
                <w:color w:val="auto"/>
              </w:rPr>
            </w:pPr>
            <w:r>
              <w:rPr>
                <w:rStyle w:val="title1"/>
                <w:rFonts w:eastAsia="仿宋_GB2312" w:hint="eastAsia"/>
                <w:color w:val="auto"/>
              </w:rPr>
              <w:t>项目</w:t>
            </w:r>
            <w:r>
              <w:rPr>
                <w:rStyle w:val="title1"/>
                <w:rFonts w:eastAsia="仿宋_GB2312"/>
                <w:color w:val="auto"/>
              </w:rPr>
              <w:t>名称</w:t>
            </w:r>
          </w:p>
        </w:tc>
        <w:tc>
          <w:tcPr>
            <w:tcW w:w="7051" w:type="dxa"/>
            <w:vAlign w:val="center"/>
          </w:tcPr>
          <w:p w14:paraId="64F3F7AD" w14:textId="3C88DB39" w:rsidR="00E11A45" w:rsidRDefault="00352B01">
            <w:pPr>
              <w:jc w:val="center"/>
              <w:rPr>
                <w:rStyle w:val="title1"/>
                <w:rFonts w:eastAsia="仿宋_GB2312"/>
                <w:b w:val="0"/>
                <w:color w:val="auto"/>
                <w:sz w:val="28"/>
              </w:rPr>
            </w:pPr>
            <w:r w:rsidRPr="00352B01">
              <w:rPr>
                <w:rStyle w:val="title1"/>
                <w:rFonts w:eastAsia="仿宋_GB2312" w:hint="eastAsia"/>
                <w:b w:val="0"/>
                <w:color w:val="auto"/>
                <w:sz w:val="28"/>
              </w:rPr>
              <w:t>介观能源材料的构筑及功能基元晶格调制</w:t>
            </w:r>
          </w:p>
        </w:tc>
      </w:tr>
      <w:tr w:rsidR="00E11A45" w14:paraId="099CF0FB" w14:textId="77777777">
        <w:trPr>
          <w:trHeight w:val="736"/>
          <w:jc w:val="center"/>
        </w:trPr>
        <w:tc>
          <w:tcPr>
            <w:tcW w:w="2269" w:type="dxa"/>
            <w:vAlign w:val="center"/>
          </w:tcPr>
          <w:p w14:paraId="68B0733F" w14:textId="77777777" w:rsidR="00E11A45" w:rsidRDefault="00AE404A">
            <w:pPr>
              <w:jc w:val="center"/>
              <w:rPr>
                <w:rStyle w:val="title1"/>
                <w:rFonts w:eastAsia="仿宋_GB2312"/>
                <w:color w:val="auto"/>
              </w:rPr>
            </w:pPr>
            <w:r>
              <w:rPr>
                <w:rStyle w:val="title1"/>
                <w:rFonts w:eastAsia="仿宋_GB2312"/>
                <w:color w:val="auto"/>
              </w:rPr>
              <w:t>提名</w:t>
            </w:r>
            <w:r>
              <w:rPr>
                <w:rStyle w:val="title1"/>
                <w:rFonts w:eastAsia="仿宋_GB2312" w:hint="eastAsia"/>
                <w:color w:val="auto"/>
              </w:rPr>
              <w:t>奖项</w:t>
            </w:r>
            <w:r>
              <w:rPr>
                <w:rStyle w:val="title1"/>
                <w:rFonts w:eastAsia="仿宋_GB2312" w:hint="eastAsia"/>
                <w:color w:val="auto"/>
              </w:rPr>
              <w:t>/</w:t>
            </w:r>
            <w:r>
              <w:rPr>
                <w:rStyle w:val="title1"/>
                <w:rFonts w:eastAsia="仿宋_GB2312"/>
                <w:color w:val="auto"/>
              </w:rPr>
              <w:t>等级</w:t>
            </w:r>
          </w:p>
        </w:tc>
        <w:tc>
          <w:tcPr>
            <w:tcW w:w="7051" w:type="dxa"/>
            <w:vAlign w:val="center"/>
          </w:tcPr>
          <w:p w14:paraId="54422BF3" w14:textId="66FA521A" w:rsidR="00E11A45" w:rsidRDefault="00424E22">
            <w:pPr>
              <w:jc w:val="center"/>
              <w:rPr>
                <w:rStyle w:val="title1"/>
                <w:rFonts w:eastAsia="仿宋_GB2312"/>
                <w:b w:val="0"/>
                <w:color w:val="auto"/>
                <w:sz w:val="28"/>
              </w:rPr>
            </w:pPr>
            <w:r>
              <w:rPr>
                <w:rStyle w:val="title1"/>
                <w:rFonts w:eastAsia="仿宋_GB2312" w:hint="eastAsia"/>
                <w:b w:val="0"/>
                <w:color w:val="auto"/>
                <w:sz w:val="28"/>
              </w:rPr>
              <w:t>海南省自然科学奖二等奖</w:t>
            </w:r>
          </w:p>
        </w:tc>
      </w:tr>
      <w:tr w:rsidR="00E11A45" w14:paraId="5B88DCA4" w14:textId="77777777">
        <w:trPr>
          <w:trHeight w:val="821"/>
          <w:jc w:val="center"/>
        </w:trPr>
        <w:tc>
          <w:tcPr>
            <w:tcW w:w="2269" w:type="dxa"/>
            <w:vAlign w:val="center"/>
          </w:tcPr>
          <w:p w14:paraId="64D58FA5" w14:textId="2C2C9101" w:rsidR="00E11A45" w:rsidRDefault="00AE404A">
            <w:pPr>
              <w:jc w:val="center"/>
              <w:rPr>
                <w:rFonts w:eastAsia="仿宋_GB2312"/>
                <w:b/>
                <w:bCs/>
                <w:sz w:val="24"/>
                <w:szCs w:val="24"/>
                <w:lang w:val="en"/>
              </w:rPr>
            </w:pPr>
            <w:r>
              <w:rPr>
                <w:rStyle w:val="title1"/>
                <w:rFonts w:eastAsia="仿宋_GB2312"/>
                <w:color w:val="auto"/>
              </w:rPr>
              <w:t>提名单位</w:t>
            </w:r>
          </w:p>
        </w:tc>
        <w:tc>
          <w:tcPr>
            <w:tcW w:w="7051" w:type="dxa"/>
            <w:vAlign w:val="center"/>
          </w:tcPr>
          <w:p w14:paraId="48B17957" w14:textId="652C36E9" w:rsidR="00E11A45" w:rsidRDefault="00424E22" w:rsidP="00424E22">
            <w:pPr>
              <w:contextualSpacing/>
              <w:jc w:val="center"/>
              <w:rPr>
                <w:bCs/>
                <w:sz w:val="24"/>
                <w:szCs w:val="24"/>
              </w:rPr>
            </w:pPr>
            <w:r>
              <w:rPr>
                <w:rFonts w:eastAsia="仿宋_GB2312" w:hint="eastAsia"/>
                <w:sz w:val="24"/>
                <w:szCs w:val="32"/>
              </w:rPr>
              <w:t>海南大学</w:t>
            </w:r>
          </w:p>
        </w:tc>
      </w:tr>
      <w:tr w:rsidR="00E11A45" w14:paraId="7F9A112E" w14:textId="77777777">
        <w:trPr>
          <w:trHeight w:val="686"/>
          <w:jc w:val="center"/>
        </w:trPr>
        <w:tc>
          <w:tcPr>
            <w:tcW w:w="2269" w:type="dxa"/>
            <w:vAlign w:val="center"/>
          </w:tcPr>
          <w:p w14:paraId="2C8557D8" w14:textId="77777777" w:rsidR="00E11A45" w:rsidRDefault="00AE404A">
            <w:pPr>
              <w:jc w:val="center"/>
              <w:rPr>
                <w:rFonts w:eastAsia="仿宋_GB2312"/>
                <w:b/>
                <w:bCs/>
                <w:sz w:val="24"/>
                <w:szCs w:val="24"/>
              </w:rPr>
            </w:pPr>
            <w:r>
              <w:rPr>
                <w:rStyle w:val="title1"/>
                <w:rFonts w:eastAsia="仿宋_GB2312"/>
                <w:color w:val="auto"/>
              </w:rPr>
              <w:t>提名意见</w:t>
            </w:r>
          </w:p>
        </w:tc>
        <w:tc>
          <w:tcPr>
            <w:tcW w:w="7051" w:type="dxa"/>
            <w:vAlign w:val="center"/>
          </w:tcPr>
          <w:p w14:paraId="42949962" w14:textId="77777777" w:rsidR="00C835A1" w:rsidRPr="00C835A1" w:rsidRDefault="00C835A1" w:rsidP="00C835A1">
            <w:pPr>
              <w:ind w:firstLineChars="200" w:firstLine="480"/>
              <w:contextualSpacing/>
              <w:rPr>
                <w:bCs/>
                <w:sz w:val="24"/>
                <w:szCs w:val="24"/>
              </w:rPr>
            </w:pPr>
            <w:r w:rsidRPr="00C835A1">
              <w:rPr>
                <w:rFonts w:hint="eastAsia"/>
                <w:bCs/>
                <w:sz w:val="24"/>
                <w:szCs w:val="24"/>
              </w:rPr>
              <w:t>面向国家能源战略重大需求，构建高效能源存储与转换分级介观材料，推动能源转换升级具有重要战略意义。但功能基元的组成、结构和表面化学性质的多变性增加了分级介观材料的构筑与结构基元功能性的调控难度。因此，发展具有显著协同增强效应的典型分级介观能源材料精准设计与构筑的新方法，实现功能基元结构的精细调制，在更大的尺度范围内构建多层次作用的高电化学活性分级介观能源材料是国际难题。</w:t>
            </w:r>
          </w:p>
          <w:p w14:paraId="59CD1E11" w14:textId="75856B1B" w:rsidR="00C835A1" w:rsidRPr="00C835A1" w:rsidRDefault="00C835A1" w:rsidP="00C835A1">
            <w:pPr>
              <w:ind w:firstLineChars="200" w:firstLine="480"/>
              <w:contextualSpacing/>
              <w:rPr>
                <w:bCs/>
                <w:sz w:val="24"/>
                <w:szCs w:val="24"/>
              </w:rPr>
            </w:pPr>
            <w:r w:rsidRPr="00C835A1">
              <w:rPr>
                <w:rFonts w:hint="eastAsia"/>
                <w:bCs/>
                <w:sz w:val="24"/>
                <w:szCs w:val="24"/>
              </w:rPr>
              <w:t>该项目攻克分级介观材料精准构筑与结构基元精细调制难题，发展多种新颖合成策略（改性溶液燃烧法、界面自组装法等），成功制备多种不同组成、不同结构的分级介观能源材料，创新性提出轻元素晶格取代、可转换前驱体的诱导生长等晶格精细调制手段，系统研究了分级介观能源材料构筑新方法及功能基元晶格调制规律，为介观能源材料的应用机制提供了研究积累。</w:t>
            </w:r>
          </w:p>
          <w:p w14:paraId="75C9DDAB" w14:textId="77777777" w:rsidR="00C835A1" w:rsidRDefault="00C835A1" w:rsidP="00C835A1">
            <w:pPr>
              <w:contextualSpacing/>
              <w:rPr>
                <w:bCs/>
                <w:sz w:val="24"/>
                <w:szCs w:val="24"/>
              </w:rPr>
            </w:pPr>
            <w:r w:rsidRPr="00C835A1">
              <w:rPr>
                <w:rFonts w:hint="eastAsia"/>
                <w:bCs/>
                <w:sz w:val="24"/>
                <w:szCs w:val="24"/>
              </w:rPr>
              <w:t>该项目研究内容独具特色，相关成果在</w:t>
            </w:r>
            <w:r w:rsidRPr="00C835A1">
              <w:rPr>
                <w:rFonts w:hint="eastAsia"/>
                <w:bCs/>
                <w:sz w:val="24"/>
                <w:szCs w:val="24"/>
              </w:rPr>
              <w:t>Chem</w:t>
            </w:r>
            <w:r w:rsidRPr="00C835A1">
              <w:rPr>
                <w:rFonts w:hint="eastAsia"/>
                <w:bCs/>
                <w:sz w:val="24"/>
                <w:szCs w:val="24"/>
              </w:rPr>
              <w:t>、</w:t>
            </w:r>
            <w:r w:rsidRPr="00C835A1">
              <w:rPr>
                <w:rFonts w:hint="eastAsia"/>
                <w:bCs/>
                <w:sz w:val="24"/>
                <w:szCs w:val="24"/>
              </w:rPr>
              <w:t>Angew. Chem. Int. Ed</w:t>
            </w:r>
            <w:r w:rsidRPr="00C835A1">
              <w:rPr>
                <w:rFonts w:hint="eastAsia"/>
                <w:bCs/>
                <w:sz w:val="24"/>
                <w:szCs w:val="24"/>
              </w:rPr>
              <w:t>、</w:t>
            </w:r>
            <w:r w:rsidRPr="00C835A1">
              <w:rPr>
                <w:rFonts w:hint="eastAsia"/>
                <w:bCs/>
                <w:sz w:val="24"/>
                <w:szCs w:val="24"/>
              </w:rPr>
              <w:t>Nano Lett.</w:t>
            </w:r>
            <w:r w:rsidRPr="00C835A1">
              <w:rPr>
                <w:rFonts w:hint="eastAsia"/>
                <w:bCs/>
                <w:sz w:val="24"/>
                <w:szCs w:val="24"/>
              </w:rPr>
              <w:t>、</w:t>
            </w:r>
            <w:r w:rsidRPr="00C835A1">
              <w:rPr>
                <w:rFonts w:hint="eastAsia"/>
                <w:bCs/>
                <w:sz w:val="24"/>
                <w:szCs w:val="24"/>
              </w:rPr>
              <w:t>Chem Mater.</w:t>
            </w:r>
            <w:r w:rsidRPr="00C835A1">
              <w:rPr>
                <w:rFonts w:hint="eastAsia"/>
                <w:bCs/>
                <w:sz w:val="24"/>
                <w:szCs w:val="24"/>
              </w:rPr>
              <w:t>等本领域顶级期刊发表多篇代表性文章，在国内</w:t>
            </w:r>
            <w:r w:rsidRPr="00C835A1">
              <w:rPr>
                <w:rFonts w:hint="eastAsia"/>
                <w:bCs/>
                <w:sz w:val="24"/>
                <w:szCs w:val="24"/>
              </w:rPr>
              <w:t>/</w:t>
            </w:r>
            <w:r w:rsidRPr="00C835A1">
              <w:rPr>
                <w:rFonts w:hint="eastAsia"/>
                <w:bCs/>
                <w:sz w:val="24"/>
                <w:szCs w:val="24"/>
              </w:rPr>
              <w:t>国际上产生了重要的学术影响，取得的重要创新性成果对能源转换、介观材料等领域均具有十分重要的意义。</w:t>
            </w:r>
          </w:p>
          <w:p w14:paraId="1287D243" w14:textId="4E6AE46C" w:rsidR="00E11A45" w:rsidRDefault="00C835A1" w:rsidP="00C835A1">
            <w:pPr>
              <w:ind w:firstLineChars="200" w:firstLine="480"/>
              <w:contextualSpacing/>
              <w:rPr>
                <w:bCs/>
                <w:sz w:val="24"/>
                <w:szCs w:val="24"/>
              </w:rPr>
            </w:pPr>
            <w:r w:rsidRPr="00C835A1">
              <w:rPr>
                <w:rFonts w:hint="eastAsia"/>
                <w:bCs/>
                <w:sz w:val="24"/>
                <w:szCs w:val="24"/>
              </w:rPr>
              <w:t>提名该项目为海南省自然科学奖二等奖。</w:t>
            </w:r>
          </w:p>
        </w:tc>
      </w:tr>
      <w:tr w:rsidR="00E11A45" w14:paraId="03D3B3E7" w14:textId="77777777">
        <w:trPr>
          <w:trHeight w:val="824"/>
          <w:jc w:val="center"/>
        </w:trPr>
        <w:tc>
          <w:tcPr>
            <w:tcW w:w="2269" w:type="dxa"/>
            <w:tcBorders>
              <w:right w:val="single" w:sz="4" w:space="0" w:color="auto"/>
            </w:tcBorders>
            <w:vAlign w:val="center"/>
          </w:tcPr>
          <w:p w14:paraId="5491FE6E" w14:textId="77777777" w:rsidR="00E11A45" w:rsidRDefault="00AE404A">
            <w:pPr>
              <w:spacing w:line="440" w:lineRule="exact"/>
              <w:jc w:val="center"/>
              <w:rPr>
                <w:rFonts w:eastAsia="仿宋_GB2312"/>
                <w:b/>
                <w:bCs/>
                <w:sz w:val="24"/>
                <w:szCs w:val="24"/>
              </w:rPr>
            </w:pPr>
            <w:r>
              <w:rPr>
                <w:rFonts w:eastAsia="仿宋_GB2312" w:hint="eastAsia"/>
                <w:b/>
                <w:bCs/>
                <w:sz w:val="24"/>
                <w:szCs w:val="24"/>
              </w:rPr>
              <w:t>项目简介</w:t>
            </w:r>
          </w:p>
        </w:tc>
        <w:tc>
          <w:tcPr>
            <w:tcW w:w="7051" w:type="dxa"/>
            <w:tcBorders>
              <w:left w:val="single" w:sz="4" w:space="0" w:color="auto"/>
            </w:tcBorders>
            <w:vAlign w:val="center"/>
          </w:tcPr>
          <w:p w14:paraId="647CB976" w14:textId="6ED8D17E" w:rsidR="00B73930" w:rsidRPr="00B73930" w:rsidRDefault="00B73930" w:rsidP="00AF2710">
            <w:pPr>
              <w:spacing w:line="440" w:lineRule="exact"/>
              <w:ind w:firstLineChars="200" w:firstLine="480"/>
              <w:jc w:val="left"/>
              <w:rPr>
                <w:rFonts w:eastAsia="仿宋_GB2312"/>
                <w:bCs/>
                <w:sz w:val="24"/>
                <w:szCs w:val="24"/>
              </w:rPr>
            </w:pPr>
            <w:r w:rsidRPr="00B73930">
              <w:rPr>
                <w:rFonts w:eastAsia="仿宋_GB2312" w:hint="eastAsia"/>
                <w:bCs/>
                <w:sz w:val="24"/>
                <w:szCs w:val="24"/>
              </w:rPr>
              <w:t>面向国家能源战略重大需求，推进能源转换升级，构建高效能源存储与转换材料具有重要战略意义。其中，提高材料本征电化学活性和传质传荷效率是能源转换与存储领域关注的共性关键科学问题，注重整体性能并综合考虑多作用因素而设计出来的具有显著协同增强效应的分级介观结构新体系正在成为设计和构筑高性能能源转换与存储材料的创新源泉。然而，功能基元的组成、结构和表面化学性质的多变性增加了分级介观材料的构筑与结构</w:t>
            </w:r>
            <w:r w:rsidRPr="00B73930">
              <w:rPr>
                <w:rFonts w:eastAsia="仿宋_GB2312" w:hint="eastAsia"/>
                <w:bCs/>
                <w:sz w:val="24"/>
                <w:szCs w:val="24"/>
              </w:rPr>
              <w:lastRenderedPageBreak/>
              <w:t>基元功能性的调控难度。因而，顺应介观能源材料领域发展趋势，着眼于大面积、高有序分级介观材料制备的基础科学问题，发展具有显著协同增强效应的典型分级介观能源材料精准设计与构筑的新方法，实现功能基元结构的精细调制，在更大的尺度范围内构建多层次作用的高电化学活性分级介观能源材料，对于能量储存与转换具有重要的实际应用意义。本项目综合运用物理学、纳米化学及材料科学等多学科知识，采取逐步深入的策略，系统研究了分级介观能源材料构筑新方法及功能基元晶格调制规律，发展多种新颖合成策略（改性溶液燃烧法、界面自组装法等），成功制备多种不同组成、不同结构的分级介观能源材料，借助轻元素晶格取代、可转换前驱体的诱导生长等手段，实现了功能基元晶格的精细调制，丰富了分级介观能源材料构筑方法和功能基元本征电化学活性调制手段，推进了介观能源领域的快速发展。系列研究成果</w:t>
            </w:r>
            <w:r>
              <w:rPr>
                <w:rFonts w:eastAsia="仿宋_GB2312" w:hint="eastAsia"/>
                <w:bCs/>
                <w:sz w:val="24"/>
                <w:szCs w:val="24"/>
              </w:rPr>
              <w:t>发表于</w:t>
            </w:r>
            <w:r w:rsidRPr="00B73930">
              <w:rPr>
                <w:rFonts w:eastAsia="仿宋_GB2312" w:hint="eastAsia"/>
                <w:bCs/>
                <w:sz w:val="24"/>
                <w:szCs w:val="24"/>
              </w:rPr>
              <w:t>Chem</w:t>
            </w:r>
            <w:r w:rsidRPr="00B73930">
              <w:rPr>
                <w:rFonts w:eastAsia="仿宋_GB2312" w:hint="eastAsia"/>
                <w:bCs/>
                <w:sz w:val="24"/>
                <w:szCs w:val="24"/>
              </w:rPr>
              <w:t>、</w:t>
            </w:r>
            <w:r w:rsidRPr="00B73930">
              <w:rPr>
                <w:rFonts w:eastAsia="仿宋_GB2312" w:hint="eastAsia"/>
                <w:bCs/>
                <w:sz w:val="24"/>
                <w:szCs w:val="24"/>
              </w:rPr>
              <w:t>Angew. Chem. Int. Ed</w:t>
            </w:r>
            <w:r w:rsidRPr="00B73930">
              <w:rPr>
                <w:rFonts w:eastAsia="仿宋_GB2312" w:hint="eastAsia"/>
                <w:bCs/>
                <w:sz w:val="24"/>
                <w:szCs w:val="24"/>
              </w:rPr>
              <w:t>、</w:t>
            </w:r>
            <w:r w:rsidRPr="00B73930">
              <w:rPr>
                <w:rFonts w:eastAsia="仿宋_GB2312" w:hint="eastAsia"/>
                <w:bCs/>
                <w:sz w:val="24"/>
                <w:szCs w:val="24"/>
              </w:rPr>
              <w:t>Nano Lett</w:t>
            </w:r>
            <w:r w:rsidRPr="00B73930">
              <w:rPr>
                <w:rFonts w:eastAsia="仿宋_GB2312" w:hint="eastAsia"/>
                <w:bCs/>
                <w:sz w:val="24"/>
                <w:szCs w:val="24"/>
              </w:rPr>
              <w:t>、</w:t>
            </w:r>
            <w:r w:rsidRPr="00B73930">
              <w:rPr>
                <w:rFonts w:eastAsia="仿宋_GB2312" w:hint="eastAsia"/>
                <w:bCs/>
                <w:sz w:val="24"/>
                <w:szCs w:val="24"/>
              </w:rPr>
              <w:t>Chem. Mater.</w:t>
            </w:r>
            <w:r w:rsidRPr="00B73930">
              <w:rPr>
                <w:rFonts w:eastAsia="仿宋_GB2312" w:hint="eastAsia"/>
                <w:bCs/>
                <w:sz w:val="24"/>
                <w:szCs w:val="24"/>
              </w:rPr>
              <w:t>等期刊，在国内</w:t>
            </w:r>
            <w:r w:rsidRPr="00B73930">
              <w:rPr>
                <w:rFonts w:eastAsia="仿宋_GB2312" w:hint="eastAsia"/>
                <w:bCs/>
                <w:sz w:val="24"/>
                <w:szCs w:val="24"/>
              </w:rPr>
              <w:t>/</w:t>
            </w:r>
            <w:r w:rsidRPr="00B73930">
              <w:rPr>
                <w:rFonts w:eastAsia="仿宋_GB2312" w:hint="eastAsia"/>
                <w:bCs/>
                <w:sz w:val="24"/>
                <w:szCs w:val="24"/>
              </w:rPr>
              <w:t>国际上产生了重要的学术影响。</w:t>
            </w:r>
          </w:p>
          <w:p w14:paraId="1FE3CB7F" w14:textId="77777777" w:rsidR="00B73930" w:rsidRPr="00B73930" w:rsidRDefault="00B73930" w:rsidP="00B73930">
            <w:pPr>
              <w:spacing w:line="440" w:lineRule="exact"/>
              <w:jc w:val="left"/>
              <w:rPr>
                <w:rFonts w:eastAsia="仿宋_GB2312"/>
                <w:bCs/>
                <w:sz w:val="24"/>
                <w:szCs w:val="24"/>
              </w:rPr>
            </w:pPr>
            <w:r w:rsidRPr="00B73930">
              <w:rPr>
                <w:rFonts w:eastAsia="仿宋_GB2312" w:hint="eastAsia"/>
                <w:bCs/>
                <w:sz w:val="24"/>
                <w:szCs w:val="24"/>
              </w:rPr>
              <w:t>主要成果创新点如下：</w:t>
            </w:r>
          </w:p>
          <w:p w14:paraId="010282A2" w14:textId="77777777" w:rsidR="00B73930" w:rsidRPr="00B73930" w:rsidRDefault="00B73930" w:rsidP="00B73930">
            <w:pPr>
              <w:spacing w:line="440" w:lineRule="exact"/>
              <w:ind w:firstLineChars="200" w:firstLine="480"/>
              <w:jc w:val="left"/>
              <w:rPr>
                <w:rFonts w:eastAsia="仿宋_GB2312"/>
                <w:bCs/>
                <w:sz w:val="24"/>
                <w:szCs w:val="24"/>
              </w:rPr>
            </w:pPr>
            <w:r w:rsidRPr="00B73930">
              <w:rPr>
                <w:rFonts w:eastAsia="仿宋_GB2312" w:hint="eastAsia"/>
                <w:bCs/>
                <w:sz w:val="24"/>
                <w:szCs w:val="24"/>
              </w:rPr>
              <w:t>创新点</w:t>
            </w:r>
            <w:r w:rsidRPr="00B73930">
              <w:rPr>
                <w:rFonts w:eastAsia="仿宋_GB2312" w:hint="eastAsia"/>
                <w:bCs/>
                <w:sz w:val="24"/>
                <w:szCs w:val="24"/>
              </w:rPr>
              <w:t>1</w:t>
            </w:r>
            <w:r w:rsidRPr="00B73930">
              <w:rPr>
                <w:rFonts w:eastAsia="仿宋_GB2312" w:hint="eastAsia"/>
                <w:bCs/>
                <w:sz w:val="24"/>
                <w:szCs w:val="24"/>
              </w:rPr>
              <w:t>：发展自组装合成新方法，实现了系列具有协同增强效应的分级介观能源材料的精准构筑。针对“如何发展有限构筑方法实现具有协同增强效应的分级介观材料的精准构筑”难题，发展了原位界面自组装、无表面活性剂湿化学自组装等策略实现了系列分级介观能源材料的精准合成，成功构筑系列的</w:t>
            </w:r>
            <w:r w:rsidRPr="00B73930">
              <w:rPr>
                <w:rFonts w:eastAsia="仿宋_GB2312" w:hint="eastAsia"/>
                <w:bCs/>
                <w:sz w:val="24"/>
                <w:szCs w:val="24"/>
              </w:rPr>
              <w:t>0D/2D</w:t>
            </w:r>
            <w:r w:rsidRPr="00B73930">
              <w:rPr>
                <w:rFonts w:eastAsia="仿宋_GB2312" w:hint="eastAsia"/>
                <w:bCs/>
                <w:sz w:val="24"/>
                <w:szCs w:val="24"/>
              </w:rPr>
              <w:t>、</w:t>
            </w:r>
            <w:r w:rsidRPr="00B73930">
              <w:rPr>
                <w:rFonts w:eastAsia="仿宋_GB2312" w:hint="eastAsia"/>
                <w:bCs/>
                <w:sz w:val="24"/>
                <w:szCs w:val="24"/>
              </w:rPr>
              <w:t>0D/1D</w:t>
            </w:r>
            <w:r w:rsidRPr="00B73930">
              <w:rPr>
                <w:rFonts w:eastAsia="仿宋_GB2312" w:hint="eastAsia"/>
                <w:bCs/>
                <w:sz w:val="24"/>
                <w:szCs w:val="24"/>
              </w:rPr>
              <w:t>分级介观能源材新材料，为具有显著协同增强效应分级介观能源材料可控构筑提供了的新方法，获得了广泛的国内</w:t>
            </w:r>
            <w:r w:rsidRPr="00B73930">
              <w:rPr>
                <w:rFonts w:eastAsia="仿宋_GB2312" w:hint="eastAsia"/>
                <w:bCs/>
                <w:sz w:val="24"/>
                <w:szCs w:val="24"/>
              </w:rPr>
              <w:t>/</w:t>
            </w:r>
            <w:r w:rsidRPr="00B73930">
              <w:rPr>
                <w:rFonts w:eastAsia="仿宋_GB2312" w:hint="eastAsia"/>
                <w:bCs/>
                <w:sz w:val="24"/>
                <w:szCs w:val="24"/>
              </w:rPr>
              <w:t>国际影响。</w:t>
            </w:r>
          </w:p>
          <w:p w14:paraId="585A3CDE" w14:textId="77777777" w:rsidR="00B73930" w:rsidRPr="00B73930" w:rsidRDefault="00B73930" w:rsidP="00B73930">
            <w:pPr>
              <w:spacing w:line="440" w:lineRule="exact"/>
              <w:ind w:firstLineChars="200" w:firstLine="480"/>
              <w:jc w:val="left"/>
              <w:rPr>
                <w:rFonts w:eastAsia="仿宋_GB2312"/>
                <w:bCs/>
                <w:sz w:val="24"/>
                <w:szCs w:val="24"/>
              </w:rPr>
            </w:pPr>
            <w:r w:rsidRPr="00B73930">
              <w:rPr>
                <w:rFonts w:eastAsia="仿宋_GB2312" w:hint="eastAsia"/>
                <w:bCs/>
                <w:sz w:val="24"/>
                <w:szCs w:val="24"/>
              </w:rPr>
              <w:t>创新点</w:t>
            </w:r>
            <w:r w:rsidRPr="00B73930">
              <w:rPr>
                <w:rFonts w:eastAsia="仿宋_GB2312" w:hint="eastAsia"/>
                <w:bCs/>
                <w:sz w:val="24"/>
                <w:szCs w:val="24"/>
              </w:rPr>
              <w:t>2</w:t>
            </w:r>
            <w:r w:rsidRPr="00B73930">
              <w:rPr>
                <w:rFonts w:eastAsia="仿宋_GB2312" w:hint="eastAsia"/>
                <w:bCs/>
                <w:sz w:val="24"/>
                <w:szCs w:val="24"/>
              </w:rPr>
              <w:t>：拓展溶液燃烧合成新机制，实现了高性能介观能源材料的超快合成。针对溶液燃烧合成中“燃烧过程可控性差”和“产物形貌可控性差”难题，提出溶液燃烧新模式——“喷发燃烧”，实现类似于自然界火山喷发的燃烧模式；且基于金属络合改性溶液燃烧的新机制，实现多孔能源材料的一步、快速、可控制备。与传统溶液燃烧法相比，新燃烧模式更连续、可控，产物颗粒更小、比表面积更大、储能性能明显提升。此外，阐明储锂性能与燃烧所获多孔结构的关联机制。</w:t>
            </w:r>
          </w:p>
          <w:p w14:paraId="7FDAB160" w14:textId="18DDFD73" w:rsidR="00E11A45" w:rsidRDefault="00B73930" w:rsidP="00B73930">
            <w:pPr>
              <w:spacing w:line="440" w:lineRule="exact"/>
              <w:ind w:firstLineChars="200" w:firstLine="480"/>
              <w:jc w:val="left"/>
              <w:rPr>
                <w:rFonts w:eastAsia="仿宋_GB2312"/>
                <w:bCs/>
                <w:sz w:val="24"/>
                <w:szCs w:val="24"/>
              </w:rPr>
            </w:pPr>
            <w:r w:rsidRPr="00B73930">
              <w:rPr>
                <w:rFonts w:eastAsia="仿宋_GB2312" w:hint="eastAsia"/>
                <w:bCs/>
                <w:sz w:val="24"/>
                <w:szCs w:val="24"/>
              </w:rPr>
              <w:lastRenderedPageBreak/>
              <w:t>创新点</w:t>
            </w:r>
            <w:r w:rsidRPr="00B73930">
              <w:rPr>
                <w:rFonts w:eastAsia="仿宋_GB2312" w:hint="eastAsia"/>
                <w:bCs/>
                <w:sz w:val="24"/>
                <w:szCs w:val="24"/>
              </w:rPr>
              <w:t>3</w:t>
            </w:r>
            <w:r w:rsidRPr="00B73930">
              <w:rPr>
                <w:rFonts w:eastAsia="仿宋_GB2312" w:hint="eastAsia"/>
                <w:bCs/>
                <w:sz w:val="24"/>
                <w:szCs w:val="24"/>
              </w:rPr>
              <w:t>：提出新策略实现介观能源材料功能基元晶格的精细调制，并基于此揭示了介观尺度下功能基元结构表面态与本征电化学活性关联规律。针对“介观尺度下功能基元晶格调控易引起骨架结构局域环境剧烈变化与破坏”的难题，创新性地发展了轻元素晶格取代、前驱体转换诱导生长、氢离子脱溶等策略，实现了介观能源材料功能基元晶格的精细调制，成为调控介观能源材料功能基元表界面电子结构的新思路。建立介观体系下功能基元晶格与微观表界面电子结构调控理论模型，揭示介观能源材料功能基元结构表面态与电化学活性的构效关系，为介观能源材料的应用机制提供了研究积累。</w:t>
            </w:r>
          </w:p>
        </w:tc>
      </w:tr>
      <w:tr w:rsidR="00E11A45" w14:paraId="312862FE" w14:textId="77777777">
        <w:trPr>
          <w:trHeight w:val="1465"/>
          <w:jc w:val="center"/>
        </w:trPr>
        <w:tc>
          <w:tcPr>
            <w:tcW w:w="2269" w:type="dxa"/>
            <w:tcBorders>
              <w:right w:val="single" w:sz="4" w:space="0" w:color="auto"/>
            </w:tcBorders>
            <w:vAlign w:val="center"/>
          </w:tcPr>
          <w:p w14:paraId="6BA95A7D" w14:textId="77777777" w:rsidR="00E11A45" w:rsidRDefault="00AE404A">
            <w:pPr>
              <w:spacing w:line="440" w:lineRule="exact"/>
              <w:jc w:val="center"/>
              <w:rPr>
                <w:rFonts w:eastAsia="仿宋_GB2312"/>
                <w:b/>
                <w:bCs/>
                <w:sz w:val="24"/>
                <w:szCs w:val="24"/>
              </w:rPr>
            </w:pPr>
            <w:r>
              <w:rPr>
                <w:rFonts w:eastAsia="仿宋_GB2312"/>
                <w:b/>
                <w:bCs/>
                <w:sz w:val="24"/>
                <w:szCs w:val="24"/>
              </w:rPr>
              <w:lastRenderedPageBreak/>
              <w:t>提名书</w:t>
            </w:r>
          </w:p>
          <w:p w14:paraId="5B0168BE" w14:textId="77777777" w:rsidR="00E11A45" w:rsidRDefault="00AE404A">
            <w:pPr>
              <w:spacing w:line="440" w:lineRule="exact"/>
              <w:jc w:val="center"/>
              <w:rPr>
                <w:rFonts w:eastAsia="仿宋_GB2312"/>
                <w:b/>
                <w:bCs/>
                <w:sz w:val="24"/>
                <w:szCs w:val="24"/>
              </w:rPr>
            </w:pPr>
            <w:r>
              <w:rPr>
                <w:rFonts w:eastAsia="仿宋_GB2312"/>
                <w:b/>
                <w:bCs/>
                <w:sz w:val="24"/>
                <w:szCs w:val="24"/>
              </w:rPr>
              <w:t>相关内容</w:t>
            </w:r>
          </w:p>
        </w:tc>
        <w:tc>
          <w:tcPr>
            <w:tcW w:w="7051" w:type="dxa"/>
            <w:tcBorders>
              <w:left w:val="single" w:sz="4" w:space="0" w:color="auto"/>
            </w:tcBorders>
            <w:vAlign w:val="center"/>
          </w:tcPr>
          <w:p w14:paraId="254C2435" w14:textId="77777777" w:rsidR="00E11A45" w:rsidRDefault="00352B01" w:rsidP="00352B01">
            <w:pPr>
              <w:pStyle w:val="a8"/>
              <w:numPr>
                <w:ilvl w:val="0"/>
                <w:numId w:val="1"/>
              </w:numPr>
              <w:spacing w:line="440" w:lineRule="exact"/>
              <w:ind w:firstLineChars="0"/>
              <w:jc w:val="left"/>
              <w:rPr>
                <w:rFonts w:eastAsia="仿宋_GB2312"/>
                <w:bCs/>
                <w:sz w:val="24"/>
                <w:szCs w:val="24"/>
              </w:rPr>
            </w:pPr>
            <w:r w:rsidRPr="00352B01">
              <w:rPr>
                <w:rFonts w:eastAsia="仿宋_GB2312"/>
                <w:bCs/>
                <w:sz w:val="24"/>
                <w:szCs w:val="24"/>
              </w:rPr>
              <w:t>Pseudocapacitance-enhanced Li-ion microbatteries derived by a TiN@TiO</w:t>
            </w:r>
            <w:r w:rsidRPr="00352B01">
              <w:rPr>
                <w:rFonts w:eastAsia="仿宋_GB2312"/>
                <w:bCs/>
                <w:sz w:val="24"/>
                <w:szCs w:val="24"/>
                <w:vertAlign w:val="subscript"/>
              </w:rPr>
              <w:t>2</w:t>
            </w:r>
            <w:r w:rsidRPr="00352B01">
              <w:rPr>
                <w:rFonts w:eastAsia="仿宋_GB2312"/>
                <w:bCs/>
                <w:sz w:val="24"/>
                <w:szCs w:val="24"/>
              </w:rPr>
              <w:t xml:space="preserve"> nanowire anode. Chem</w:t>
            </w:r>
            <w:r w:rsidRPr="00352B01">
              <w:rPr>
                <w:rFonts w:eastAsia="仿宋_GB2312" w:hint="eastAsia"/>
                <w:bCs/>
                <w:sz w:val="24"/>
                <w:szCs w:val="24"/>
              </w:rPr>
              <w:t>,</w:t>
            </w:r>
            <w:r w:rsidRPr="00352B01">
              <w:rPr>
                <w:rFonts w:eastAsia="仿宋_GB2312"/>
                <w:bCs/>
                <w:sz w:val="24"/>
                <w:szCs w:val="24"/>
              </w:rPr>
              <w:t xml:space="preserve"> 2017, 2(3), 404−416</w:t>
            </w:r>
            <w:r>
              <w:rPr>
                <w:rFonts w:eastAsia="仿宋_GB2312"/>
                <w:bCs/>
                <w:sz w:val="24"/>
                <w:szCs w:val="24"/>
              </w:rPr>
              <w:t>.</w:t>
            </w:r>
          </w:p>
          <w:p w14:paraId="6CDB53A1" w14:textId="77777777" w:rsidR="00352B01" w:rsidRDefault="00352B01" w:rsidP="00352B01">
            <w:pPr>
              <w:pStyle w:val="a8"/>
              <w:numPr>
                <w:ilvl w:val="0"/>
                <w:numId w:val="1"/>
              </w:numPr>
              <w:spacing w:line="440" w:lineRule="exact"/>
              <w:ind w:firstLineChars="0"/>
              <w:jc w:val="left"/>
              <w:rPr>
                <w:rFonts w:eastAsia="仿宋_GB2312"/>
                <w:bCs/>
                <w:sz w:val="24"/>
                <w:szCs w:val="24"/>
              </w:rPr>
            </w:pPr>
            <w:r w:rsidRPr="00352B01">
              <w:rPr>
                <w:rFonts w:eastAsia="仿宋_GB2312"/>
                <w:bCs/>
                <w:sz w:val="24"/>
                <w:szCs w:val="24"/>
              </w:rPr>
              <w:t>Strongly coupled dual zerovalent nonmetal doped nickel phosphide Nanoparticles/N, B-graphene hybrid for pH-Universal hydrogen evolution catalysis. Applied Catalysis B: Environmental</w:t>
            </w:r>
            <w:r>
              <w:rPr>
                <w:rFonts w:eastAsia="仿宋_GB2312"/>
                <w:bCs/>
                <w:sz w:val="24"/>
                <w:szCs w:val="24"/>
              </w:rPr>
              <w:t xml:space="preserve">, </w:t>
            </w:r>
            <w:r w:rsidRPr="00352B01">
              <w:rPr>
                <w:rFonts w:eastAsia="仿宋_GB2312"/>
                <w:bCs/>
                <w:sz w:val="24"/>
                <w:szCs w:val="24"/>
              </w:rPr>
              <w:t>2020, 278, 119284</w:t>
            </w:r>
            <w:r>
              <w:rPr>
                <w:rFonts w:eastAsia="仿宋_GB2312"/>
                <w:bCs/>
                <w:sz w:val="24"/>
                <w:szCs w:val="24"/>
              </w:rPr>
              <w:t>.</w:t>
            </w:r>
          </w:p>
          <w:p w14:paraId="3F8C11D1" w14:textId="77777777" w:rsidR="00352B01" w:rsidRDefault="00B83C5C" w:rsidP="00352B01">
            <w:pPr>
              <w:pStyle w:val="a8"/>
              <w:numPr>
                <w:ilvl w:val="0"/>
                <w:numId w:val="1"/>
              </w:numPr>
              <w:spacing w:line="440" w:lineRule="exact"/>
              <w:ind w:firstLineChars="0"/>
              <w:jc w:val="left"/>
              <w:rPr>
                <w:rFonts w:eastAsia="仿宋_GB2312"/>
                <w:bCs/>
                <w:sz w:val="24"/>
                <w:szCs w:val="24"/>
              </w:rPr>
            </w:pPr>
            <w:r w:rsidRPr="00B83C5C">
              <w:rPr>
                <w:rFonts w:eastAsia="仿宋_GB2312"/>
                <w:bCs/>
                <w:sz w:val="24"/>
                <w:szCs w:val="24"/>
              </w:rPr>
              <w:t>Rapid one-step synthesis and electrochemical performance of NiO/Ni with tunable macroporous architectures. Nano Energy</w:t>
            </w:r>
            <w:r>
              <w:rPr>
                <w:rFonts w:eastAsia="仿宋_GB2312"/>
                <w:bCs/>
                <w:sz w:val="24"/>
                <w:szCs w:val="24"/>
              </w:rPr>
              <w:t xml:space="preserve">, </w:t>
            </w:r>
            <w:r w:rsidRPr="00B83C5C">
              <w:rPr>
                <w:rFonts w:eastAsia="仿宋_GB2312"/>
                <w:bCs/>
                <w:sz w:val="24"/>
                <w:szCs w:val="24"/>
              </w:rPr>
              <w:t>2013, 2(6), 1383−1390</w:t>
            </w:r>
            <w:r>
              <w:rPr>
                <w:rFonts w:eastAsia="仿宋_GB2312"/>
                <w:bCs/>
                <w:sz w:val="24"/>
                <w:szCs w:val="24"/>
              </w:rPr>
              <w:t>.</w:t>
            </w:r>
          </w:p>
          <w:p w14:paraId="25ADA15D" w14:textId="77777777" w:rsidR="00B83C5C" w:rsidRDefault="008D1A8A" w:rsidP="00352B01">
            <w:pPr>
              <w:pStyle w:val="a8"/>
              <w:numPr>
                <w:ilvl w:val="0"/>
                <w:numId w:val="1"/>
              </w:numPr>
              <w:spacing w:line="440" w:lineRule="exact"/>
              <w:ind w:firstLineChars="0"/>
              <w:jc w:val="left"/>
              <w:rPr>
                <w:rFonts w:eastAsia="仿宋_GB2312"/>
                <w:bCs/>
                <w:sz w:val="24"/>
                <w:szCs w:val="24"/>
              </w:rPr>
            </w:pPr>
            <w:r w:rsidRPr="008D1A8A">
              <w:rPr>
                <w:rFonts w:eastAsia="仿宋_GB2312"/>
                <w:bCs/>
                <w:sz w:val="24"/>
                <w:szCs w:val="24"/>
              </w:rPr>
              <w:t>Eruption combustion synthesis of NiO/Ni nanocomposites with enhanced properties for dye-absorption and lithium storage. ACS Applied Materials &amp; Interfaces</w:t>
            </w:r>
            <w:r>
              <w:rPr>
                <w:rFonts w:eastAsia="仿宋_GB2312"/>
                <w:bCs/>
                <w:sz w:val="24"/>
                <w:szCs w:val="24"/>
              </w:rPr>
              <w:t xml:space="preserve">, </w:t>
            </w:r>
            <w:r w:rsidRPr="008D1A8A">
              <w:rPr>
                <w:rFonts w:eastAsia="仿宋_GB2312"/>
                <w:bCs/>
                <w:sz w:val="24"/>
                <w:szCs w:val="24"/>
              </w:rPr>
              <w:t>2011, 3(10), 4112-4119</w:t>
            </w:r>
            <w:r>
              <w:rPr>
                <w:rFonts w:eastAsia="仿宋_GB2312"/>
                <w:bCs/>
                <w:sz w:val="24"/>
                <w:szCs w:val="24"/>
              </w:rPr>
              <w:t>.</w:t>
            </w:r>
          </w:p>
          <w:p w14:paraId="3DFBC89D" w14:textId="77777777" w:rsidR="008D1A8A" w:rsidRDefault="008642C8" w:rsidP="00352B01">
            <w:pPr>
              <w:pStyle w:val="a8"/>
              <w:numPr>
                <w:ilvl w:val="0"/>
                <w:numId w:val="1"/>
              </w:numPr>
              <w:spacing w:line="440" w:lineRule="exact"/>
              <w:ind w:firstLineChars="0"/>
              <w:jc w:val="left"/>
              <w:rPr>
                <w:rFonts w:eastAsia="仿宋_GB2312"/>
                <w:bCs/>
                <w:sz w:val="24"/>
                <w:szCs w:val="24"/>
              </w:rPr>
            </w:pPr>
            <w:r w:rsidRPr="008642C8">
              <w:rPr>
                <w:rFonts w:eastAsia="仿宋_GB2312" w:hint="eastAsia"/>
                <w:bCs/>
                <w:sz w:val="24"/>
                <w:szCs w:val="24"/>
              </w:rPr>
              <w:t>溶液燃烧合成及应用</w:t>
            </w:r>
            <w:r>
              <w:rPr>
                <w:rFonts w:eastAsia="仿宋_GB2312"/>
                <w:bCs/>
                <w:sz w:val="24"/>
                <w:szCs w:val="24"/>
              </w:rPr>
              <w:t xml:space="preserve">. </w:t>
            </w:r>
            <w:r w:rsidRPr="008642C8">
              <w:rPr>
                <w:rFonts w:eastAsia="仿宋_GB2312" w:hint="eastAsia"/>
                <w:bCs/>
                <w:sz w:val="24"/>
                <w:szCs w:val="24"/>
              </w:rPr>
              <w:t>科学出版社</w:t>
            </w:r>
            <w:r>
              <w:rPr>
                <w:rFonts w:eastAsia="仿宋_GB2312" w:hint="eastAsia"/>
                <w:bCs/>
                <w:sz w:val="24"/>
                <w:szCs w:val="24"/>
              </w:rPr>
              <w:t>,</w:t>
            </w:r>
            <w:r>
              <w:rPr>
                <w:rFonts w:eastAsia="仿宋_GB2312"/>
                <w:bCs/>
                <w:sz w:val="24"/>
                <w:szCs w:val="24"/>
              </w:rPr>
              <w:t xml:space="preserve"> </w:t>
            </w:r>
            <w:r w:rsidRPr="008642C8">
              <w:rPr>
                <w:rFonts w:eastAsia="仿宋_GB2312"/>
                <w:bCs/>
                <w:sz w:val="24"/>
                <w:szCs w:val="24"/>
              </w:rPr>
              <w:t>ISBN: 978-03-057256-1</w:t>
            </w:r>
          </w:p>
          <w:p w14:paraId="4B0CE5BE" w14:textId="77777777" w:rsidR="008642C8" w:rsidRDefault="005B4117" w:rsidP="00352B01">
            <w:pPr>
              <w:pStyle w:val="a8"/>
              <w:numPr>
                <w:ilvl w:val="0"/>
                <w:numId w:val="1"/>
              </w:numPr>
              <w:spacing w:line="440" w:lineRule="exact"/>
              <w:ind w:firstLineChars="0"/>
              <w:jc w:val="left"/>
              <w:rPr>
                <w:rFonts w:eastAsia="仿宋_GB2312"/>
                <w:bCs/>
                <w:sz w:val="24"/>
                <w:szCs w:val="24"/>
              </w:rPr>
            </w:pPr>
            <w:r w:rsidRPr="005B4117">
              <w:rPr>
                <w:rFonts w:eastAsia="仿宋_GB2312"/>
                <w:bCs/>
                <w:sz w:val="24"/>
                <w:szCs w:val="24"/>
              </w:rPr>
              <w:t>Univariate lattice parameter modulation of single-crystal-like anatase TiO</w:t>
            </w:r>
            <w:r w:rsidRPr="005B4117">
              <w:rPr>
                <w:rFonts w:eastAsia="仿宋_GB2312"/>
                <w:bCs/>
                <w:sz w:val="24"/>
                <w:szCs w:val="24"/>
                <w:vertAlign w:val="subscript"/>
              </w:rPr>
              <w:t>2</w:t>
            </w:r>
            <w:r w:rsidRPr="005B4117">
              <w:rPr>
                <w:rFonts w:eastAsia="仿宋_GB2312"/>
                <w:bCs/>
                <w:sz w:val="24"/>
                <w:szCs w:val="24"/>
              </w:rPr>
              <w:t xml:space="preserve"> hierarchical nanowire arrays to improve photoactivity. Chemistry of Materials</w:t>
            </w:r>
            <w:r>
              <w:rPr>
                <w:rFonts w:eastAsia="仿宋_GB2312"/>
                <w:bCs/>
                <w:sz w:val="24"/>
                <w:szCs w:val="24"/>
              </w:rPr>
              <w:t xml:space="preserve">, </w:t>
            </w:r>
            <w:r w:rsidRPr="005B4117">
              <w:rPr>
                <w:rFonts w:eastAsia="仿宋_GB2312"/>
                <w:bCs/>
                <w:sz w:val="24"/>
                <w:szCs w:val="24"/>
              </w:rPr>
              <w:t>2021, 33(4), 1489−1497</w:t>
            </w:r>
            <w:r>
              <w:rPr>
                <w:rFonts w:eastAsia="仿宋_GB2312"/>
                <w:bCs/>
                <w:sz w:val="24"/>
                <w:szCs w:val="24"/>
              </w:rPr>
              <w:t>.</w:t>
            </w:r>
          </w:p>
          <w:p w14:paraId="45DF8214" w14:textId="77777777" w:rsidR="005B4117" w:rsidRDefault="0088113A" w:rsidP="00352B01">
            <w:pPr>
              <w:pStyle w:val="a8"/>
              <w:numPr>
                <w:ilvl w:val="0"/>
                <w:numId w:val="1"/>
              </w:numPr>
              <w:spacing w:line="440" w:lineRule="exact"/>
              <w:ind w:firstLineChars="0"/>
              <w:jc w:val="left"/>
              <w:rPr>
                <w:rFonts w:eastAsia="仿宋_GB2312"/>
                <w:bCs/>
                <w:sz w:val="24"/>
                <w:szCs w:val="24"/>
              </w:rPr>
            </w:pPr>
            <w:r w:rsidRPr="0088113A">
              <w:rPr>
                <w:rFonts w:eastAsia="仿宋_GB2312"/>
                <w:bCs/>
                <w:sz w:val="24"/>
                <w:szCs w:val="24"/>
              </w:rPr>
              <w:t>Surface-induced desolvation of hydronium ion enables anatase TiO</w:t>
            </w:r>
            <w:r w:rsidRPr="0088113A">
              <w:rPr>
                <w:rFonts w:eastAsia="仿宋_GB2312"/>
                <w:bCs/>
                <w:sz w:val="24"/>
                <w:szCs w:val="24"/>
                <w:vertAlign w:val="subscript"/>
              </w:rPr>
              <w:t>2</w:t>
            </w:r>
            <w:r w:rsidRPr="0088113A">
              <w:rPr>
                <w:rFonts w:eastAsia="仿宋_GB2312"/>
                <w:bCs/>
                <w:sz w:val="24"/>
                <w:szCs w:val="24"/>
              </w:rPr>
              <w:t xml:space="preserve"> as an efficient anode for proton batteries. Nano Letters</w:t>
            </w:r>
            <w:r>
              <w:rPr>
                <w:rFonts w:eastAsia="仿宋_GB2312"/>
                <w:bCs/>
                <w:sz w:val="24"/>
                <w:szCs w:val="24"/>
              </w:rPr>
              <w:t xml:space="preserve">, </w:t>
            </w:r>
            <w:r w:rsidRPr="0088113A">
              <w:rPr>
                <w:rFonts w:eastAsia="仿宋_GB2312"/>
                <w:bCs/>
                <w:sz w:val="24"/>
                <w:szCs w:val="24"/>
              </w:rPr>
              <w:t>2021, 21(16), 7021−7029</w:t>
            </w:r>
            <w:r>
              <w:rPr>
                <w:rFonts w:eastAsia="仿宋_GB2312"/>
                <w:bCs/>
                <w:sz w:val="24"/>
                <w:szCs w:val="24"/>
              </w:rPr>
              <w:t>.</w:t>
            </w:r>
          </w:p>
          <w:p w14:paraId="601C1A43" w14:textId="6951B3F8" w:rsidR="0088113A" w:rsidRPr="00352B01" w:rsidRDefault="0088113A" w:rsidP="00352B01">
            <w:pPr>
              <w:pStyle w:val="a8"/>
              <w:numPr>
                <w:ilvl w:val="0"/>
                <w:numId w:val="1"/>
              </w:numPr>
              <w:spacing w:line="440" w:lineRule="exact"/>
              <w:ind w:firstLineChars="0"/>
              <w:jc w:val="left"/>
              <w:rPr>
                <w:rFonts w:eastAsia="仿宋_GB2312"/>
                <w:bCs/>
                <w:sz w:val="24"/>
                <w:szCs w:val="24"/>
              </w:rPr>
            </w:pPr>
            <w:r w:rsidRPr="0088113A">
              <w:rPr>
                <w:rFonts w:eastAsia="仿宋_GB2312"/>
                <w:bCs/>
                <w:sz w:val="24"/>
                <w:szCs w:val="24"/>
              </w:rPr>
              <w:t xml:space="preserve">Nitrogen-doped cobalt diselenide with cubic phase maintained for enhanced alkaline hydrogen evolution. Angewandte Chemie- </w:t>
            </w:r>
            <w:r w:rsidRPr="0088113A">
              <w:rPr>
                <w:rFonts w:eastAsia="仿宋_GB2312"/>
                <w:bCs/>
                <w:sz w:val="24"/>
                <w:szCs w:val="24"/>
              </w:rPr>
              <w:lastRenderedPageBreak/>
              <w:t>International Edition</w:t>
            </w:r>
            <w:r>
              <w:rPr>
                <w:rFonts w:eastAsia="仿宋_GB2312"/>
                <w:bCs/>
                <w:sz w:val="24"/>
                <w:szCs w:val="24"/>
              </w:rPr>
              <w:t xml:space="preserve">, </w:t>
            </w:r>
            <w:r w:rsidRPr="0088113A">
              <w:rPr>
                <w:rFonts w:eastAsia="仿宋_GB2312"/>
                <w:bCs/>
                <w:sz w:val="24"/>
                <w:szCs w:val="24"/>
              </w:rPr>
              <w:t>2021, 60, 21575-21582.</w:t>
            </w:r>
          </w:p>
        </w:tc>
      </w:tr>
      <w:tr w:rsidR="00E11A45" w14:paraId="638B2D26" w14:textId="77777777">
        <w:trPr>
          <w:trHeight w:val="1654"/>
          <w:jc w:val="center"/>
        </w:trPr>
        <w:tc>
          <w:tcPr>
            <w:tcW w:w="2269" w:type="dxa"/>
            <w:vAlign w:val="center"/>
          </w:tcPr>
          <w:p w14:paraId="756A7E44" w14:textId="77777777" w:rsidR="00E11A45" w:rsidRDefault="00AE404A">
            <w:pPr>
              <w:spacing w:line="440" w:lineRule="exact"/>
              <w:jc w:val="center"/>
              <w:rPr>
                <w:rFonts w:eastAsia="仿宋_GB2312"/>
                <w:b/>
                <w:bCs/>
                <w:sz w:val="24"/>
                <w:szCs w:val="24"/>
                <w:lang w:val="en"/>
              </w:rPr>
            </w:pPr>
            <w:r>
              <w:rPr>
                <w:rFonts w:eastAsia="仿宋_GB2312"/>
                <w:b/>
                <w:bCs/>
                <w:sz w:val="24"/>
                <w:szCs w:val="24"/>
              </w:rPr>
              <w:lastRenderedPageBreak/>
              <w:t>主要完</w:t>
            </w:r>
            <w:r>
              <w:rPr>
                <w:rFonts w:eastAsia="仿宋_GB2312"/>
                <w:b/>
                <w:bCs/>
                <w:sz w:val="24"/>
                <w:szCs w:val="24"/>
              </w:rPr>
              <w:t>成人</w:t>
            </w:r>
          </w:p>
        </w:tc>
        <w:tc>
          <w:tcPr>
            <w:tcW w:w="7051" w:type="dxa"/>
            <w:vAlign w:val="center"/>
          </w:tcPr>
          <w:p w14:paraId="117AE84C" w14:textId="4B2F21F4" w:rsidR="00E11A45" w:rsidRDefault="00424E22">
            <w:pPr>
              <w:spacing w:line="440" w:lineRule="exact"/>
              <w:rPr>
                <w:rFonts w:eastAsia="仿宋_GB2312"/>
                <w:bCs/>
                <w:sz w:val="24"/>
                <w:szCs w:val="24"/>
              </w:rPr>
            </w:pPr>
            <w:r>
              <w:rPr>
                <w:rFonts w:eastAsia="仿宋_GB2312" w:hint="eastAsia"/>
                <w:bCs/>
                <w:sz w:val="24"/>
                <w:szCs w:val="24"/>
              </w:rPr>
              <w:t>文伟</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海南大学</w:t>
            </w:r>
            <w:r>
              <w:rPr>
                <w:rFonts w:eastAsia="仿宋_GB2312"/>
                <w:bCs/>
                <w:sz w:val="24"/>
                <w:szCs w:val="24"/>
              </w:rPr>
              <w:t>；</w:t>
            </w:r>
          </w:p>
          <w:p w14:paraId="332E6D2C" w14:textId="4EDAB40E" w:rsidR="00E11A45" w:rsidRDefault="00424E22">
            <w:pPr>
              <w:spacing w:line="440" w:lineRule="exact"/>
              <w:rPr>
                <w:rFonts w:eastAsia="仿宋_GB2312"/>
                <w:bCs/>
                <w:sz w:val="24"/>
                <w:szCs w:val="24"/>
              </w:rPr>
            </w:pPr>
            <w:r>
              <w:rPr>
                <w:rFonts w:eastAsia="仿宋_GB2312" w:hint="eastAsia"/>
                <w:bCs/>
                <w:sz w:val="24"/>
                <w:szCs w:val="24"/>
              </w:rPr>
              <w:t>徐坤</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安徽大学</w:t>
            </w:r>
            <w:r>
              <w:rPr>
                <w:rFonts w:eastAsia="仿宋_GB2312"/>
                <w:bCs/>
                <w:sz w:val="24"/>
                <w:szCs w:val="24"/>
              </w:rPr>
              <w:t>；</w:t>
            </w:r>
          </w:p>
          <w:p w14:paraId="171F085B" w14:textId="144994FA" w:rsidR="00E11A45" w:rsidRDefault="00424E22">
            <w:pPr>
              <w:spacing w:line="440" w:lineRule="exact"/>
              <w:rPr>
                <w:rFonts w:eastAsia="仿宋_GB2312"/>
                <w:bCs/>
                <w:sz w:val="24"/>
                <w:szCs w:val="24"/>
              </w:rPr>
            </w:pPr>
            <w:r>
              <w:rPr>
                <w:rFonts w:eastAsia="仿宋_GB2312" w:hint="eastAsia"/>
                <w:bCs/>
                <w:sz w:val="24"/>
                <w:szCs w:val="24"/>
              </w:rPr>
              <w:t>孙一强</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济南大学</w:t>
            </w:r>
            <w:r>
              <w:rPr>
                <w:rFonts w:eastAsia="仿宋_GB2312"/>
                <w:bCs/>
                <w:sz w:val="24"/>
                <w:szCs w:val="24"/>
              </w:rPr>
              <w:t>；</w:t>
            </w:r>
          </w:p>
          <w:p w14:paraId="1C903698" w14:textId="00174849" w:rsidR="00E11A45" w:rsidRDefault="00424E22">
            <w:pPr>
              <w:spacing w:line="440" w:lineRule="exact"/>
              <w:rPr>
                <w:rFonts w:eastAsia="仿宋_GB2312"/>
                <w:bCs/>
                <w:sz w:val="24"/>
                <w:szCs w:val="24"/>
              </w:rPr>
            </w:pPr>
            <w:r>
              <w:rPr>
                <w:rFonts w:eastAsia="仿宋_GB2312" w:hint="eastAsia"/>
                <w:bCs/>
                <w:sz w:val="24"/>
                <w:szCs w:val="24"/>
              </w:rPr>
              <w:t>吴进明</w:t>
            </w:r>
            <w:r>
              <w:rPr>
                <w:rFonts w:eastAsia="仿宋_GB2312"/>
                <w:bCs/>
                <w:sz w:val="24"/>
                <w:szCs w:val="24"/>
              </w:rPr>
              <w:t>，排名</w:t>
            </w:r>
            <w:r>
              <w:rPr>
                <w:rFonts w:eastAsia="仿宋_GB2312"/>
                <w:bCs/>
                <w:sz w:val="24"/>
                <w:szCs w:val="24"/>
              </w:rPr>
              <w:t>4</w:t>
            </w:r>
            <w:r>
              <w:rPr>
                <w:rFonts w:eastAsia="仿宋_GB2312"/>
                <w:bCs/>
                <w:sz w:val="24"/>
                <w:szCs w:val="24"/>
              </w:rPr>
              <w:t>，</w:t>
            </w:r>
            <w:r>
              <w:rPr>
                <w:rFonts w:eastAsia="仿宋_GB2312" w:hint="eastAsia"/>
                <w:bCs/>
                <w:sz w:val="24"/>
                <w:szCs w:val="24"/>
              </w:rPr>
              <w:t>教授</w:t>
            </w:r>
            <w:r>
              <w:rPr>
                <w:rFonts w:eastAsia="仿宋_GB2312"/>
                <w:bCs/>
                <w:sz w:val="24"/>
                <w:szCs w:val="24"/>
              </w:rPr>
              <w:t>，</w:t>
            </w:r>
            <w:r>
              <w:rPr>
                <w:rFonts w:eastAsia="仿宋_GB2312" w:hint="eastAsia"/>
                <w:bCs/>
                <w:sz w:val="24"/>
                <w:szCs w:val="24"/>
              </w:rPr>
              <w:t>浙江大学</w:t>
            </w:r>
            <w:r>
              <w:rPr>
                <w:rFonts w:eastAsia="仿宋_GB2312"/>
                <w:bCs/>
                <w:sz w:val="24"/>
                <w:szCs w:val="24"/>
              </w:rPr>
              <w:t>；</w:t>
            </w:r>
          </w:p>
        </w:tc>
      </w:tr>
      <w:tr w:rsidR="00E11A45" w14:paraId="5CAC9C33" w14:textId="77777777">
        <w:trPr>
          <w:trHeight w:val="948"/>
          <w:jc w:val="center"/>
        </w:trPr>
        <w:tc>
          <w:tcPr>
            <w:tcW w:w="2269" w:type="dxa"/>
            <w:vAlign w:val="center"/>
          </w:tcPr>
          <w:p w14:paraId="6D4FF307" w14:textId="77777777" w:rsidR="00E11A45" w:rsidRDefault="00AE404A">
            <w:pPr>
              <w:spacing w:line="440" w:lineRule="exact"/>
              <w:jc w:val="center"/>
              <w:rPr>
                <w:rFonts w:eastAsia="仿宋_GB2312"/>
                <w:b/>
                <w:bCs/>
                <w:sz w:val="24"/>
                <w:szCs w:val="24"/>
              </w:rPr>
            </w:pPr>
            <w:r>
              <w:rPr>
                <w:rFonts w:eastAsia="仿宋_GB2312"/>
                <w:b/>
                <w:bCs/>
                <w:sz w:val="24"/>
                <w:szCs w:val="24"/>
              </w:rPr>
              <w:t>主要完成单位</w:t>
            </w:r>
          </w:p>
        </w:tc>
        <w:tc>
          <w:tcPr>
            <w:tcW w:w="7051" w:type="dxa"/>
            <w:vAlign w:val="center"/>
          </w:tcPr>
          <w:p w14:paraId="2F2B46C9" w14:textId="42414FB1" w:rsidR="00E11A45" w:rsidRDefault="00AE404A">
            <w:pPr>
              <w:spacing w:line="440" w:lineRule="exact"/>
              <w:jc w:val="left"/>
              <w:rPr>
                <w:rFonts w:eastAsia="仿宋_GB2312"/>
                <w:bCs/>
                <w:sz w:val="24"/>
                <w:szCs w:val="24"/>
              </w:rPr>
            </w:pPr>
            <w:r>
              <w:rPr>
                <w:rFonts w:eastAsia="仿宋_GB2312"/>
                <w:bCs/>
                <w:sz w:val="24"/>
                <w:szCs w:val="24"/>
              </w:rPr>
              <w:t>1.</w:t>
            </w:r>
            <w:r w:rsidR="00424E22">
              <w:rPr>
                <w:rFonts w:eastAsia="仿宋_GB2312" w:hint="eastAsia"/>
                <w:bCs/>
                <w:sz w:val="24"/>
                <w:szCs w:val="24"/>
              </w:rPr>
              <w:t xml:space="preserve"> </w:t>
            </w:r>
            <w:r w:rsidR="00424E22">
              <w:rPr>
                <w:rFonts w:eastAsia="仿宋_GB2312" w:hint="eastAsia"/>
                <w:bCs/>
                <w:sz w:val="24"/>
                <w:szCs w:val="24"/>
              </w:rPr>
              <w:t>海南大学</w:t>
            </w:r>
          </w:p>
          <w:p w14:paraId="2A474E95" w14:textId="6FCE605C" w:rsidR="00E11A45" w:rsidRDefault="00AE404A">
            <w:pPr>
              <w:spacing w:line="440" w:lineRule="exact"/>
              <w:jc w:val="left"/>
              <w:rPr>
                <w:rFonts w:eastAsia="仿宋_GB2312"/>
                <w:bCs/>
                <w:sz w:val="24"/>
                <w:szCs w:val="24"/>
              </w:rPr>
            </w:pPr>
            <w:r>
              <w:rPr>
                <w:rFonts w:eastAsia="仿宋_GB2312"/>
                <w:bCs/>
                <w:sz w:val="24"/>
                <w:szCs w:val="24"/>
              </w:rPr>
              <w:t>2.</w:t>
            </w:r>
            <w:r w:rsidR="00424E22">
              <w:rPr>
                <w:rFonts w:eastAsia="仿宋_GB2312" w:hint="eastAsia"/>
                <w:bCs/>
                <w:sz w:val="24"/>
                <w:szCs w:val="24"/>
              </w:rPr>
              <w:t xml:space="preserve"> </w:t>
            </w:r>
            <w:r w:rsidR="00424E22">
              <w:rPr>
                <w:rFonts w:eastAsia="仿宋_GB2312" w:hint="eastAsia"/>
                <w:bCs/>
                <w:sz w:val="24"/>
                <w:szCs w:val="24"/>
              </w:rPr>
              <w:t>安徽大学</w:t>
            </w:r>
          </w:p>
          <w:p w14:paraId="0C9E8180" w14:textId="583A128C" w:rsidR="00E11A45" w:rsidRDefault="00AE404A">
            <w:pPr>
              <w:spacing w:line="440" w:lineRule="exact"/>
              <w:jc w:val="left"/>
              <w:rPr>
                <w:rFonts w:eastAsia="仿宋_GB2312"/>
                <w:bCs/>
                <w:sz w:val="24"/>
                <w:szCs w:val="24"/>
              </w:rPr>
            </w:pPr>
            <w:r>
              <w:rPr>
                <w:rFonts w:eastAsia="仿宋_GB2312"/>
                <w:bCs/>
                <w:sz w:val="24"/>
                <w:szCs w:val="24"/>
              </w:rPr>
              <w:t>3.</w:t>
            </w:r>
            <w:r w:rsidR="00424E22">
              <w:rPr>
                <w:rFonts w:eastAsia="仿宋_GB2312" w:hint="eastAsia"/>
                <w:bCs/>
                <w:sz w:val="24"/>
                <w:szCs w:val="24"/>
              </w:rPr>
              <w:t xml:space="preserve"> </w:t>
            </w:r>
            <w:r w:rsidR="00424E22">
              <w:rPr>
                <w:rFonts w:eastAsia="仿宋_GB2312" w:hint="eastAsia"/>
                <w:bCs/>
                <w:sz w:val="24"/>
                <w:szCs w:val="24"/>
              </w:rPr>
              <w:t>济南大学</w:t>
            </w:r>
          </w:p>
          <w:p w14:paraId="37DAB709" w14:textId="4014E02F" w:rsidR="00E11A45" w:rsidRPr="00424E22" w:rsidRDefault="00424E22">
            <w:pPr>
              <w:spacing w:line="440" w:lineRule="exact"/>
              <w:jc w:val="left"/>
              <w:rPr>
                <w:rFonts w:eastAsia="仿宋_GB2312"/>
                <w:bCs/>
                <w:sz w:val="24"/>
                <w:szCs w:val="24"/>
              </w:rPr>
            </w:pPr>
            <w:r>
              <w:rPr>
                <w:rFonts w:eastAsia="仿宋_GB2312"/>
                <w:bCs/>
                <w:sz w:val="24"/>
                <w:szCs w:val="24"/>
              </w:rPr>
              <w:t>4.</w:t>
            </w:r>
            <w:r>
              <w:rPr>
                <w:rFonts w:eastAsia="仿宋_GB2312" w:hint="eastAsia"/>
                <w:bCs/>
                <w:sz w:val="24"/>
                <w:szCs w:val="24"/>
              </w:rPr>
              <w:t xml:space="preserve"> </w:t>
            </w:r>
            <w:r>
              <w:rPr>
                <w:rFonts w:eastAsia="仿宋_GB2312" w:hint="eastAsia"/>
                <w:bCs/>
                <w:sz w:val="24"/>
                <w:szCs w:val="24"/>
              </w:rPr>
              <w:t>浙江大学</w:t>
            </w:r>
          </w:p>
        </w:tc>
      </w:tr>
    </w:tbl>
    <w:p w14:paraId="151B10FE" w14:textId="072B452F" w:rsidR="00E11A45" w:rsidRPr="00AF2710" w:rsidRDefault="00AE404A" w:rsidP="00AF2710">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说明：国际科学技术合作奖可不用公示，其余奖项必须公示</w:t>
      </w:r>
      <w:r>
        <w:rPr>
          <w:rFonts w:ascii="仿宋_GB2312" w:eastAsia="仿宋_GB2312" w:hAnsi="仿宋_GB2312" w:cs="仿宋_GB2312" w:hint="eastAsia"/>
          <w:b/>
          <w:bCs/>
          <w:sz w:val="24"/>
          <w:szCs w:val="24"/>
        </w:rPr>
        <w:t>至少</w:t>
      </w:r>
      <w:r>
        <w:rPr>
          <w:rFonts w:ascii="仿宋_GB2312" w:eastAsia="仿宋_GB2312" w:hAnsi="仿宋_GB2312" w:cs="仿宋_GB2312" w:hint="eastAsia"/>
          <w:b/>
          <w:bCs/>
          <w:sz w:val="24"/>
          <w:szCs w:val="24"/>
        </w:rPr>
        <w:t>7</w:t>
      </w:r>
      <w:r>
        <w:rPr>
          <w:rFonts w:ascii="仿宋_GB2312" w:eastAsia="仿宋_GB2312" w:hAnsi="仿宋_GB2312" w:cs="仿宋_GB2312" w:hint="eastAsia"/>
          <w:b/>
          <w:bCs/>
          <w:sz w:val="24"/>
          <w:szCs w:val="24"/>
        </w:rPr>
        <w:t>个</w:t>
      </w:r>
      <w:r>
        <w:rPr>
          <w:rFonts w:ascii="仿宋_GB2312" w:eastAsia="仿宋_GB2312" w:hAnsi="仿宋_GB2312" w:cs="仿宋_GB2312" w:hint="eastAsia"/>
          <w:b/>
          <w:bCs/>
          <w:sz w:val="24"/>
          <w:szCs w:val="24"/>
          <w:u w:val="wavyHeavy"/>
        </w:rPr>
        <w:t>工作日</w:t>
      </w:r>
    </w:p>
    <w:sectPr w:rsidR="00E11A45" w:rsidRPr="00AF27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6532A" w14:textId="77777777" w:rsidR="00AE404A" w:rsidRDefault="00AE404A" w:rsidP="006A1602">
      <w:r>
        <w:separator/>
      </w:r>
    </w:p>
  </w:endnote>
  <w:endnote w:type="continuationSeparator" w:id="0">
    <w:p w14:paraId="5FC9BBD0" w14:textId="77777777" w:rsidR="00AE404A" w:rsidRDefault="00AE404A" w:rsidP="006A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18DE4" w14:textId="77777777" w:rsidR="00AE404A" w:rsidRDefault="00AE404A" w:rsidP="006A1602">
      <w:r>
        <w:separator/>
      </w:r>
    </w:p>
  </w:footnote>
  <w:footnote w:type="continuationSeparator" w:id="0">
    <w:p w14:paraId="609EFB11" w14:textId="77777777" w:rsidR="00AE404A" w:rsidRDefault="00AE404A" w:rsidP="006A16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E0872"/>
    <w:multiLevelType w:val="hybridMultilevel"/>
    <w:tmpl w:val="42320D88"/>
    <w:lvl w:ilvl="0" w:tplc="F014B3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NjJkYWM4YjU5NDc4MWRkNzYxZGM2YjNlZWUzZGEifQ=="/>
  </w:docVars>
  <w:rsids>
    <w:rsidRoot w:val="00E11A45"/>
    <w:rsid w:val="000C3859"/>
    <w:rsid w:val="00352B01"/>
    <w:rsid w:val="00424E22"/>
    <w:rsid w:val="005B4117"/>
    <w:rsid w:val="006555E3"/>
    <w:rsid w:val="006A1602"/>
    <w:rsid w:val="00813632"/>
    <w:rsid w:val="008642C8"/>
    <w:rsid w:val="0088113A"/>
    <w:rsid w:val="008D1A8A"/>
    <w:rsid w:val="00A06CF1"/>
    <w:rsid w:val="00AE404A"/>
    <w:rsid w:val="00AF2710"/>
    <w:rsid w:val="00B15A96"/>
    <w:rsid w:val="00B73930"/>
    <w:rsid w:val="00B83C5C"/>
    <w:rsid w:val="00C835A1"/>
    <w:rsid w:val="00E11A45"/>
    <w:rsid w:val="00EA613D"/>
    <w:rsid w:val="391953AC"/>
    <w:rsid w:val="5432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A0330"/>
  <w15:docId w15:val="{BCFF6F97-7249-416A-A6E4-4A7478D1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character" w:customStyle="1" w:styleId="title1">
    <w:name w:val="title1"/>
    <w:qFormat/>
    <w:rPr>
      <w:b/>
      <w:bCs/>
      <w:color w:val="999900"/>
      <w:sz w:val="24"/>
      <w:szCs w:val="24"/>
    </w:rPr>
  </w:style>
  <w:style w:type="paragraph" w:styleId="a4">
    <w:name w:val="header"/>
    <w:basedOn w:val="a"/>
    <w:link w:val="a5"/>
    <w:rsid w:val="006A1602"/>
    <w:pPr>
      <w:tabs>
        <w:tab w:val="center" w:pos="4153"/>
        <w:tab w:val="right" w:pos="8306"/>
      </w:tabs>
      <w:snapToGrid w:val="0"/>
      <w:jc w:val="center"/>
    </w:pPr>
    <w:rPr>
      <w:sz w:val="18"/>
      <w:szCs w:val="18"/>
    </w:rPr>
  </w:style>
  <w:style w:type="character" w:customStyle="1" w:styleId="a5">
    <w:name w:val="页眉 字符"/>
    <w:basedOn w:val="a1"/>
    <w:link w:val="a4"/>
    <w:rsid w:val="006A1602"/>
    <w:rPr>
      <w:rFonts w:ascii="Times New Roman" w:eastAsia="宋体" w:hAnsi="Times New Roman" w:cs="Times New Roman"/>
      <w:kern w:val="2"/>
      <w:sz w:val="18"/>
      <w:szCs w:val="18"/>
    </w:rPr>
  </w:style>
  <w:style w:type="paragraph" w:styleId="a6">
    <w:name w:val="footer"/>
    <w:basedOn w:val="a"/>
    <w:link w:val="a7"/>
    <w:rsid w:val="006A1602"/>
    <w:pPr>
      <w:tabs>
        <w:tab w:val="center" w:pos="4153"/>
        <w:tab w:val="right" w:pos="8306"/>
      </w:tabs>
      <w:snapToGrid w:val="0"/>
      <w:jc w:val="left"/>
    </w:pPr>
    <w:rPr>
      <w:sz w:val="18"/>
      <w:szCs w:val="18"/>
    </w:rPr>
  </w:style>
  <w:style w:type="character" w:customStyle="1" w:styleId="a7">
    <w:name w:val="页脚 字符"/>
    <w:basedOn w:val="a1"/>
    <w:link w:val="a6"/>
    <w:rsid w:val="006A1602"/>
    <w:rPr>
      <w:rFonts w:ascii="Times New Roman" w:eastAsia="宋体" w:hAnsi="Times New Roman" w:cs="Times New Roman"/>
      <w:kern w:val="2"/>
      <w:sz w:val="18"/>
      <w:szCs w:val="18"/>
    </w:rPr>
  </w:style>
  <w:style w:type="paragraph" w:styleId="a8">
    <w:name w:val="List Paragraph"/>
    <w:basedOn w:val="a"/>
    <w:uiPriority w:val="99"/>
    <w:unhideWhenUsed/>
    <w:rsid w:val="00352B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wu</cp:lastModifiedBy>
  <cp:revision>2</cp:revision>
  <dcterms:created xsi:type="dcterms:W3CDTF">2024-01-03T02:17:00Z</dcterms:created>
  <dcterms:modified xsi:type="dcterms:W3CDTF">2024-01-03T02:17:00Z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19956DD264204C6EACFE593D00FA3774_12</vt:lpwstr>
  </property>
</Properties>
</file>