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40" w:after="240" w:line="600" w:lineRule="atLeast"/>
        <w:ind w:firstLine="555"/>
        <w:jc w:val="left"/>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根据《浙江省科学技术厅关于开展2023年度浙江省科学技术奖提名工作的预通知》有关要求，现将浙江大学作为牵头单位完成的成果“植物黄酮对膳食丙烯酰胺的危害控制及作用机理”相关内容予以公示。</w:t>
      </w:r>
    </w:p>
    <w:p>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shd w:val="clear" w:color="auto" w:fill="FFFFFF"/>
        </w:rPr>
        <w:t>公示时间：2024年8月13日-2024年8月19日。</w:t>
      </w:r>
    </w:p>
    <w:p>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shd w:val="clear" w:color="auto" w:fill="FFFFFF"/>
        </w:rPr>
        <w:t>对公示的成果、候选人持有异议的，在公示期内，应当以真实身份书面向科研院提出。个人提出异议的，应当在异议材料上签署真实姓名和联系电话、地址；以单位名义提出异议的，应当加盖本单位公章。为方便核实、查证，保证实事求是、公正处理，匿名异议不予受理。我校将按规定对异议者身份予以保护。</w:t>
      </w:r>
    </w:p>
    <w:p>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联系人：</w:t>
      </w:r>
      <w:r>
        <w:rPr>
          <w:rFonts w:ascii="Arial" w:hAnsi="Arial" w:cs="Arial"/>
          <w:color w:val="333333"/>
          <w:kern w:val="0"/>
          <w:szCs w:val="21"/>
        </w:rPr>
        <w:t xml:space="preserve"> </w:t>
      </w:r>
    </w:p>
    <w:p>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联系电话：</w:t>
      </w:r>
    </w:p>
    <w:p>
      <w:pPr>
        <w:widowControl/>
        <w:shd w:val="clear" w:color="auto" w:fill="FFFFFF"/>
        <w:spacing w:before="240" w:after="240" w:line="600" w:lineRule="atLeast"/>
        <w:ind w:firstLine="555"/>
        <w:jc w:val="left"/>
        <w:rPr>
          <w:rFonts w:ascii="Arial" w:hAnsi="Arial" w:cs="Arial"/>
          <w:color w:val="333333"/>
          <w:kern w:val="0"/>
          <w:szCs w:val="21"/>
        </w:rPr>
      </w:pPr>
      <w:r>
        <w:rPr>
          <w:rFonts w:hint="eastAsia" w:ascii="仿宋_GB2312" w:hAnsi="Arial" w:eastAsia="仿宋_GB2312" w:cs="Arial"/>
          <w:color w:val="333333"/>
          <w:kern w:val="0"/>
          <w:sz w:val="32"/>
          <w:szCs w:val="32"/>
        </w:rPr>
        <w:t>E-mail：</w:t>
      </w:r>
    </w:p>
    <w:p>
      <w:pPr>
        <w:jc w:val="center"/>
        <w:rPr>
          <w:rStyle w:val="11"/>
          <w:rFonts w:eastAsia="方正小标宋简体"/>
          <w:b w:val="0"/>
          <w:color w:val="auto"/>
          <w:sz w:val="36"/>
          <w:szCs w:val="36"/>
        </w:rPr>
      </w:pPr>
    </w:p>
    <w:p>
      <w:pPr>
        <w:jc w:val="center"/>
        <w:rPr>
          <w:rStyle w:val="11"/>
          <w:rFonts w:eastAsia="方正小标宋简体"/>
          <w:b w:val="0"/>
          <w:color w:val="auto"/>
          <w:sz w:val="36"/>
          <w:szCs w:val="36"/>
        </w:rPr>
      </w:pPr>
    </w:p>
    <w:p>
      <w:pPr>
        <w:jc w:val="center"/>
        <w:rPr>
          <w:rStyle w:val="11"/>
          <w:rFonts w:eastAsia="方正小标宋简体"/>
          <w:b w:val="0"/>
          <w:color w:val="auto"/>
          <w:sz w:val="36"/>
          <w:szCs w:val="36"/>
        </w:rPr>
      </w:pPr>
    </w:p>
    <w:p>
      <w:pPr>
        <w:jc w:val="center"/>
        <w:rPr>
          <w:rStyle w:val="11"/>
          <w:rFonts w:eastAsia="方正小标宋简体"/>
          <w:b w:val="0"/>
          <w:color w:val="auto"/>
          <w:sz w:val="36"/>
          <w:szCs w:val="36"/>
        </w:rPr>
      </w:pPr>
    </w:p>
    <w:p>
      <w:pPr>
        <w:jc w:val="center"/>
        <w:rPr>
          <w:rStyle w:val="11"/>
          <w:rFonts w:eastAsia="方正小标宋简体"/>
          <w:b w:val="0"/>
          <w:color w:val="auto"/>
          <w:sz w:val="36"/>
          <w:szCs w:val="36"/>
        </w:rPr>
      </w:pPr>
    </w:p>
    <w:p>
      <w:pPr>
        <w:jc w:val="center"/>
        <w:rPr>
          <w:rStyle w:val="11"/>
          <w:rFonts w:eastAsia="方正小标宋简体"/>
          <w:bCs w:val="0"/>
          <w:color w:val="auto"/>
          <w:sz w:val="36"/>
          <w:szCs w:val="36"/>
        </w:rPr>
      </w:pPr>
      <w:r>
        <w:rPr>
          <w:rStyle w:val="11"/>
          <w:rFonts w:eastAsia="方正小标宋简体"/>
          <w:b w:val="0"/>
          <w:color w:val="auto"/>
          <w:sz w:val="36"/>
          <w:szCs w:val="36"/>
        </w:rPr>
        <w:t>浙江省科学技术奖公示信息表</w:t>
      </w:r>
      <w:r>
        <w:rPr>
          <w:rStyle w:val="11"/>
          <w:rFonts w:eastAsia="仿宋_GB2312"/>
          <w:b w:val="0"/>
          <w:color w:val="auto"/>
          <w:sz w:val="32"/>
          <w:szCs w:val="32"/>
        </w:rPr>
        <w:t>（专家提名）</w:t>
      </w:r>
    </w:p>
    <w:p>
      <w:pPr>
        <w:spacing w:line="440" w:lineRule="exact"/>
        <w:rPr>
          <w:rFonts w:eastAsia="仿宋_GB2312"/>
          <w:sz w:val="28"/>
          <w:szCs w:val="24"/>
        </w:rPr>
      </w:pPr>
      <w:r>
        <w:rPr>
          <w:rFonts w:eastAsia="仿宋_GB2312"/>
          <w:sz w:val="28"/>
          <w:szCs w:val="24"/>
        </w:rPr>
        <w:t>提名奖项：自然科学奖</w:t>
      </w:r>
    </w:p>
    <w:tbl>
      <w:tblPr>
        <w:tblStyle w:val="8"/>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11"/>
                <w:rFonts w:eastAsia="仿宋_GB2312"/>
                <w:b w:val="0"/>
                <w:color w:val="auto"/>
                <w:sz w:val="28"/>
              </w:rPr>
            </w:pPr>
            <w:r>
              <w:rPr>
                <w:rStyle w:val="11"/>
                <w:rFonts w:eastAsia="仿宋_GB2312"/>
                <w:b w:val="0"/>
                <w:bCs w:val="0"/>
                <w:color w:val="auto"/>
                <w:sz w:val="28"/>
              </w:rPr>
              <w:t>成果名称</w:t>
            </w:r>
          </w:p>
        </w:tc>
        <w:tc>
          <w:tcPr>
            <w:tcW w:w="6237" w:type="dxa"/>
            <w:vAlign w:val="center"/>
          </w:tcPr>
          <w:p>
            <w:pPr>
              <w:jc w:val="center"/>
              <w:rPr>
                <w:rStyle w:val="11"/>
                <w:rFonts w:eastAsia="仿宋_GB2312"/>
                <w:b w:val="0"/>
                <w:color w:val="auto"/>
                <w:sz w:val="28"/>
              </w:rPr>
            </w:pPr>
            <w:bookmarkStart w:id="3" w:name="_GoBack"/>
            <w:r>
              <w:rPr>
                <w:rStyle w:val="11"/>
                <w:rFonts w:hint="eastAsia" w:eastAsia="仿宋_GB2312"/>
                <w:b w:val="0"/>
                <w:color w:val="auto"/>
                <w:sz w:val="28"/>
              </w:rPr>
              <w:t>植物黄酮对膳食丙烯酰胺的危害控制及作用机理</w:t>
            </w:r>
          </w:p>
          <w:bookmarkEnd w:id="3"/>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11"/>
                <w:rFonts w:eastAsia="仿宋_GB2312"/>
                <w:b w:val="0"/>
                <w:color w:val="auto"/>
                <w:sz w:val="28"/>
              </w:rPr>
            </w:pPr>
            <w:r>
              <w:rPr>
                <w:rStyle w:val="11"/>
                <w:rFonts w:eastAsia="仿宋_GB2312"/>
                <w:b w:val="0"/>
                <w:bCs w:val="0"/>
                <w:color w:val="auto"/>
                <w:sz w:val="28"/>
              </w:rPr>
              <w:t>提名等级</w:t>
            </w:r>
          </w:p>
        </w:tc>
        <w:tc>
          <w:tcPr>
            <w:tcW w:w="6237" w:type="dxa"/>
            <w:vAlign w:val="center"/>
          </w:tcPr>
          <w:p>
            <w:pPr>
              <w:jc w:val="center"/>
              <w:rPr>
                <w:rStyle w:val="11"/>
                <w:rFonts w:eastAsia="仿宋_GB2312"/>
                <w:b w:val="0"/>
                <w:color w:val="auto"/>
                <w:sz w:val="28"/>
              </w:rPr>
            </w:pPr>
            <w:r>
              <w:rPr>
                <w:rStyle w:val="11"/>
                <w:rFonts w:hint="eastAsia" w:eastAsia="仿宋_GB2312"/>
                <w:b w:val="0"/>
                <w:color w:val="auto"/>
                <w:sz w:val="28"/>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19" w:hRule="atLeast"/>
        </w:trPr>
        <w:tc>
          <w:tcPr>
            <w:tcW w:w="2269" w:type="dxa"/>
            <w:vAlign w:val="center"/>
          </w:tcPr>
          <w:p>
            <w:pPr>
              <w:spacing w:line="440" w:lineRule="exact"/>
              <w:jc w:val="center"/>
              <w:rPr>
                <w:rFonts w:eastAsia="仿宋_GB2312"/>
                <w:bCs/>
                <w:sz w:val="28"/>
                <w:szCs w:val="24"/>
              </w:rPr>
            </w:pPr>
            <w:r>
              <w:rPr>
                <w:rFonts w:eastAsia="仿宋_GB2312"/>
                <w:bCs/>
                <w:sz w:val="28"/>
                <w:szCs w:val="24"/>
              </w:rPr>
              <w:t>提名书</w:t>
            </w:r>
          </w:p>
          <w:p>
            <w:pPr>
              <w:spacing w:line="440" w:lineRule="exact"/>
              <w:jc w:val="center"/>
              <w:rPr>
                <w:rFonts w:eastAsia="仿宋_GB2312"/>
                <w:bCs/>
                <w:sz w:val="28"/>
                <w:szCs w:val="24"/>
              </w:rPr>
            </w:pPr>
            <w:r>
              <w:rPr>
                <w:rFonts w:eastAsia="仿宋_GB2312"/>
                <w:bCs/>
                <w:sz w:val="28"/>
                <w:szCs w:val="24"/>
              </w:rPr>
              <w:t>相关内容</w:t>
            </w:r>
          </w:p>
        </w:tc>
        <w:tc>
          <w:tcPr>
            <w:tcW w:w="6237" w:type="dxa"/>
            <w:vAlign w:val="center"/>
          </w:tcPr>
          <w:p>
            <w:pPr>
              <w:spacing w:line="440" w:lineRule="exact"/>
              <w:jc w:val="left"/>
              <w:rPr>
                <w:rFonts w:eastAsia="仿宋_GB2312"/>
                <w:bCs/>
                <w:sz w:val="24"/>
                <w:szCs w:val="24"/>
              </w:rPr>
            </w:pPr>
            <w:r>
              <w:rPr>
                <w:rFonts w:eastAsia="仿宋_GB2312"/>
                <w:bCs/>
                <w:sz w:val="24"/>
                <w:szCs w:val="24"/>
              </w:rPr>
              <w:t>自然科学奖：提名书的代表性论文专著目录</w:t>
            </w:r>
            <w:r>
              <w:rPr>
                <w:rFonts w:hint="eastAsia" w:ascii="等线" w:hAnsi="等线" w:eastAsia="等线"/>
                <w:bCs/>
                <w:sz w:val="24"/>
                <w:szCs w:val="24"/>
              </w:rPr>
              <w:t>、</w:t>
            </w:r>
            <w:r>
              <w:rPr>
                <w:rFonts w:eastAsia="仿宋_GB2312"/>
                <w:bCs/>
                <w:sz w:val="24"/>
                <w:szCs w:val="24"/>
              </w:rPr>
              <w:t>主要知识产权和标准规范目录（详</w:t>
            </w:r>
            <w:r>
              <w:rPr>
                <w:rFonts w:hint="eastAsia" w:eastAsia="仿宋_GB2312"/>
                <w:bCs/>
                <w:sz w:val="24"/>
                <w:szCs w:val="24"/>
              </w:rPr>
              <w:t>见附表）。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2269" w:type="dxa"/>
            <w:tcBorders>
              <w:right w:val="single" w:color="auto" w:sz="4" w:space="0"/>
            </w:tcBorders>
            <w:vAlign w:val="center"/>
          </w:tcPr>
          <w:p>
            <w:pPr>
              <w:spacing w:line="440" w:lineRule="exact"/>
              <w:jc w:val="center"/>
              <w:rPr>
                <w:rFonts w:eastAsia="仿宋_GB2312"/>
                <w:bCs/>
                <w:sz w:val="28"/>
                <w:szCs w:val="24"/>
              </w:rPr>
            </w:pPr>
            <w:r>
              <w:rPr>
                <w:rFonts w:eastAsia="仿宋_GB2312"/>
                <w:bCs/>
                <w:sz w:val="28"/>
                <w:szCs w:val="24"/>
              </w:rPr>
              <w:t>主要完成人</w:t>
            </w:r>
          </w:p>
        </w:tc>
        <w:tc>
          <w:tcPr>
            <w:tcW w:w="6237" w:type="dxa"/>
            <w:tcBorders>
              <w:left w:val="single" w:color="auto" w:sz="4" w:space="0"/>
            </w:tcBorders>
            <w:vAlign w:val="center"/>
          </w:tcPr>
          <w:p>
            <w:pPr>
              <w:spacing w:line="440" w:lineRule="exact"/>
              <w:rPr>
                <w:rFonts w:eastAsia="仿宋_GB2312"/>
                <w:bCs/>
                <w:sz w:val="24"/>
                <w:szCs w:val="24"/>
              </w:rPr>
            </w:pPr>
            <w:r>
              <w:rPr>
                <w:rFonts w:hint="eastAsia" w:eastAsia="仿宋_GB2312"/>
                <w:bCs/>
                <w:sz w:val="24"/>
                <w:szCs w:val="24"/>
              </w:rPr>
              <w:t>章宇</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吴永宁</w:t>
            </w:r>
            <w:r>
              <w:rPr>
                <w:rFonts w:eastAsia="仿宋_GB2312"/>
                <w:bCs/>
                <w:sz w:val="24"/>
                <w:szCs w:val="24"/>
              </w:rPr>
              <w:t>，排名2，</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国家食品安全风险评估中心</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张英</w:t>
            </w:r>
            <w:r>
              <w:rPr>
                <w:rFonts w:eastAsia="仿宋_GB2312"/>
                <w:bCs/>
                <w:sz w:val="24"/>
                <w:szCs w:val="24"/>
              </w:rPr>
              <w:t>，排名3，</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pPr>
              <w:spacing w:line="440" w:lineRule="exact"/>
              <w:rPr>
                <w:rFonts w:eastAsia="仿宋_GB2312"/>
                <w:bCs/>
                <w:sz w:val="24"/>
                <w:szCs w:val="24"/>
              </w:rPr>
            </w:pPr>
            <w:r>
              <w:rPr>
                <w:rFonts w:hint="eastAsia" w:eastAsia="仿宋_GB2312"/>
                <w:bCs/>
                <w:sz w:val="24"/>
                <w:szCs w:val="24"/>
              </w:rPr>
              <w:t>焦晶晶</w:t>
            </w:r>
            <w:r>
              <w:rPr>
                <w:rFonts w:eastAsia="仿宋_GB2312"/>
                <w:bCs/>
                <w:sz w:val="24"/>
                <w:szCs w:val="24"/>
              </w:rPr>
              <w:t>，排名4，</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70" w:hRule="atLeast"/>
        </w:trPr>
        <w:tc>
          <w:tcPr>
            <w:tcW w:w="2269" w:type="dxa"/>
            <w:tcBorders>
              <w:right w:val="single" w:color="auto" w:sz="4" w:space="0"/>
            </w:tcBorders>
            <w:vAlign w:val="center"/>
          </w:tcPr>
          <w:p>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pPr>
              <w:spacing w:line="440" w:lineRule="exact"/>
              <w:jc w:val="left"/>
              <w:rPr>
                <w:rFonts w:eastAsia="仿宋_GB2312"/>
                <w:bCs/>
                <w:sz w:val="24"/>
                <w:szCs w:val="24"/>
              </w:rPr>
            </w:pPr>
            <w:r>
              <w:rPr>
                <w:rFonts w:eastAsia="仿宋_GB2312"/>
                <w:bCs/>
                <w:sz w:val="24"/>
                <w:szCs w:val="24"/>
              </w:rPr>
              <w:t>1.</w:t>
            </w:r>
            <w:r>
              <w:rPr>
                <w:rFonts w:hint="eastAsia"/>
                <w:sz w:val="24"/>
                <w:szCs w:val="24"/>
              </w:rPr>
              <w:t xml:space="preserve"> </w:t>
            </w:r>
            <w:r>
              <w:rPr>
                <w:rFonts w:hint="eastAsia" w:eastAsia="仿宋_GB2312"/>
                <w:bCs/>
                <w:sz w:val="24"/>
                <w:szCs w:val="24"/>
              </w:rPr>
              <w:t>浙江大学</w:t>
            </w:r>
          </w:p>
          <w:p>
            <w:pPr>
              <w:spacing w:line="440" w:lineRule="exact"/>
              <w:jc w:val="left"/>
              <w:rPr>
                <w:rFonts w:eastAsia="仿宋_GB2312"/>
                <w:bCs/>
                <w:sz w:val="24"/>
                <w:szCs w:val="24"/>
              </w:rPr>
            </w:pPr>
            <w:r>
              <w:rPr>
                <w:rFonts w:eastAsia="仿宋_GB2312"/>
                <w:bCs/>
                <w:sz w:val="24"/>
                <w:szCs w:val="24"/>
              </w:rPr>
              <w:t>2.</w:t>
            </w:r>
            <w:r>
              <w:rPr>
                <w:rFonts w:hint="eastAsia"/>
                <w:sz w:val="24"/>
                <w:szCs w:val="24"/>
              </w:rPr>
              <w:t xml:space="preserve"> </w:t>
            </w:r>
            <w:r>
              <w:rPr>
                <w:rFonts w:hint="eastAsia" w:eastAsia="仿宋_GB2312"/>
                <w:bCs/>
                <w:sz w:val="24"/>
                <w:szCs w:val="24"/>
              </w:rPr>
              <w:t>国家食品安全风险评估中心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86"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11"/>
                <w:rFonts w:eastAsia="仿宋"/>
                <w:b w:val="0"/>
                <w:bCs w:val="0"/>
                <w:color w:val="auto"/>
                <w:sz w:val="28"/>
              </w:rPr>
            </w:pPr>
            <w:r>
              <w:rPr>
                <w:rStyle w:val="11"/>
                <w:rFonts w:eastAsia="仿宋"/>
                <w:b w:val="0"/>
                <w:bCs w:val="0"/>
                <w:color w:val="auto"/>
                <w:sz w:val="28"/>
              </w:rPr>
              <w:t>提名专家</w:t>
            </w:r>
          </w:p>
        </w:tc>
        <w:tc>
          <w:tcPr>
            <w:tcW w:w="6237" w:type="dxa"/>
            <w:tcBorders>
              <w:top w:val="single" w:color="000000" w:sz="4" w:space="0"/>
              <w:left w:val="single" w:color="000000" w:sz="4" w:space="0"/>
              <w:bottom w:val="single" w:color="000000" w:sz="4" w:space="0"/>
              <w:right w:val="single" w:color="000000" w:sz="4" w:space="0"/>
            </w:tcBorders>
            <w:vAlign w:val="center"/>
          </w:tcPr>
          <w:p>
            <w:pPr>
              <w:contextualSpacing/>
              <w:jc w:val="left"/>
              <w:rPr>
                <w:rFonts w:eastAsia="仿宋_GB2312"/>
                <w:sz w:val="24"/>
                <w:szCs w:val="24"/>
              </w:rPr>
            </w:pPr>
          </w:p>
          <w:p>
            <w:pPr>
              <w:spacing w:line="360" w:lineRule="auto"/>
              <w:contextualSpacing/>
              <w:jc w:val="left"/>
              <w:rPr>
                <w:rFonts w:eastAsia="仿宋_GB2312"/>
                <w:sz w:val="24"/>
                <w:szCs w:val="24"/>
              </w:rPr>
            </w:pPr>
            <w:r>
              <w:rPr>
                <w:rFonts w:hint="eastAsia" w:eastAsia="仿宋_GB2312"/>
                <w:sz w:val="24"/>
                <w:szCs w:val="24"/>
              </w:rPr>
              <w:t>陈坚</w:t>
            </w:r>
            <w:r>
              <w:rPr>
                <w:rFonts w:eastAsia="仿宋_GB2312"/>
                <w:sz w:val="24"/>
                <w:szCs w:val="24"/>
              </w:rPr>
              <w:t>（责任专家）、</w:t>
            </w:r>
            <w:r>
              <w:rPr>
                <w:rFonts w:hint="eastAsia" w:eastAsia="仿宋_GB2312"/>
                <w:sz w:val="24"/>
                <w:szCs w:val="24"/>
              </w:rPr>
              <w:t>江南大学</w:t>
            </w:r>
            <w:r>
              <w:rPr>
                <w:rFonts w:eastAsia="仿宋_GB2312"/>
                <w:sz w:val="24"/>
                <w:szCs w:val="24"/>
              </w:rPr>
              <w:t>、</w:t>
            </w:r>
            <w:r>
              <w:rPr>
                <w:rFonts w:hint="eastAsia" w:eastAsia="仿宋_GB2312"/>
                <w:sz w:val="24"/>
                <w:szCs w:val="24"/>
              </w:rPr>
              <w:t>教授</w:t>
            </w:r>
            <w:r>
              <w:rPr>
                <w:rFonts w:eastAsia="仿宋_GB2312"/>
                <w:sz w:val="24"/>
                <w:szCs w:val="24"/>
              </w:rPr>
              <w:t>、</w:t>
            </w:r>
            <w:r>
              <w:rPr>
                <w:rFonts w:hint="eastAsia" w:eastAsia="仿宋_GB2312"/>
                <w:sz w:val="24"/>
                <w:szCs w:val="24"/>
              </w:rPr>
              <w:t>食品科学</w:t>
            </w:r>
            <w:r>
              <w:rPr>
                <w:rFonts w:eastAsia="仿宋_GB2312"/>
                <w:sz w:val="24"/>
                <w:szCs w:val="24"/>
              </w:rPr>
              <w:t>；</w:t>
            </w:r>
          </w:p>
          <w:p>
            <w:pPr>
              <w:spacing w:line="360" w:lineRule="auto"/>
              <w:contextualSpacing/>
              <w:jc w:val="left"/>
              <w:rPr>
                <w:rFonts w:eastAsia="仿宋_GB2312"/>
                <w:sz w:val="24"/>
                <w:szCs w:val="24"/>
              </w:rPr>
            </w:pPr>
            <w:r>
              <w:rPr>
                <w:rFonts w:hint="eastAsia" w:eastAsia="仿宋_GB2312"/>
                <w:sz w:val="24"/>
                <w:szCs w:val="24"/>
              </w:rPr>
              <w:t>任发政</w:t>
            </w:r>
            <w:r>
              <w:rPr>
                <w:rFonts w:eastAsia="仿宋_GB2312"/>
                <w:sz w:val="24"/>
                <w:szCs w:val="24"/>
              </w:rPr>
              <w:t>、</w:t>
            </w:r>
            <w:r>
              <w:rPr>
                <w:rFonts w:hint="eastAsia" w:eastAsia="仿宋_GB2312"/>
                <w:sz w:val="24"/>
                <w:szCs w:val="24"/>
              </w:rPr>
              <w:t>中国农业大学</w:t>
            </w:r>
            <w:r>
              <w:rPr>
                <w:rFonts w:eastAsia="仿宋_GB2312"/>
                <w:sz w:val="24"/>
                <w:szCs w:val="24"/>
              </w:rPr>
              <w:t>、</w:t>
            </w:r>
            <w:r>
              <w:rPr>
                <w:rFonts w:hint="eastAsia" w:eastAsia="仿宋_GB2312"/>
                <w:sz w:val="24"/>
                <w:szCs w:val="24"/>
              </w:rPr>
              <w:t>教授</w:t>
            </w:r>
            <w:r>
              <w:rPr>
                <w:rFonts w:eastAsia="仿宋_GB2312"/>
                <w:sz w:val="24"/>
                <w:szCs w:val="24"/>
              </w:rPr>
              <w:t>、</w:t>
            </w:r>
            <w:r>
              <w:rPr>
                <w:rFonts w:hint="eastAsia" w:eastAsia="仿宋_GB2312"/>
                <w:sz w:val="24"/>
                <w:szCs w:val="24"/>
              </w:rPr>
              <w:t>食品科学</w:t>
            </w:r>
            <w:r>
              <w:rPr>
                <w:rFonts w:eastAsia="仿宋_GB2312"/>
                <w:sz w:val="24"/>
                <w:szCs w:val="24"/>
              </w:rPr>
              <w:t>；</w:t>
            </w:r>
          </w:p>
          <w:p>
            <w:pPr>
              <w:spacing w:line="360" w:lineRule="auto"/>
              <w:contextualSpacing/>
              <w:jc w:val="left"/>
              <w:rPr>
                <w:rFonts w:eastAsia="仿宋_GB2312"/>
                <w:sz w:val="24"/>
                <w:szCs w:val="24"/>
              </w:rPr>
            </w:pPr>
            <w:r>
              <w:rPr>
                <w:rFonts w:hint="eastAsia" w:eastAsia="仿宋_GB2312"/>
                <w:sz w:val="24"/>
                <w:szCs w:val="24"/>
              </w:rPr>
              <w:t>李培武</w:t>
            </w:r>
            <w:r>
              <w:rPr>
                <w:rFonts w:eastAsia="仿宋_GB2312"/>
                <w:sz w:val="24"/>
                <w:szCs w:val="24"/>
              </w:rPr>
              <w:t>、</w:t>
            </w:r>
            <w:r>
              <w:rPr>
                <w:rFonts w:hint="eastAsia" w:eastAsia="仿宋_GB2312"/>
                <w:sz w:val="24"/>
                <w:szCs w:val="24"/>
              </w:rPr>
              <w:t>中国农业科学院油料作物研究所</w:t>
            </w:r>
            <w:r>
              <w:rPr>
                <w:rFonts w:eastAsia="仿宋_GB2312"/>
                <w:sz w:val="24"/>
                <w:szCs w:val="24"/>
              </w:rPr>
              <w:t>、</w:t>
            </w:r>
            <w:r>
              <w:rPr>
                <w:rFonts w:hint="eastAsia" w:eastAsia="仿宋_GB2312"/>
                <w:sz w:val="24"/>
                <w:szCs w:val="24"/>
              </w:rPr>
              <w:t>研究员</w:t>
            </w:r>
            <w:r>
              <w:rPr>
                <w:rFonts w:eastAsia="仿宋_GB2312"/>
                <w:sz w:val="24"/>
                <w:szCs w:val="24"/>
              </w:rPr>
              <w:t>、</w:t>
            </w:r>
            <w:r>
              <w:rPr>
                <w:rFonts w:hint="eastAsia" w:eastAsia="仿宋_GB2312"/>
                <w:sz w:val="24"/>
                <w:szCs w:val="24"/>
              </w:rPr>
              <w:t>农产品加工与贮藏工程</w:t>
            </w:r>
          </w:p>
          <w:p>
            <w:pPr>
              <w:contextualSpacing/>
              <w:jc w:val="left"/>
              <w:rPr>
                <w:rStyle w:val="11"/>
                <w:b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26" w:hRule="atLeast"/>
        </w:trPr>
        <w:tc>
          <w:tcPr>
            <w:tcW w:w="226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11"/>
                <w:rFonts w:eastAsia="仿宋"/>
                <w:b w:val="0"/>
                <w:bCs w:val="0"/>
                <w:color w:val="auto"/>
                <w:sz w:val="28"/>
              </w:rPr>
            </w:pPr>
            <w:bookmarkStart w:id="0" w:name="_Hlk173872704"/>
            <w:r>
              <w:rPr>
                <w:rStyle w:val="11"/>
                <w:rFonts w:eastAsia="仿宋"/>
                <w:b w:val="0"/>
                <w:bCs w:val="0"/>
                <w:color w:val="auto"/>
                <w:sz w:val="28"/>
              </w:rPr>
              <w:t>提名意见</w:t>
            </w:r>
          </w:p>
        </w:tc>
        <w:tc>
          <w:tcPr>
            <w:tcW w:w="6237" w:type="dxa"/>
            <w:tcBorders>
              <w:top w:val="single" w:color="000000" w:sz="4" w:space="0"/>
              <w:left w:val="single" w:color="000000" w:sz="4" w:space="0"/>
              <w:bottom w:val="single" w:color="000000" w:sz="4" w:space="0"/>
              <w:right w:val="single" w:color="000000" w:sz="4" w:space="0"/>
            </w:tcBorders>
            <w:vAlign w:val="center"/>
          </w:tcPr>
          <w:p>
            <w:pPr>
              <w:ind w:firstLine="480" w:firstLineChars="200"/>
              <w:contextualSpacing/>
              <w:jc w:val="left"/>
              <w:rPr>
                <w:rStyle w:val="11"/>
                <w:rFonts w:eastAsia="仿宋"/>
                <w:b w:val="0"/>
                <w:bCs w:val="0"/>
                <w:color w:val="auto"/>
              </w:rPr>
            </w:pPr>
            <w:bookmarkStart w:id="1" w:name="_Hlk173875222"/>
            <w:r>
              <w:rPr>
                <w:rStyle w:val="11"/>
                <w:rFonts w:eastAsia="仿宋"/>
                <w:b w:val="0"/>
                <w:bCs w:val="0"/>
                <w:color w:val="auto"/>
              </w:rPr>
              <w:t>本项成果主要贡献为：1）建立了丙烯酰胺高灵敏、无需固相萃取和应用性强的气相色谱-电子捕获检测方法；率先开发</w:t>
            </w:r>
            <w:r>
              <w:rPr>
                <w:rFonts w:eastAsia="仿宋"/>
                <w:sz w:val="24"/>
                <w:szCs w:val="24"/>
              </w:rPr>
              <w:t>婴儿食品、复杂基质食品、痕量暴露食品和中式传统食品中丙烯酰胺的液相色谱-串联质谱检测方法</w:t>
            </w:r>
            <w:r>
              <w:rPr>
                <w:rStyle w:val="11"/>
                <w:rFonts w:eastAsia="仿宋"/>
                <w:b w:val="0"/>
                <w:bCs w:val="0"/>
                <w:color w:val="auto"/>
              </w:rPr>
              <w:t>；</w:t>
            </w:r>
            <w:r>
              <w:rPr>
                <w:rFonts w:eastAsia="仿宋"/>
                <w:sz w:val="24"/>
                <w:szCs w:val="24"/>
              </w:rPr>
              <w:t>采用靶向代谢组学技术阐明基于丙烯酰胺原体、环氧丙酰胺一级代谢物和巯基尿酸二级代谢物的级联代谢变化规律</w:t>
            </w:r>
            <w:r>
              <w:rPr>
                <w:rStyle w:val="11"/>
                <w:rFonts w:eastAsia="仿宋"/>
                <w:b w:val="0"/>
                <w:bCs w:val="0"/>
                <w:color w:val="auto"/>
              </w:rPr>
              <w:t>，</w:t>
            </w:r>
            <w:r>
              <w:rPr>
                <w:rFonts w:eastAsia="仿宋"/>
                <w:sz w:val="24"/>
                <w:szCs w:val="24"/>
              </w:rPr>
              <w:t>构建丙烯酰胺血液、尿液、DNA生物标志物三位一体的丙烯酰胺多腔室PBTK模型创新性地贯通内外暴露之间的界限，</w:t>
            </w:r>
            <w:r>
              <w:rPr>
                <w:rStyle w:val="11"/>
                <w:rFonts w:eastAsia="仿宋"/>
                <w:b w:val="0"/>
                <w:bCs w:val="0"/>
                <w:color w:val="auto"/>
              </w:rPr>
              <w:t>采用非靶向代谢组学技术揭示了以柠檬酸等代谢物为效应标志物的丙烯酰胺血清代谢轮廓。2）发现了竹叶抗氧化物和茶多酚对丙烯酰胺的抑制作用；建立低湿反应体系和微波加热模式体系，论证了植物黄酮对丙烯酰胺形成/消除过程的作用；阐明了24种代表性植物黄酮作为天然抗氧化物抑制丙烯酰胺形成的主要活性部位，包括黄酮体A环间二羟基、B环邻二羟基以及大π键共轭体系拓扑结构。3）发现丙烯酰胺在体内通过作用Notch信号通路引发心血管毒性；竹叶抗氧化物和茶多酚通过调控丙烯酰胺巯基尿酸加合物代谢以及调控机体糖脂代谢紊乱降低心血管代谢性健康风险。</w:t>
            </w:r>
          </w:p>
          <w:p>
            <w:pPr>
              <w:ind w:firstLine="480" w:firstLineChars="200"/>
              <w:contextualSpacing/>
              <w:jc w:val="left"/>
              <w:rPr>
                <w:rStyle w:val="11"/>
                <w:rFonts w:eastAsia="仿宋"/>
                <w:b w:val="0"/>
                <w:bCs w:val="0"/>
                <w:color w:val="auto"/>
              </w:rPr>
            </w:pPr>
            <w:bookmarkStart w:id="2" w:name="_Hlk173875319"/>
            <w:r>
              <w:rPr>
                <w:rStyle w:val="11"/>
                <w:rFonts w:eastAsia="仿宋"/>
                <w:b w:val="0"/>
                <w:bCs w:val="0"/>
                <w:color w:val="auto"/>
              </w:rPr>
              <w:t>本项成果发表相关SCI论文51篇，总引用超过2000次；</w:t>
            </w:r>
            <w:r>
              <w:rPr>
                <w:rStyle w:val="11"/>
                <w:rFonts w:hint="eastAsia" w:eastAsia="仿宋"/>
                <w:b w:val="0"/>
                <w:bCs w:val="0"/>
                <w:color w:val="auto"/>
              </w:rPr>
              <w:t>授权国家</w:t>
            </w:r>
            <w:r>
              <w:rPr>
                <w:rStyle w:val="11"/>
                <w:rFonts w:eastAsia="仿宋"/>
                <w:b w:val="0"/>
                <w:bCs w:val="0"/>
                <w:color w:val="auto"/>
              </w:rPr>
              <w:t>发明专利</w:t>
            </w:r>
            <w:r>
              <w:rPr>
                <w:rStyle w:val="11"/>
                <w:rFonts w:hint="eastAsia" w:eastAsia="仿宋"/>
                <w:b w:val="0"/>
                <w:bCs w:val="0"/>
                <w:color w:val="auto"/>
              </w:rPr>
              <w:t>8</w:t>
            </w:r>
            <w:r>
              <w:rPr>
                <w:rStyle w:val="11"/>
                <w:rFonts w:eastAsia="仿宋"/>
                <w:b w:val="0"/>
                <w:bCs w:val="0"/>
                <w:color w:val="auto"/>
              </w:rPr>
              <w:t>件，国际专利1件；制修订国家标准3项。项目成果创新性强，学术前景和应用价值高，有关代表性植物黄酮对膳食丙烯酰胺的危害控制及作用机理的研究达到了国际领先水平。</w:t>
            </w:r>
          </w:p>
          <w:p>
            <w:pPr>
              <w:ind w:firstLine="480" w:firstLineChars="200"/>
              <w:contextualSpacing/>
              <w:jc w:val="left"/>
              <w:rPr>
                <w:rStyle w:val="11"/>
                <w:rFonts w:eastAsia="仿宋"/>
                <w:b w:val="0"/>
                <w:bCs w:val="0"/>
                <w:color w:val="auto"/>
              </w:rPr>
            </w:pPr>
            <w:r>
              <w:rPr>
                <w:rStyle w:val="11"/>
                <w:rFonts w:eastAsia="仿宋"/>
                <w:b w:val="0"/>
                <w:bCs w:val="0"/>
                <w:color w:val="auto"/>
              </w:rPr>
              <w:t>提名该项目为浙江省自然科学奖一等奖。</w:t>
            </w:r>
            <w:bookmarkEnd w:id="1"/>
            <w:bookmarkEnd w:id="2"/>
          </w:p>
        </w:tc>
      </w:tr>
      <w:bookmarkEnd w:id="0"/>
    </w:tbl>
    <w:p/>
    <w:p>
      <w:pPr>
        <w:sectPr>
          <w:pgSz w:w="11906" w:h="16838"/>
          <w:pgMar w:top="1440" w:right="1800" w:bottom="1440" w:left="1800" w:header="851" w:footer="992" w:gutter="0"/>
          <w:cols w:space="425" w:num="1"/>
          <w:docGrid w:type="lines" w:linePitch="312" w:charSpace="0"/>
        </w:sectPr>
      </w:pPr>
    </w:p>
    <w:p>
      <w:pPr>
        <w:rPr>
          <w:rStyle w:val="11"/>
          <w:rFonts w:eastAsia="方正小标宋简体"/>
          <w:color w:val="auto"/>
          <w:sz w:val="32"/>
          <w:szCs w:val="32"/>
        </w:rPr>
      </w:pPr>
      <w:r>
        <w:rPr>
          <w:rStyle w:val="11"/>
          <w:rFonts w:eastAsia="方正小标宋简体"/>
          <w:color w:val="auto"/>
          <w:sz w:val="32"/>
          <w:szCs w:val="32"/>
        </w:rPr>
        <w:t>附表</w:t>
      </w:r>
      <w:r>
        <w:rPr>
          <w:rStyle w:val="11"/>
          <w:rFonts w:hint="eastAsia" w:eastAsia="方正小标宋简体"/>
          <w:color w:val="auto"/>
          <w:sz w:val="32"/>
          <w:szCs w:val="32"/>
        </w:rPr>
        <w:t>1</w:t>
      </w:r>
    </w:p>
    <w:p>
      <w:pPr>
        <w:jc w:val="center"/>
        <w:rPr>
          <w:rStyle w:val="11"/>
          <w:rFonts w:eastAsia="方正小标宋简体"/>
          <w:b w:val="0"/>
          <w:bCs w:val="0"/>
          <w:color w:val="auto"/>
          <w:sz w:val="32"/>
          <w:szCs w:val="32"/>
        </w:rPr>
      </w:pPr>
      <w:r>
        <w:rPr>
          <w:rStyle w:val="11"/>
          <w:rFonts w:hint="eastAsia" w:eastAsia="方正小标宋简体"/>
          <w:b w:val="0"/>
          <w:bCs w:val="0"/>
          <w:color w:val="auto"/>
          <w:sz w:val="32"/>
          <w:szCs w:val="32"/>
        </w:rPr>
        <w:t>代表性论文专著目录（不超过8篇）</w:t>
      </w:r>
    </w:p>
    <w:tbl>
      <w:tblPr>
        <w:tblStyle w:val="8"/>
        <w:tblW w:w="135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9"/>
        <w:gridCol w:w="4252"/>
        <w:gridCol w:w="2268"/>
        <w:gridCol w:w="1559"/>
        <w:gridCol w:w="1276"/>
        <w:gridCol w:w="1228"/>
        <w:gridCol w:w="21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425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226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5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2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122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215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1</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Characterization of acrylamide-induced oxidative stress and cardiovascular toxicity in zebrafish embryos/</w:t>
            </w:r>
            <w:r>
              <w:rPr>
                <w:rFonts w:eastAsia="仿宋_GB2312"/>
                <w:b/>
                <w:bCs/>
                <w:sz w:val="24"/>
                <w:szCs w:val="24"/>
              </w:rPr>
              <w:t xml:space="preserve">Journal of </w:t>
            </w:r>
            <w:r>
              <w:rPr>
                <w:rFonts w:hint="eastAsia" w:eastAsia="仿宋_GB2312"/>
                <w:b/>
                <w:bCs/>
                <w:sz w:val="24"/>
                <w:szCs w:val="24"/>
              </w:rPr>
              <w:t>H</w:t>
            </w:r>
            <w:r>
              <w:rPr>
                <w:rFonts w:eastAsia="仿宋_GB2312"/>
                <w:b/>
                <w:bCs/>
                <w:sz w:val="24"/>
                <w:szCs w:val="24"/>
              </w:rPr>
              <w:t>azardous Materials</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2018年347卷451</w:t>
            </w:r>
            <w:r>
              <w:rPr>
                <w:rFonts w:eastAsia="仿宋"/>
                <w:szCs w:val="24"/>
              </w:rPr>
              <w:t>-</w:t>
            </w:r>
            <w:r>
              <w:rPr>
                <w:rFonts w:eastAsia="仿宋_GB2312"/>
                <w:sz w:val="24"/>
                <w:szCs w:val="24"/>
              </w:rPr>
              <w:t>460页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2018年4月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黄蒙蒙</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Mengmeng Huang, Jingjing Jiao, Jun Wang, Zhidan Xia, Yu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2</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 xml:space="preserve">Isolation and purification of four flavone </w:t>
            </w:r>
            <w:r>
              <w:rPr>
                <w:rFonts w:eastAsia="仿宋_GB2312"/>
                <w:i/>
                <w:iCs/>
                <w:sz w:val="24"/>
                <w:szCs w:val="24"/>
              </w:rPr>
              <w:t>C</w:t>
            </w:r>
            <w:r>
              <w:rPr>
                <w:rFonts w:eastAsia="仿宋_GB2312"/>
                <w:sz w:val="24"/>
                <w:szCs w:val="24"/>
              </w:rPr>
              <w:t>-glycosides from antioxidant of bamboo leaves by macroporous resin column chromatography and preparative high-performance liquid chromatography/</w:t>
            </w:r>
            <w:r>
              <w:rPr>
                <w:rFonts w:eastAsia="仿宋_GB2312"/>
                <w:b/>
                <w:bCs/>
                <w:sz w:val="24"/>
                <w:szCs w:val="24"/>
              </w:rPr>
              <w:t>Food Chemistry</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2008年107卷1326-1336页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2008年4月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张英</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Yu Zhang, Jingjing Jiao, Chengmei Liu, Xiaoqin Wu, Ying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3</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Exposure to acrylamide and the risk of cardiovascular diseases in the National Health and Nutrition Examination Survey 2003-2006/</w:t>
            </w:r>
            <w:r>
              <w:rPr>
                <w:rFonts w:eastAsia="仿宋_GB2312"/>
                <w:b/>
                <w:bCs/>
                <w:sz w:val="24"/>
                <w:szCs w:val="24"/>
              </w:rPr>
              <w:t>Environment International</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2018年117卷154-163页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2018年8月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bCs/>
                <w:sz w:val="24"/>
                <w:szCs w:val="24"/>
              </w:rPr>
              <w:t>吴永宁</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Yu Zhang, Mengmeng Huang, Pan Zhuang, Jingjing Jiao, Xinyu Chen, Jun Wang, Yongning Wu</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4</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 xml:space="preserve">Addition of </w:t>
            </w:r>
            <w:r>
              <w:rPr>
                <w:rFonts w:hint="eastAsia" w:eastAsia="仿宋_GB2312"/>
                <w:sz w:val="24"/>
                <w:szCs w:val="24"/>
              </w:rPr>
              <w:t>a</w:t>
            </w:r>
            <w:r>
              <w:rPr>
                <w:rFonts w:eastAsia="仿宋_GB2312"/>
                <w:sz w:val="24"/>
                <w:szCs w:val="24"/>
              </w:rPr>
              <w:t>ntioxidant of bamboo leaves (AOB) effectively reduces acrylamide formation in potato crisps and French fries/</w:t>
            </w:r>
            <w:r>
              <w:rPr>
                <w:rFonts w:eastAsia="仿宋_GB2312"/>
                <w:b/>
                <w:bCs/>
                <w:sz w:val="24"/>
                <w:szCs w:val="24"/>
              </w:rPr>
              <w:t>Journal of Agricultural and Food Chemistry</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2007年55卷523-528页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2007年1月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张英</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Yu Zhang, Jie Chen, Xiaoling Zhang, Xiaoqin Wu, Ying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5</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Ultra high-performance liquid chromatography-tandem mass spectrometry for the simultaneous analysis of asparagine, sugars, and acrylamide in Maillard reactions/</w:t>
            </w:r>
            <w:r>
              <w:rPr>
                <w:rFonts w:eastAsia="仿宋_GB2312"/>
                <w:b/>
                <w:bCs/>
                <w:sz w:val="24"/>
                <w:szCs w:val="24"/>
              </w:rPr>
              <w:t>Analytical Chemistry</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2011年83卷3297-3304页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2011年5月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张英</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Yu Zhang, Yiping Ren, Jingjing Jiao, Dong Li, Ying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6</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Exposure to acrylamide induces cardiac developmental toxicity in zebrafish during cardiogenesis/</w:t>
            </w:r>
            <w:r>
              <w:rPr>
                <w:rFonts w:eastAsia="仿宋_GB2312"/>
                <w:b/>
                <w:bCs/>
                <w:sz w:val="24"/>
                <w:szCs w:val="24"/>
              </w:rPr>
              <w:t>Environmental Pollution</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2018年234卷656</w:t>
            </w:r>
            <w:r>
              <w:rPr>
                <w:rFonts w:eastAsia="仿宋"/>
                <w:szCs w:val="24"/>
              </w:rPr>
              <w:t>-</w:t>
            </w:r>
            <w:r>
              <w:rPr>
                <w:rFonts w:eastAsia="仿宋_GB2312"/>
                <w:sz w:val="24"/>
                <w:szCs w:val="24"/>
              </w:rPr>
              <w:t>666页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2018年3月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黄蒙蒙</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Mengmeng Huang, Jingjing Jiao, Jun Wang, Zhidan Xia, Yu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7</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lang w:val="en"/>
              </w:rPr>
            </w:pPr>
            <w:r>
              <w:rPr>
                <w:rFonts w:eastAsia="仿宋_GB2312"/>
                <w:sz w:val="24"/>
                <w:szCs w:val="24"/>
                <w:lang w:val="en"/>
              </w:rPr>
              <w:t>Unraveling the serum metabolomic profile of acrylamide-induced cardiovascular toxicity</w:t>
            </w:r>
            <w:r>
              <w:rPr>
                <w:rFonts w:eastAsia="仿宋_GB2312"/>
                <w:sz w:val="24"/>
                <w:szCs w:val="24"/>
              </w:rPr>
              <w:t>/</w:t>
            </w:r>
            <w:r>
              <w:rPr>
                <w:rFonts w:eastAsia="仿宋_GB2312"/>
                <w:b/>
                <w:bCs/>
                <w:sz w:val="24"/>
                <w:szCs w:val="24"/>
              </w:rPr>
              <w:t>Journal of Agricultural and Food Chemistry</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lang w:val="en"/>
              </w:rPr>
            </w:pPr>
            <w:r>
              <w:rPr>
                <w:rFonts w:eastAsia="仿宋_GB2312"/>
                <w:sz w:val="24"/>
                <w:szCs w:val="24"/>
              </w:rPr>
              <w:t>20</w:t>
            </w:r>
            <w:r>
              <w:rPr>
                <w:rFonts w:hint="eastAsia" w:eastAsia="仿宋_GB2312"/>
                <w:sz w:val="24"/>
                <w:szCs w:val="24"/>
              </w:rPr>
              <w:t>21</w:t>
            </w:r>
            <w:r>
              <w:rPr>
                <w:rFonts w:eastAsia="仿宋_GB2312"/>
                <w:sz w:val="24"/>
                <w:szCs w:val="24"/>
              </w:rPr>
              <w:t>年</w:t>
            </w:r>
            <w:r>
              <w:rPr>
                <w:rFonts w:hint="eastAsia" w:eastAsia="仿宋_GB2312"/>
                <w:sz w:val="24"/>
                <w:szCs w:val="24"/>
              </w:rPr>
              <w:t>6</w:t>
            </w:r>
            <w:r>
              <w:rPr>
                <w:rFonts w:eastAsia="仿宋_GB2312"/>
                <w:sz w:val="24"/>
                <w:szCs w:val="24"/>
              </w:rPr>
              <w:t>9卷</w:t>
            </w:r>
            <w:r>
              <w:rPr>
                <w:rFonts w:hint="eastAsia" w:eastAsia="仿宋_GB2312"/>
                <w:sz w:val="24"/>
                <w:szCs w:val="24"/>
              </w:rPr>
              <w:t>12012-12020</w:t>
            </w:r>
            <w:r>
              <w:rPr>
                <w:rFonts w:eastAsia="仿宋_GB2312"/>
                <w:sz w:val="24"/>
                <w:szCs w:val="24"/>
              </w:rPr>
              <w:t>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w:t>
            </w:r>
            <w:r>
              <w:rPr>
                <w:rFonts w:hint="eastAsia" w:eastAsia="仿宋_GB2312"/>
                <w:sz w:val="24"/>
                <w:szCs w:val="24"/>
              </w:rPr>
              <w:t>21</w:t>
            </w:r>
            <w:r>
              <w:rPr>
                <w:rFonts w:eastAsia="仿宋_GB2312"/>
                <w:sz w:val="24"/>
                <w:szCs w:val="24"/>
              </w:rPr>
              <w:t>年</w:t>
            </w:r>
            <w:r>
              <w:rPr>
                <w:rFonts w:hint="eastAsia" w:eastAsia="仿宋_GB2312"/>
                <w:sz w:val="24"/>
                <w:szCs w:val="24"/>
              </w:rPr>
              <w:t>10</w:t>
            </w:r>
            <w:r>
              <w:rPr>
                <w:rFonts w:eastAsia="仿宋_GB2312"/>
                <w:sz w:val="24"/>
                <w:szCs w:val="24"/>
              </w:rPr>
              <w:t>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汪安利</w:t>
            </w:r>
          </w:p>
          <w:p>
            <w:pPr>
              <w:rPr>
                <w:rFonts w:eastAsia="仿宋_GB2312"/>
                <w:sz w:val="24"/>
                <w:szCs w:val="24"/>
              </w:rPr>
            </w:pPr>
            <w:r>
              <w:rPr>
                <w:rFonts w:hint="eastAsia" w:eastAsia="仿宋_GB2312"/>
                <w:sz w:val="24"/>
                <w:szCs w:val="24"/>
              </w:rPr>
              <w:t>陈信宇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hint="eastAsia" w:eastAsia="仿宋_GB2312"/>
                <w:sz w:val="24"/>
                <w:szCs w:val="24"/>
              </w:rPr>
              <w:t>Anli Wang, Xinyu Chen, Shanyun Wu, Wei Jia, Jingjing Jiao, Yu Zhang</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0" w:hRule="atLeast"/>
          <w:jc w:val="center"/>
        </w:trPr>
        <w:tc>
          <w:tcPr>
            <w:tcW w:w="769"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r>
              <w:rPr>
                <w:rFonts w:eastAsia="仿宋_GB2312"/>
                <w:sz w:val="24"/>
                <w:szCs w:val="24"/>
              </w:rPr>
              <w:t>8</w:t>
            </w:r>
          </w:p>
        </w:tc>
        <w:tc>
          <w:tcPr>
            <w:tcW w:w="425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New research developments on acrylamide: analytical chemistry, formation mechanism, and mitigation recipes/</w:t>
            </w:r>
            <w:r>
              <w:rPr>
                <w:rFonts w:eastAsia="仿宋_GB2312"/>
                <w:b/>
                <w:bCs/>
                <w:sz w:val="24"/>
                <w:szCs w:val="24"/>
              </w:rPr>
              <w:t>Chemical Reviews</w:t>
            </w:r>
          </w:p>
        </w:tc>
        <w:tc>
          <w:tcPr>
            <w:tcW w:w="226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2009年109卷4375-4397页</w:t>
            </w:r>
          </w:p>
        </w:tc>
        <w:tc>
          <w:tcPr>
            <w:tcW w:w="155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2009年</w:t>
            </w:r>
            <w:r>
              <w:rPr>
                <w:rFonts w:hint="eastAsia" w:eastAsia="仿宋_GB2312"/>
                <w:sz w:val="24"/>
                <w:szCs w:val="24"/>
              </w:rPr>
              <w:t>9</w:t>
            </w:r>
            <w:r>
              <w:rPr>
                <w:rFonts w:eastAsia="仿宋_GB2312"/>
                <w:sz w:val="24"/>
                <w:szCs w:val="24"/>
              </w:rPr>
              <w:t>月</w:t>
            </w:r>
          </w:p>
        </w:tc>
        <w:tc>
          <w:tcPr>
            <w:tcW w:w="1276"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张英</w:t>
            </w:r>
          </w:p>
          <w:p>
            <w:pPr>
              <w:rPr>
                <w:rFonts w:eastAsia="仿宋_GB2312"/>
                <w:sz w:val="24"/>
                <w:szCs w:val="24"/>
              </w:rPr>
            </w:pPr>
            <w:r>
              <w:rPr>
                <w:rFonts w:hint="eastAsia" w:eastAsia="仿宋_GB2312"/>
                <w:sz w:val="24"/>
                <w:szCs w:val="24"/>
              </w:rPr>
              <w:t>章宇</w:t>
            </w:r>
          </w:p>
        </w:tc>
        <w:tc>
          <w:tcPr>
            <w:tcW w:w="122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章宇</w:t>
            </w:r>
          </w:p>
        </w:tc>
        <w:tc>
          <w:tcPr>
            <w:tcW w:w="215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Yu Zhang, Yiping Ren, Ying Zhang</w:t>
            </w:r>
          </w:p>
        </w:tc>
      </w:tr>
    </w:tbl>
    <w:p>
      <w:pPr>
        <w:rPr>
          <w:rStyle w:val="11"/>
          <w:rFonts w:eastAsia="仿宋_GB2312"/>
          <w:b w:val="0"/>
          <w:bCs w:val="0"/>
          <w:color w:val="auto"/>
          <w:sz w:val="28"/>
          <w:szCs w:val="36"/>
        </w:rPr>
      </w:pPr>
      <w:r>
        <w:rPr>
          <w:rStyle w:val="11"/>
          <w:rFonts w:hint="eastAsia" w:eastAsia="仿宋_GB2312"/>
          <w:color w:val="auto"/>
          <w:sz w:val="28"/>
          <w:szCs w:val="36"/>
        </w:rPr>
        <w:t>承诺：</w:t>
      </w:r>
      <w:r>
        <w:rPr>
          <w:rStyle w:val="11"/>
          <w:rFonts w:hint="eastAsia" w:eastAsia="仿宋_GB2312"/>
          <w:b w:val="0"/>
          <w:bCs w:val="0"/>
          <w:color w:val="auto"/>
          <w:sz w:val="28"/>
          <w:szCs w:val="36"/>
        </w:rPr>
        <w:t>上述论文专著符合提名要求且无争议。以上论文专著用于提名2023年度省自然科学奖的情况，已征得未列入成果完成人的作者同意，有关知情证明材料均存档备查。</w:t>
      </w:r>
    </w:p>
    <w:p>
      <w:pPr>
        <w:jc w:val="right"/>
        <w:rPr>
          <w:rStyle w:val="11"/>
          <w:rFonts w:eastAsia="仿宋_GB2312"/>
          <w:b w:val="0"/>
          <w:bCs w:val="0"/>
          <w:color w:val="auto"/>
          <w:sz w:val="28"/>
          <w:szCs w:val="36"/>
        </w:rPr>
      </w:pPr>
      <w:r>
        <w:rPr>
          <w:rStyle w:val="11"/>
          <w:rFonts w:hint="eastAsia" w:eastAsia="仿宋_GB2312"/>
          <w:b w:val="0"/>
          <w:bCs w:val="0"/>
          <w:color w:val="auto"/>
          <w:sz w:val="28"/>
          <w:szCs w:val="36"/>
        </w:rPr>
        <w:t xml:space="preserve">                              第一完成人签字：章宇</w:t>
      </w:r>
    </w:p>
    <w:p>
      <w:pPr>
        <w:rPr>
          <w:rStyle w:val="11"/>
          <w:rFonts w:eastAsia="方正小标宋简体"/>
          <w:color w:val="auto"/>
          <w:sz w:val="32"/>
          <w:szCs w:val="32"/>
        </w:rPr>
      </w:pPr>
      <w:r>
        <w:rPr>
          <w:rStyle w:val="11"/>
          <w:rFonts w:eastAsia="方正小标宋简体"/>
          <w:color w:val="auto"/>
          <w:sz w:val="32"/>
          <w:szCs w:val="32"/>
        </w:rPr>
        <w:t>附表</w:t>
      </w:r>
      <w:r>
        <w:rPr>
          <w:rStyle w:val="11"/>
          <w:rFonts w:hint="eastAsia" w:eastAsia="方正小标宋简体"/>
          <w:color w:val="auto"/>
          <w:sz w:val="32"/>
          <w:szCs w:val="32"/>
        </w:rPr>
        <w:t>2</w:t>
      </w:r>
    </w:p>
    <w:p>
      <w:pPr>
        <w:jc w:val="center"/>
        <w:rPr>
          <w:rStyle w:val="11"/>
          <w:rFonts w:eastAsia="方正小标宋简体"/>
          <w:b w:val="0"/>
          <w:bCs w:val="0"/>
          <w:color w:val="auto"/>
          <w:sz w:val="32"/>
          <w:szCs w:val="32"/>
        </w:rPr>
      </w:pPr>
      <w:r>
        <w:rPr>
          <w:rStyle w:val="11"/>
          <w:rFonts w:hint="eastAsia" w:eastAsia="方正小标宋简体"/>
          <w:b w:val="0"/>
          <w:bCs w:val="0"/>
          <w:color w:val="auto"/>
          <w:sz w:val="32"/>
          <w:szCs w:val="32"/>
        </w:rPr>
        <w:t>主要知识产权和标准规范目录（不超过5件）</w:t>
      </w:r>
    </w:p>
    <w:tbl>
      <w:tblPr>
        <w:tblStyle w:val="8"/>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447"/>
        <w:gridCol w:w="992"/>
        <w:gridCol w:w="2268"/>
        <w:gridCol w:w="1276"/>
        <w:gridCol w:w="1701"/>
        <w:gridCol w:w="1417"/>
        <w:gridCol w:w="2268"/>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0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知识产权</w:t>
            </w:r>
          </w:p>
          <w:p>
            <w:pPr>
              <w:jc w:val="center"/>
              <w:rPr>
                <w:rFonts w:eastAsia="仿宋"/>
                <w:sz w:val="24"/>
                <w:szCs w:val="24"/>
              </w:rPr>
            </w:pPr>
            <w:r>
              <w:rPr>
                <w:rFonts w:eastAsia="仿宋"/>
                <w:sz w:val="24"/>
                <w:szCs w:val="24"/>
              </w:rPr>
              <w:t>（标准规范）类别</w:t>
            </w:r>
          </w:p>
        </w:tc>
        <w:tc>
          <w:tcPr>
            <w:tcW w:w="2447"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国家</w:t>
            </w:r>
          </w:p>
          <w:p>
            <w:pPr>
              <w:jc w:val="center"/>
              <w:rPr>
                <w:rFonts w:eastAsia="仿宋"/>
                <w:bCs/>
                <w:snapToGrid w:val="0"/>
                <w:kern w:val="0"/>
                <w:sz w:val="24"/>
                <w:szCs w:val="24"/>
              </w:rPr>
            </w:pPr>
            <w:r>
              <w:rPr>
                <w:rFonts w:eastAsia="仿宋"/>
                <w:bCs/>
                <w:snapToGrid w:val="0"/>
                <w:kern w:val="0"/>
                <w:sz w:val="24"/>
                <w:szCs w:val="24"/>
              </w:rPr>
              <w:t>（地区）</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授权号</w:t>
            </w:r>
          </w:p>
          <w:p>
            <w:pPr>
              <w:jc w:val="center"/>
              <w:rPr>
                <w:rFonts w:eastAsia="仿宋"/>
                <w:sz w:val="24"/>
                <w:szCs w:val="24"/>
              </w:rPr>
            </w:pPr>
            <w:r>
              <w:rPr>
                <w:rFonts w:eastAsia="仿宋"/>
                <w:sz w:val="24"/>
                <w:szCs w:val="24"/>
              </w:rPr>
              <w:t>（标准规范编号）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授权（标准发布）日期</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证书编号（标准规范批准发布部门）</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权利人（标准规范起草单位）</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发明人（标准规范起草人）</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eastAsia="仿宋"/>
                <w:sz w:val="24"/>
                <w:szCs w:val="24"/>
              </w:rPr>
            </w:pPr>
            <w:r>
              <w:rPr>
                <w:rFonts w:eastAsia="仿宋"/>
                <w:sz w:val="24"/>
                <w:szCs w:val="24"/>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0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发明</w:t>
            </w:r>
            <w:r>
              <w:rPr>
                <w:rFonts w:eastAsia="仿宋"/>
                <w:sz w:val="24"/>
                <w:szCs w:val="24"/>
              </w:rPr>
              <w:t>专利</w:t>
            </w:r>
          </w:p>
        </w:tc>
        <w:tc>
          <w:tcPr>
            <w:tcW w:w="244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Method for using bamboo leaf extract as acrylamide inhibitor for heat processing food</w:t>
            </w:r>
          </w:p>
        </w:tc>
        <w:tc>
          <w:tcPr>
            <w:tcW w:w="992"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United States</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US8,206,766</w:t>
            </w:r>
          </w:p>
        </w:tc>
        <w:tc>
          <w:tcPr>
            <w:tcW w:w="1276"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2012.06.26</w:t>
            </w:r>
          </w:p>
        </w:tc>
        <w:tc>
          <w:tcPr>
            <w:tcW w:w="1701"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US 8,206,766</w:t>
            </w:r>
          </w:p>
        </w:tc>
        <w:tc>
          <w:tcPr>
            <w:tcW w:w="141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Zhejiang University</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Ying Zhang, Xiaoqin Wu, Yu Zhang, Genyi Zhang, Dingding Lou, Yi Dong</w:t>
            </w:r>
          </w:p>
        </w:tc>
        <w:tc>
          <w:tcPr>
            <w:tcW w:w="97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7" w:hRule="atLeast"/>
          <w:jc w:val="center"/>
        </w:trPr>
        <w:tc>
          <w:tcPr>
            <w:tcW w:w="80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国家</w:t>
            </w:r>
            <w:r>
              <w:rPr>
                <w:rFonts w:eastAsia="仿宋"/>
                <w:sz w:val="24"/>
                <w:szCs w:val="24"/>
              </w:rPr>
              <w:t>标准</w:t>
            </w:r>
          </w:p>
          <w:p>
            <w:pPr>
              <w:rPr>
                <w:rFonts w:eastAsia="仿宋"/>
                <w:sz w:val="24"/>
                <w:szCs w:val="24"/>
              </w:rPr>
            </w:pPr>
          </w:p>
        </w:tc>
        <w:tc>
          <w:tcPr>
            <w:tcW w:w="244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食品安全国家标准 食品添加剂 竹叶抗氧化物</w:t>
            </w:r>
          </w:p>
        </w:tc>
        <w:tc>
          <w:tcPr>
            <w:tcW w:w="992"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中国</w:t>
            </w:r>
          </w:p>
          <w:p>
            <w:pPr>
              <w:rPr>
                <w:rFonts w:eastAsia="仿宋"/>
                <w:sz w:val="24"/>
                <w:szCs w:val="24"/>
              </w:rPr>
            </w:pP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GB 30615-2014</w:t>
            </w:r>
          </w:p>
        </w:tc>
        <w:tc>
          <w:tcPr>
            <w:tcW w:w="1276"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2014.04.29</w:t>
            </w:r>
          </w:p>
        </w:tc>
        <w:tc>
          <w:tcPr>
            <w:tcW w:w="1701"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国家卫生和计划生育委员会</w:t>
            </w:r>
          </w:p>
        </w:tc>
        <w:tc>
          <w:tcPr>
            <w:tcW w:w="141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浙江大学</w:t>
            </w:r>
          </w:p>
          <w:p>
            <w:pPr>
              <w:rPr>
                <w:rFonts w:hint="eastAsia" w:eastAsia="仿宋"/>
                <w:sz w:val="24"/>
                <w:szCs w:val="24"/>
              </w:rPr>
            </w:pPr>
            <w:r>
              <w:rPr>
                <w:rFonts w:hint="eastAsia" w:eastAsia="仿宋"/>
                <w:sz w:val="24"/>
                <w:szCs w:val="24"/>
              </w:rPr>
              <w:t>厦门出入境检验检疫局检验检疫技术中心</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张英，徐敦明，吴晓琴，龚金炎，林立毅，章宇，陆柏益，陈鹭平，周爽，周昱，奚君阳</w:t>
            </w:r>
          </w:p>
        </w:tc>
        <w:tc>
          <w:tcPr>
            <w:tcW w:w="979" w:type="dxa"/>
            <w:tcBorders>
              <w:top w:val="single" w:color="auto" w:sz="4" w:space="0"/>
              <w:left w:val="single" w:color="auto" w:sz="4" w:space="0"/>
              <w:bottom w:val="single" w:color="auto" w:sz="4" w:space="0"/>
              <w:right w:val="single" w:color="auto" w:sz="4" w:space="0"/>
            </w:tcBorders>
            <w:shd w:val="clear" w:color="auto" w:fill="auto"/>
          </w:tcPr>
          <w:p>
            <w:pPr>
              <w:rPr>
                <w:rFonts w:eastAsia="仿宋"/>
                <w:sz w:val="24"/>
                <w:szCs w:val="24"/>
              </w:rPr>
            </w:pPr>
            <w:r>
              <w:rPr>
                <w:rFonts w:hint="eastAsia" w:eastAsia="仿宋"/>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0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发明</w:t>
            </w:r>
            <w:r>
              <w:rPr>
                <w:rFonts w:eastAsia="仿宋"/>
                <w:sz w:val="24"/>
                <w:szCs w:val="24"/>
              </w:rPr>
              <w:t>专利</w:t>
            </w:r>
          </w:p>
        </w:tc>
        <w:tc>
          <w:tcPr>
            <w:tcW w:w="244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评价丙烯酰胺体内暴露的血红蛋白加合物检测方法及应用</w:t>
            </w:r>
          </w:p>
        </w:tc>
        <w:tc>
          <w:tcPr>
            <w:tcW w:w="992"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中国</w:t>
            </w:r>
          </w:p>
          <w:p>
            <w:pPr>
              <w:rPr>
                <w:rFonts w:eastAsia="仿宋"/>
                <w:sz w:val="24"/>
                <w:szCs w:val="24"/>
              </w:rPr>
            </w:pP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ZL201710185308.1</w:t>
            </w:r>
          </w:p>
        </w:tc>
        <w:tc>
          <w:tcPr>
            <w:tcW w:w="1276"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2019</w:t>
            </w:r>
            <w:r>
              <w:rPr>
                <w:rFonts w:hint="eastAsia" w:eastAsia="仿宋"/>
                <w:sz w:val="24"/>
                <w:szCs w:val="24"/>
              </w:rPr>
              <w:t>.</w:t>
            </w:r>
            <w:r>
              <w:rPr>
                <w:rFonts w:eastAsia="仿宋"/>
                <w:sz w:val="24"/>
                <w:szCs w:val="24"/>
              </w:rPr>
              <w:t>04</w:t>
            </w:r>
            <w:r>
              <w:rPr>
                <w:rFonts w:hint="eastAsia" w:eastAsia="仿宋"/>
                <w:sz w:val="24"/>
                <w:szCs w:val="24"/>
              </w:rPr>
              <w:t>.</w:t>
            </w:r>
            <w:r>
              <w:rPr>
                <w:rFonts w:eastAsia="仿宋"/>
                <w:sz w:val="24"/>
                <w:szCs w:val="24"/>
              </w:rPr>
              <w:t>30</w:t>
            </w:r>
          </w:p>
        </w:tc>
        <w:tc>
          <w:tcPr>
            <w:tcW w:w="1701"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3357151</w:t>
            </w:r>
          </w:p>
        </w:tc>
        <w:tc>
          <w:tcPr>
            <w:tcW w:w="141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浙江大学</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章宇，陈信宇，王桥</w:t>
            </w:r>
          </w:p>
        </w:tc>
        <w:tc>
          <w:tcPr>
            <w:tcW w:w="979" w:type="dxa"/>
            <w:tcBorders>
              <w:top w:val="single" w:color="auto" w:sz="4" w:space="0"/>
              <w:left w:val="single" w:color="auto" w:sz="4" w:space="0"/>
              <w:bottom w:val="single" w:color="auto" w:sz="4" w:space="0"/>
              <w:right w:val="single" w:color="auto" w:sz="4" w:space="0"/>
            </w:tcBorders>
            <w:shd w:val="clear" w:color="auto" w:fill="auto"/>
          </w:tcPr>
          <w:p>
            <w:pPr>
              <w:rPr>
                <w:rFonts w:eastAsia="仿宋"/>
                <w:sz w:val="24"/>
                <w:szCs w:val="24"/>
              </w:rPr>
            </w:pPr>
            <w:r>
              <w:rPr>
                <w:rFonts w:eastAsia="仿宋"/>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0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发明</w:t>
            </w:r>
            <w:r>
              <w:rPr>
                <w:rFonts w:eastAsia="仿宋"/>
                <w:sz w:val="24"/>
                <w:szCs w:val="24"/>
              </w:rPr>
              <w:t>专利</w:t>
            </w:r>
          </w:p>
        </w:tc>
        <w:tc>
          <w:tcPr>
            <w:tcW w:w="244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高纯竹叶碳苷黄酮纳米粒子及其制备方法和用途</w:t>
            </w:r>
          </w:p>
        </w:tc>
        <w:tc>
          <w:tcPr>
            <w:tcW w:w="992"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中国</w:t>
            </w:r>
          </w:p>
          <w:p>
            <w:pPr>
              <w:rPr>
                <w:rFonts w:eastAsia="仿宋"/>
                <w:sz w:val="24"/>
                <w:szCs w:val="24"/>
              </w:rPr>
            </w:pP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ZL</w:t>
            </w:r>
            <w:r>
              <w:rPr>
                <w:rFonts w:hint="eastAsia" w:eastAsia="仿宋"/>
                <w:sz w:val="24"/>
                <w:szCs w:val="24"/>
              </w:rPr>
              <w:t>201810898507.1</w:t>
            </w:r>
          </w:p>
        </w:tc>
        <w:tc>
          <w:tcPr>
            <w:tcW w:w="1276"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2020</w:t>
            </w:r>
            <w:r>
              <w:rPr>
                <w:rFonts w:hint="eastAsia" w:eastAsia="仿宋"/>
                <w:sz w:val="24"/>
                <w:szCs w:val="24"/>
              </w:rPr>
              <w:t>.</w:t>
            </w:r>
            <w:r>
              <w:rPr>
                <w:rFonts w:eastAsia="仿宋"/>
                <w:sz w:val="24"/>
                <w:szCs w:val="24"/>
              </w:rPr>
              <w:t>11</w:t>
            </w:r>
            <w:r>
              <w:rPr>
                <w:rFonts w:hint="eastAsia" w:eastAsia="仿宋"/>
                <w:sz w:val="24"/>
                <w:szCs w:val="24"/>
              </w:rPr>
              <w:t>.</w:t>
            </w:r>
            <w:r>
              <w:rPr>
                <w:rFonts w:eastAsia="仿宋"/>
                <w:sz w:val="24"/>
                <w:szCs w:val="24"/>
              </w:rPr>
              <w:t>13</w:t>
            </w:r>
          </w:p>
        </w:tc>
        <w:tc>
          <w:tcPr>
            <w:tcW w:w="1701"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4094454</w:t>
            </w:r>
          </w:p>
        </w:tc>
        <w:tc>
          <w:tcPr>
            <w:tcW w:w="141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浙江大学</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张英，张宇靖，周沫希，韩建欣</w:t>
            </w:r>
          </w:p>
        </w:tc>
        <w:tc>
          <w:tcPr>
            <w:tcW w:w="97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80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发明专利</w:t>
            </w:r>
          </w:p>
        </w:tc>
        <w:tc>
          <w:tcPr>
            <w:tcW w:w="244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具有美白功效的竹叶黄酮复合纳米粒子及其制备方法</w:t>
            </w:r>
          </w:p>
        </w:tc>
        <w:tc>
          <w:tcPr>
            <w:tcW w:w="992"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中国</w:t>
            </w:r>
          </w:p>
          <w:p>
            <w:pPr>
              <w:rPr>
                <w:rFonts w:eastAsia="仿宋"/>
                <w:sz w:val="24"/>
                <w:szCs w:val="24"/>
              </w:rPr>
            </w:pP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ZL</w:t>
            </w:r>
            <w:r>
              <w:rPr>
                <w:rFonts w:hint="eastAsia" w:eastAsia="仿宋"/>
                <w:sz w:val="24"/>
                <w:szCs w:val="24"/>
              </w:rPr>
              <w:t>201610380410.2</w:t>
            </w:r>
          </w:p>
        </w:tc>
        <w:tc>
          <w:tcPr>
            <w:tcW w:w="1276"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2019</w:t>
            </w:r>
            <w:r>
              <w:rPr>
                <w:rFonts w:hint="eastAsia" w:eastAsia="仿宋"/>
                <w:sz w:val="24"/>
                <w:szCs w:val="24"/>
              </w:rPr>
              <w:t>.</w:t>
            </w:r>
            <w:r>
              <w:rPr>
                <w:rFonts w:eastAsia="仿宋"/>
                <w:sz w:val="24"/>
                <w:szCs w:val="24"/>
              </w:rPr>
              <w:t>01</w:t>
            </w:r>
            <w:r>
              <w:rPr>
                <w:rFonts w:hint="eastAsia" w:eastAsia="仿宋"/>
                <w:sz w:val="24"/>
                <w:szCs w:val="24"/>
              </w:rPr>
              <w:t>.</w:t>
            </w:r>
            <w:r>
              <w:rPr>
                <w:rFonts w:eastAsia="仿宋"/>
                <w:sz w:val="24"/>
                <w:szCs w:val="24"/>
              </w:rPr>
              <w:t>08</w:t>
            </w:r>
          </w:p>
        </w:tc>
        <w:tc>
          <w:tcPr>
            <w:tcW w:w="1701"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hint="eastAsia" w:eastAsia="仿宋"/>
                <w:sz w:val="24"/>
                <w:szCs w:val="24"/>
              </w:rPr>
              <w:t>3210602</w:t>
            </w:r>
          </w:p>
        </w:tc>
        <w:tc>
          <w:tcPr>
            <w:tcW w:w="1417"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浙江大学</w:t>
            </w:r>
          </w:p>
        </w:tc>
        <w:tc>
          <w:tcPr>
            <w:tcW w:w="2268"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张英，王楠</w:t>
            </w:r>
          </w:p>
        </w:tc>
        <w:tc>
          <w:tcPr>
            <w:tcW w:w="979" w:type="dxa"/>
            <w:tcBorders>
              <w:top w:val="single" w:color="auto" w:sz="4" w:space="0"/>
              <w:left w:val="single" w:color="auto" w:sz="4" w:space="0"/>
              <w:bottom w:val="single" w:color="auto" w:sz="4" w:space="0"/>
              <w:right w:val="single" w:color="auto" w:sz="4" w:space="0"/>
            </w:tcBorders>
          </w:tcPr>
          <w:p>
            <w:pPr>
              <w:rPr>
                <w:rFonts w:eastAsia="仿宋"/>
                <w:sz w:val="24"/>
                <w:szCs w:val="24"/>
              </w:rPr>
            </w:pPr>
            <w:r>
              <w:rPr>
                <w:rFonts w:eastAsia="仿宋"/>
                <w:sz w:val="24"/>
                <w:szCs w:val="24"/>
              </w:rPr>
              <w:t>有效</w:t>
            </w:r>
          </w:p>
        </w:tc>
      </w:tr>
    </w:tbl>
    <w:p>
      <w:pPr>
        <w:rPr>
          <w:rStyle w:val="11"/>
          <w:rFonts w:eastAsia="仿宋_GB2312"/>
          <w:b w:val="0"/>
          <w:bCs w:val="0"/>
          <w:color w:val="auto"/>
          <w:sz w:val="28"/>
          <w:szCs w:val="36"/>
        </w:rPr>
      </w:pPr>
      <w:r>
        <w:rPr>
          <w:rStyle w:val="11"/>
          <w:rFonts w:hint="eastAsia" w:eastAsia="仿宋_GB2312"/>
          <w:color w:val="auto"/>
          <w:sz w:val="28"/>
          <w:szCs w:val="36"/>
        </w:rPr>
        <w:t>承诺：</w:t>
      </w:r>
      <w:r>
        <w:rPr>
          <w:rStyle w:val="11"/>
          <w:rFonts w:hint="eastAsia" w:eastAsia="仿宋_GB2312"/>
          <w:b w:val="0"/>
          <w:bCs w:val="0"/>
          <w:color w:val="auto"/>
          <w:sz w:val="28"/>
          <w:szCs w:val="36"/>
        </w:rPr>
        <w:t>上述知识产权符合提名要求且无争议。以上知识产权和标准规范用于提名2023年度省自然科学奖的情况，已征得未列入成果完成单位或完成人的发明人、权利人的同意，有关知情证明材料均存档备案。</w:t>
      </w:r>
    </w:p>
    <w:p>
      <w:pPr>
        <w:jc w:val="right"/>
        <w:rPr>
          <w:rStyle w:val="11"/>
          <w:rFonts w:eastAsia="仿宋_GB2312"/>
          <w:b w:val="0"/>
          <w:bCs w:val="0"/>
          <w:color w:val="auto"/>
          <w:sz w:val="28"/>
          <w:szCs w:val="36"/>
        </w:rPr>
      </w:pPr>
      <w:r>
        <w:rPr>
          <w:rStyle w:val="11"/>
          <w:rFonts w:hint="eastAsia" w:eastAsia="仿宋_GB2312"/>
          <w:b w:val="0"/>
          <w:bCs w:val="0"/>
          <w:color w:val="auto"/>
          <w:sz w:val="28"/>
          <w:szCs w:val="36"/>
        </w:rPr>
        <w:t xml:space="preserve">                              第一完成人签字：章宇</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方正小标宋简体">
    <w:altName w:val="汉仪书宋二KW"/>
    <w:panose1 w:val="00000000000000000000"/>
    <w:charset w:val="86"/>
    <w:family w:val="script"/>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cxMjE3NjczNzAzsrBQ0lEKTi0uzszPAykwqwUA7U4dhiwAAAA="/>
    <w:docVar w:name="commondata" w:val="eyJoZGlkIjoiZTllYjc3MGRiNzI1MDY1NDgwNjBjYzEyMDk3NjZlNGEifQ=="/>
  </w:docVars>
  <w:rsids>
    <w:rsidRoot w:val="5E6444A7"/>
    <w:rsid w:val="00002AC4"/>
    <w:rsid w:val="000142A8"/>
    <w:rsid w:val="000A7EA0"/>
    <w:rsid w:val="000E30F1"/>
    <w:rsid w:val="00102C6C"/>
    <w:rsid w:val="001E4A89"/>
    <w:rsid w:val="00267391"/>
    <w:rsid w:val="002D26CA"/>
    <w:rsid w:val="002E3270"/>
    <w:rsid w:val="002F02EF"/>
    <w:rsid w:val="002F6FE5"/>
    <w:rsid w:val="00314C95"/>
    <w:rsid w:val="00321E86"/>
    <w:rsid w:val="0035024F"/>
    <w:rsid w:val="003B32D2"/>
    <w:rsid w:val="003C2282"/>
    <w:rsid w:val="003D1A0B"/>
    <w:rsid w:val="003D7207"/>
    <w:rsid w:val="003E3BF1"/>
    <w:rsid w:val="003F35F5"/>
    <w:rsid w:val="004A45FB"/>
    <w:rsid w:val="004D75DF"/>
    <w:rsid w:val="00544B5D"/>
    <w:rsid w:val="00551629"/>
    <w:rsid w:val="00585858"/>
    <w:rsid w:val="005C0CE3"/>
    <w:rsid w:val="005E7B66"/>
    <w:rsid w:val="006025DC"/>
    <w:rsid w:val="006520AE"/>
    <w:rsid w:val="006659BF"/>
    <w:rsid w:val="0067069B"/>
    <w:rsid w:val="006B03D7"/>
    <w:rsid w:val="006E29D3"/>
    <w:rsid w:val="006F5786"/>
    <w:rsid w:val="00760FF2"/>
    <w:rsid w:val="00772BEA"/>
    <w:rsid w:val="007A43B0"/>
    <w:rsid w:val="007B7E51"/>
    <w:rsid w:val="0081712B"/>
    <w:rsid w:val="00876375"/>
    <w:rsid w:val="00877626"/>
    <w:rsid w:val="008966C6"/>
    <w:rsid w:val="008D7B14"/>
    <w:rsid w:val="009165B5"/>
    <w:rsid w:val="00945D31"/>
    <w:rsid w:val="00947148"/>
    <w:rsid w:val="009657B9"/>
    <w:rsid w:val="00967BF6"/>
    <w:rsid w:val="009A4F0C"/>
    <w:rsid w:val="009E23B6"/>
    <w:rsid w:val="00A74B7D"/>
    <w:rsid w:val="00AD481B"/>
    <w:rsid w:val="00AD6254"/>
    <w:rsid w:val="00B10A30"/>
    <w:rsid w:val="00B4735F"/>
    <w:rsid w:val="00B67F6E"/>
    <w:rsid w:val="00B85895"/>
    <w:rsid w:val="00BA29A3"/>
    <w:rsid w:val="00C21BB1"/>
    <w:rsid w:val="00C752FD"/>
    <w:rsid w:val="00CD028F"/>
    <w:rsid w:val="00CE4690"/>
    <w:rsid w:val="00CE7559"/>
    <w:rsid w:val="00CF020D"/>
    <w:rsid w:val="00D14325"/>
    <w:rsid w:val="00D233CB"/>
    <w:rsid w:val="00D625B0"/>
    <w:rsid w:val="00D74FB0"/>
    <w:rsid w:val="00DB3BC8"/>
    <w:rsid w:val="00E06BBD"/>
    <w:rsid w:val="00E8149C"/>
    <w:rsid w:val="00E81C70"/>
    <w:rsid w:val="00E872DF"/>
    <w:rsid w:val="00EC100E"/>
    <w:rsid w:val="00EC73FC"/>
    <w:rsid w:val="00EF2CA7"/>
    <w:rsid w:val="00F01721"/>
    <w:rsid w:val="00F25D35"/>
    <w:rsid w:val="00F7171C"/>
    <w:rsid w:val="5E6444A7"/>
    <w:rsid w:val="73FE8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widowControl/>
      <w:spacing w:before="340" w:after="330" w:line="578" w:lineRule="auto"/>
      <w:jc w:val="left"/>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qFormat/>
    <w:uiPriority w:val="0"/>
    <w:rPr>
      <w:b/>
      <w:bCs/>
    </w:rPr>
  </w:style>
  <w:style w:type="character" w:styleId="10">
    <w:name w:val="annotation reference"/>
    <w:basedOn w:val="9"/>
    <w:uiPriority w:val="0"/>
    <w:rPr>
      <w:sz w:val="21"/>
      <w:szCs w:val="21"/>
    </w:rPr>
  </w:style>
  <w:style w:type="character" w:customStyle="1" w:styleId="11">
    <w:name w:val="title1"/>
    <w:qFormat/>
    <w:uiPriority w:val="0"/>
    <w:rPr>
      <w:b/>
      <w:bCs/>
      <w:color w:val="999900"/>
      <w:sz w:val="24"/>
      <w:szCs w:val="24"/>
    </w:rPr>
  </w:style>
  <w:style w:type="character" w:customStyle="1" w:styleId="12">
    <w:name w:val="批注文字 字符"/>
    <w:basedOn w:val="9"/>
    <w:link w:val="3"/>
    <w:uiPriority w:val="0"/>
    <w:rPr>
      <w:rFonts w:ascii="Times New Roman" w:hAnsi="Times New Roman" w:eastAsia="宋体" w:cs="Times New Roman"/>
      <w:kern w:val="2"/>
      <w:sz w:val="21"/>
    </w:rPr>
  </w:style>
  <w:style w:type="character" w:customStyle="1" w:styleId="13">
    <w:name w:val="批注主题 字符"/>
    <w:basedOn w:val="12"/>
    <w:link w:val="7"/>
    <w:uiPriority w:val="0"/>
    <w:rPr>
      <w:rFonts w:ascii="Times New Roman" w:hAnsi="Times New Roman" w:eastAsia="宋体" w:cs="Times New Roman"/>
      <w:b/>
      <w:bCs/>
      <w:kern w:val="2"/>
      <w:sz w:val="21"/>
    </w:rPr>
  </w:style>
  <w:style w:type="character" w:customStyle="1" w:styleId="14">
    <w:name w:val="批注框文本 字符"/>
    <w:basedOn w:val="9"/>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647</Words>
  <Characters>3691</Characters>
  <Lines>30</Lines>
  <Paragraphs>8</Paragraphs>
  <TotalTime>41</TotalTime>
  <ScaleCrop>false</ScaleCrop>
  <LinksUpToDate>false</LinksUpToDate>
  <CharactersWithSpaces>4330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2024-08-09T14:08:00Z</dcterms:created>
  <dc:creator>七月份的尾巴尖</dc:creator>
  <cp:lastModifiedBy>白炽</cp:lastModifiedBy>
  <dcterms:modified xsi:type="dcterms:W3CDTF">2024-08-12T18:36:44Z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EFD2FBEAC692E1E3BCE5B96621C237B9</vt:lpwstr>
  </property>
</Properties>
</file>