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提名奖项：（科学技术进步奖）</w:t>
      </w:r>
    </w:p>
    <w:tbl>
      <w:tblPr>
        <w:tblStyle w:val="3"/>
        <w:tblW w:w="858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6700"/>
      </w:tblGrid>
      <w:tr>
        <w:tblPrEx>
          <w:tblLayout w:type="fixed"/>
        </w:tblPrEx>
        <w:trPr>
          <w:trHeight w:val="647" w:hRule="atLeast"/>
        </w:trPr>
        <w:tc>
          <w:tcPr>
            <w:tcW w:w="1889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70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  <w:t>结构功能一体化环保珐琅板的关键制备技术开发及工程应用</w:t>
            </w:r>
          </w:p>
        </w:tc>
      </w:tr>
      <w:tr>
        <w:tblPrEx>
          <w:tblLayout w:type="fixed"/>
        </w:tblPrEx>
        <w:trPr>
          <w:trHeight w:val="561" w:hRule="atLeast"/>
        </w:trPr>
        <w:tc>
          <w:tcPr>
            <w:tcW w:w="1889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700" w:type="dxa"/>
            <w:vAlign w:val="center"/>
          </w:tcPr>
          <w:p>
            <w:pPr>
              <w:jc w:val="center"/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Layout w:type="fixed"/>
        </w:tblPrEx>
        <w:trPr>
          <w:trHeight w:val="1029" w:hRule="atLeast"/>
        </w:trPr>
        <w:tc>
          <w:tcPr>
            <w:tcW w:w="188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7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详见附件1</w:t>
            </w:r>
          </w:p>
        </w:tc>
      </w:tr>
      <w:tr>
        <w:tblPrEx>
          <w:tblLayout w:type="fixed"/>
        </w:tblPrEx>
        <w:trPr>
          <w:trHeight w:val="1958" w:hRule="atLeast"/>
        </w:trPr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70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邢翰学，排名1，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正高级工程师，浙江开尔新材料股份有限公司；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曹益亭，排名2，高级工程师，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浙江开尔新材料股份有限公司；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邢叶凌，排名3，高级工程师，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浙江开尔新材料股份有限公司；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曹文倩，排名4，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助理研究员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，浙江大学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  <w:lang w:val="en-US" w:eastAsia="zh-CN"/>
              </w:rPr>
              <w:t>杭州国际科创中心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江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峰，排名5，高级工程师，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浙江开尔新材料股份有限公司；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傅昂挺，排名6，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中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级工程师，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浙江开尔新材料股份有限公司；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应洋洋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，排名7，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中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级工程师，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浙江开尔新材料股份有限公司；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张  军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，排名8，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中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级工程师，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浙江开尔新材料股份有限公司；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洪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扬，排名9，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中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</w:rPr>
              <w:t>级工程师，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2"/>
                <w:lang w:val="en-US" w:eastAsia="zh-CN"/>
              </w:rPr>
              <w:t>浙江开尔新材料股份有限公司；</w:t>
            </w:r>
          </w:p>
        </w:tc>
      </w:tr>
      <w:tr>
        <w:tblPrEx>
          <w:tblLayout w:type="fixed"/>
        </w:tblPrEx>
        <w:trPr>
          <w:trHeight w:val="1986" w:hRule="atLeast"/>
        </w:trPr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70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  <w:t>1.单位名称：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  <w:lang w:val="en-US" w:eastAsia="zh-CN"/>
              </w:rPr>
              <w:t>浙江开尔新材料股份有限公司</w:t>
            </w:r>
          </w:p>
          <w:p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</w:rPr>
              <w:t>2.单位名称：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</w:tc>
      </w:tr>
      <w:tr>
        <w:tblPrEx>
          <w:tblLayout w:type="fixed"/>
        </w:tblPrEx>
        <w:trPr>
          <w:trHeight w:val="1465" w:hRule="atLeast"/>
        </w:trPr>
        <w:tc>
          <w:tcPr>
            <w:tcW w:w="1889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00" w:type="dxa"/>
            <w:vAlign w:val="center"/>
          </w:tcPr>
          <w:p>
            <w:pPr>
              <w:contextualSpacing/>
              <w:jc w:val="center"/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color w:val="auto"/>
                <w:sz w:val="24"/>
                <w:szCs w:val="24"/>
                <w:lang w:val="en-US" w:eastAsia="zh-CN"/>
              </w:rPr>
              <w:t>金华市人民政府</w:t>
            </w:r>
          </w:p>
        </w:tc>
      </w:tr>
      <w:tr>
        <w:tblPrEx>
          <w:tblLayout w:type="fixed"/>
        </w:tblPrEx>
        <w:trPr>
          <w:trHeight w:val="3683" w:hRule="atLeast"/>
        </w:trPr>
        <w:tc>
          <w:tcPr>
            <w:tcW w:w="1889" w:type="dxa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FF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结构功能一体化环保珐琅板是应用于建筑幕墙、地铁与隧道地下空间装饰等国计民生重大领域中的新型材料，对实现我国“碳达峰”、“碳中和”战略意义重大。国外对功能装饰一体化珐琅板实施技术封锁，主要面临功能单一、大尺寸特殊板型基体钢板与背衬材料成型和釉料均匀喷涂困难、安装结构拆装困难与共振异响等多项技术难题，亟需突破。本成果在省市级课题的支持下，经过多年的产学研联合攻关，重点突破了环保珐琅板的绿色釉料配方设计及浆料制备、新型涂搪工艺、大尺寸特殊板型基体钢板与背衬材料成型工艺、恒温恒压釉料均匀喷涂等关键技术，开发出了结构功能一体化的环保珐琅板系列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8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该技术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成果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获授权发明专利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 xml:space="preserve">件，发表SCI 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 xml:space="preserve">篇，EI 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篇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主持制定“浙江制造”团体标准和“浙江标准”各1项，荣获“北极星建筑奖”、“浙江制造精品”等荣誉。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2020-2022年创造超8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亿元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的直接经济效益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该技术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成果在港珠澳大桥、国家会议中心二期、北京大兴机场、“一带一路”国家（俄罗斯、西班牙、新加坡等）地铁及隧道等重大工程中实现工程化应用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社会经济效益显著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成果经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浙江省新材料产业协会组织专家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  <w:t>委员会鉴定结论：“项目研发长效抗菌、释放负离子、去除甲醛釉料配方，采用超大规格模压成型技术和新型涂搪-搪烧工艺，制备结构功能一体化超大尺寸、多曲面珐琅板，实现在国家重大工程中应用。成果技术处国际先进水平。”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lang w:val="en-US" w:eastAsia="zh-CN"/>
              </w:rPr>
            </w:pPr>
          </w:p>
          <w:p>
            <w:pPr>
              <w:contextualSpacing/>
              <w:jc w:val="center"/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提名该成果为省科学技术进步奖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u w:val="single"/>
                <w:lang w:val="en-US" w:eastAsia="zh-CN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Cs/>
                <w:spacing w:val="2"/>
                <w:sz w:val="24"/>
                <w:szCs w:val="24"/>
              </w:rPr>
              <w:t>等奖。</w:t>
            </w:r>
          </w:p>
        </w:tc>
      </w:tr>
    </w:tbl>
    <w:p>
      <w:pPr/>
      <w:r>
        <w:br w:type="page"/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="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eastAsia="仿宋_GB2312"/>
          <w:bCs/>
          <w:color w:val="auto"/>
          <w:sz w:val="24"/>
          <w:szCs w:val="24"/>
          <w:lang w:val="en-US" w:eastAsia="zh-CN"/>
        </w:rPr>
        <w:t xml:space="preserve">附件1                                      </w:t>
      </w:r>
      <w:r>
        <w:rPr>
          <w:rFonts w:hint="eastAsia" w:eastAsia="仿宋_GB2312"/>
          <w:bCs/>
          <w:color w:val="auto"/>
          <w:sz w:val="28"/>
          <w:szCs w:val="28"/>
          <w:lang w:val="en-US" w:eastAsia="zh-CN"/>
        </w:rPr>
        <w:t xml:space="preserve"> 主要知识产权、标准规范和论文目录</w:t>
      </w:r>
    </w:p>
    <w:p>
      <w:pPr>
        <w:rPr>
          <w:rFonts w:hint="eastAsia" w:eastAsia="仿宋_GB2312"/>
          <w:bCs/>
          <w:color w:val="auto"/>
          <w:sz w:val="24"/>
          <w:szCs w:val="24"/>
          <w:lang w:val="en-US" w:eastAsia="zh-CN"/>
        </w:rPr>
      </w:pPr>
    </w:p>
    <w:tbl>
      <w:tblPr>
        <w:tblStyle w:val="3"/>
        <w:tblW w:w="13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911"/>
        <w:gridCol w:w="1563"/>
        <w:gridCol w:w="1462"/>
        <w:gridCol w:w="1137"/>
        <w:gridCol w:w="1439"/>
        <w:gridCol w:w="1989"/>
        <w:gridCol w:w="1370"/>
      </w:tblGrid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（标准规范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知识产权（标准规范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）具体名称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kern w:val="0"/>
                <w:sz w:val="22"/>
                <w:szCs w:val="22"/>
              </w:rPr>
              <w:t>（地区）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授权号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（标准规范编号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期刊号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（标准发布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论文发表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）日期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证书编号（标准规范批准发布部门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期刊名称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权利人（标准规范起草单位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作者单位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发明人（标准规范起草人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论文作者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发明专利（标准规范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）状态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一种搪瓷钛彩釉料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ZL201810523866.9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2021.04.13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4354853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邢翰学,舒文晓,曹益亭,黄新亮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制备半径r＞3000mm的珐琅圆弧板的方法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ZL201910493361.7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2021.09.21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4693243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邢翰学,张建飞,傅昂挺,邢叶凌,张军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一种钛瓷珐琅装饰板及其制备方法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ZL201910492697.1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2021.10.15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4731389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曹益亭,曹力力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释放负离子的珐琅釉浆及使用其制备负离子珐琅板的方法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ZL201910590446.7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2021.12.31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4875894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曹益亭,曹力力,邢翰学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可除甲醛釉浆、制备方法和可除甲醛珐琅板的制备方法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ZL201910590425.5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2022.02.18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4946342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曹益亭,曹力力,邢翰学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抗菌珐琅釉浆、制备方法和抗菌珐琅板的制备方法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ZL201910591455.8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2022.06.03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5207491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曹益亭,曹力力,邢翰学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一种不锈钢搪瓷板的底釉釉料及其制备方法和应用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ZL202010889270.8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2022.06.03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5204703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邢翰学,曹益亭,傅昂挺,张军,黄新亮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浙江团体标准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建筑装饰用搪瓷钢板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中国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T/ZZB 0219-2022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2022.12.30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浙江省品牌建设联合会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邢翰学,张建飞,周向华,曹益亭,应洋洋,朱盛霞,郑玲,何静姿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SCI论文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Preparation and characterization of enamel glaze containing metal oxide nanocrystals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for antibacterial application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外文期刊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2023,619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8.14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Journal of Non-Crystalline Solids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浙江大学材料科学与工程学院，硅材料国家重点实验室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邢翰学,曹文倩,曹益亭,洪扬,崔元靖,钱国栋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已发表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EI论文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大型平板搪瓷在生产中产生变形的影响因素及控制策略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外文期刊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2024年第52卷第2期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024.2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.20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玻璃搪瓷与眼镜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浙江开尔新材料股份有限公司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、东华大学材料科学与工程学院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张军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周向华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曹益亭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傅昂挺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应洋洋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蒋伟忠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已发表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1837</Words>
  <Characters>2230</Characters>
  <Lines>0</Lines>
  <Paragraphs>0</Paragraphs>
  <TotalTime>0</TotalTime>
  <ScaleCrop>false</ScaleCrop>
  <LinksUpToDate>false</LinksUpToDate>
  <CharactersWithSpaces>2296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2024-03-06T14:23:00Z</dcterms:created>
  <dc:creator>Administrator</dc:creator>
  <cp:lastModifiedBy>iPhone</cp:lastModifiedBy>
  <dcterms:modified xsi:type="dcterms:W3CDTF">2024-08-07T16:05:45Z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2052-11.38.1</vt:lpwstr>
  </property>
  <property fmtid="{D5CDD505-2E9C-101B-9397-08002B2CF9AE}" pid="3" name="ICV">
    <vt:lpwstr>CF94397C289648DDA1129CE8E811EFAD_13</vt:lpwstr>
  </property>
</Properties>
</file>