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A7FC" w14:textId="77777777" w:rsidR="00FA752C" w:rsidRDefault="002B5E0E">
      <w:pPr>
        <w:jc w:val="center"/>
        <w:rPr>
          <w:rStyle w:val="title1"/>
          <w:rFonts w:ascii="Times New Roman" w:eastAsia="楷体" w:hAnsi="Times New Roman" w:cs="Times New Roman"/>
          <w:bCs w:val="0"/>
          <w:color w:val="auto"/>
          <w:sz w:val="36"/>
          <w:szCs w:val="36"/>
        </w:rPr>
      </w:pPr>
      <w:r>
        <w:rPr>
          <w:rStyle w:val="title1"/>
          <w:rFonts w:ascii="Times New Roman" w:eastAsia="楷体" w:hAnsi="Times New Roman" w:cs="Times New Roman"/>
          <w:color w:val="auto"/>
          <w:sz w:val="36"/>
          <w:szCs w:val="36"/>
        </w:rPr>
        <w:t>浙江省科学技术奖公示信息表</w:t>
      </w:r>
      <w:r>
        <w:rPr>
          <w:rStyle w:val="title1"/>
          <w:rFonts w:ascii="Times New Roman" w:eastAsia="楷体" w:hAnsi="Times New Roman" w:cs="Times New Roman"/>
          <w:color w:val="auto"/>
          <w:sz w:val="32"/>
          <w:szCs w:val="32"/>
        </w:rPr>
        <w:t>（单位提名）</w:t>
      </w:r>
    </w:p>
    <w:p w14:paraId="7A7C32A7" w14:textId="77777777" w:rsidR="00FA752C" w:rsidRDefault="002B5E0E">
      <w:pPr>
        <w:spacing w:line="440" w:lineRule="exact"/>
        <w:rPr>
          <w:rFonts w:ascii="Times New Roman" w:eastAsia="楷体" w:hAnsi="Times New Roman" w:cs="Times New Roman"/>
          <w:sz w:val="28"/>
          <w:szCs w:val="24"/>
        </w:rPr>
      </w:pPr>
      <w:r>
        <w:rPr>
          <w:rFonts w:ascii="Times New Roman" w:eastAsia="楷体" w:hAnsi="Times New Roman" w:cs="Times New Roman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FA752C" w14:paraId="644E22BB" w14:textId="77777777">
        <w:trPr>
          <w:trHeight w:val="647"/>
        </w:trPr>
        <w:tc>
          <w:tcPr>
            <w:tcW w:w="2269" w:type="dxa"/>
            <w:vAlign w:val="center"/>
          </w:tcPr>
          <w:p w14:paraId="09B03525" w14:textId="77777777" w:rsidR="00FA752C" w:rsidRDefault="002B5E0E">
            <w:pPr>
              <w:jc w:val="center"/>
              <w:rPr>
                <w:rStyle w:val="title1"/>
                <w:rFonts w:ascii="Times New Roman" w:eastAsia="楷体" w:hAnsi="Times New Roman" w:cs="Times New Roman"/>
                <w:b w:val="0"/>
                <w:sz w:val="28"/>
              </w:rPr>
            </w:pPr>
            <w:r>
              <w:rPr>
                <w:rStyle w:val="title1"/>
                <w:rFonts w:ascii="Times New Roman" w:eastAsia="楷体" w:hAnsi="Times New Roman" w:cs="Times New Roman"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7F38550" w14:textId="1B91DD0C" w:rsidR="00FA752C" w:rsidRDefault="00E3309F">
            <w:pPr>
              <w:jc w:val="center"/>
              <w:rPr>
                <w:rStyle w:val="title1"/>
                <w:rFonts w:ascii="Times New Roman" w:eastAsia="楷体" w:hAnsi="Times New Roman" w:cs="Times New Roman"/>
                <w:b w:val="0"/>
                <w:sz w:val="28"/>
              </w:rPr>
            </w:pPr>
            <w:bookmarkStart w:id="0" w:name="_Hlk173750091"/>
            <w:r w:rsidRPr="00E3309F">
              <w:rPr>
                <w:rFonts w:ascii="Times New Roman" w:eastAsia="楷体" w:hAnsi="Times New Roman" w:cs="Times New Roman" w:hint="eastAsia"/>
                <w:sz w:val="24"/>
              </w:rPr>
              <w:t>高活性高毒性固体药物智能高效制粒关键技术及装备</w:t>
            </w:r>
            <w:bookmarkEnd w:id="0"/>
          </w:p>
        </w:tc>
      </w:tr>
      <w:tr w:rsidR="00FA752C" w14:paraId="2EB3DD1F" w14:textId="77777777">
        <w:trPr>
          <w:trHeight w:val="561"/>
        </w:trPr>
        <w:tc>
          <w:tcPr>
            <w:tcW w:w="2269" w:type="dxa"/>
            <w:vAlign w:val="center"/>
          </w:tcPr>
          <w:p w14:paraId="24974384" w14:textId="77777777" w:rsidR="00FA752C" w:rsidRDefault="002B5E0E">
            <w:pPr>
              <w:jc w:val="center"/>
              <w:rPr>
                <w:rStyle w:val="title1"/>
                <w:rFonts w:ascii="Times New Roman" w:eastAsia="楷体" w:hAnsi="Times New Roman" w:cs="Times New Roman"/>
                <w:b w:val="0"/>
                <w:sz w:val="28"/>
              </w:rPr>
            </w:pPr>
            <w:r>
              <w:rPr>
                <w:rStyle w:val="title1"/>
                <w:rFonts w:ascii="Times New Roman" w:eastAsia="楷体" w:hAnsi="Times New Roman" w:cs="Times New Roman"/>
                <w:color w:val="auto"/>
                <w:sz w:val="28"/>
                <w:szCs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A05E1CA" w14:textId="77777777" w:rsidR="00FA752C" w:rsidRDefault="002B5E0E">
            <w:pPr>
              <w:jc w:val="center"/>
              <w:rPr>
                <w:rStyle w:val="title1"/>
                <w:rFonts w:ascii="Times New Roman" w:eastAsia="楷体" w:hAnsi="Times New Roman" w:cs="Times New Roman"/>
                <w:b w:val="0"/>
                <w:sz w:val="28"/>
              </w:rPr>
            </w:pPr>
            <w:r>
              <w:rPr>
                <w:rStyle w:val="title1"/>
                <w:rFonts w:ascii="Times New Roman" w:eastAsia="楷体" w:hAnsi="Times New Roman" w:cs="Times New Roman"/>
                <w:b w:val="0"/>
                <w:color w:val="auto"/>
                <w:sz w:val="28"/>
                <w:szCs w:val="28"/>
              </w:rPr>
              <w:t>一等奖</w:t>
            </w:r>
          </w:p>
        </w:tc>
      </w:tr>
      <w:tr w:rsidR="00FA752C" w14:paraId="54E12C83" w14:textId="77777777">
        <w:trPr>
          <w:trHeight w:val="2461"/>
        </w:trPr>
        <w:tc>
          <w:tcPr>
            <w:tcW w:w="2269" w:type="dxa"/>
            <w:vAlign w:val="center"/>
          </w:tcPr>
          <w:p w14:paraId="4536C6D4" w14:textId="77777777" w:rsidR="00FA752C" w:rsidRDefault="002B5E0E">
            <w:pPr>
              <w:spacing w:line="440" w:lineRule="exact"/>
              <w:jc w:val="center"/>
              <w:rPr>
                <w:rFonts w:ascii="Times New Roman" w:eastAsia="楷体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8"/>
                <w:szCs w:val="24"/>
              </w:rPr>
              <w:t>提名书</w:t>
            </w:r>
          </w:p>
          <w:p w14:paraId="61768150" w14:textId="77777777" w:rsidR="00FA752C" w:rsidRDefault="002B5E0E">
            <w:pPr>
              <w:spacing w:line="440" w:lineRule="exact"/>
              <w:jc w:val="center"/>
              <w:rPr>
                <w:rFonts w:ascii="Times New Roman" w:eastAsia="楷体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A4BD326" w14:textId="13BA4092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[1]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方正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方策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孙健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蒲锰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刘跃勇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 w:rsidR="00E3309F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DRY GRANULATOR</w:t>
            </w:r>
            <w:r w:rsidR="00E3309F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[P]. </w:t>
            </w:r>
            <w:r w:rsidR="00E3309F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美国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：</w:t>
            </w:r>
            <w:r w:rsidR="00E3309F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US11602720B2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="00E3309F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2023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E3309F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03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E3309F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</w:p>
          <w:p w14:paraId="6FBB1A66" w14:textId="7AB2EA48" w:rsidR="001068B5" w:rsidRDefault="001068B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]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1068B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方正、陈建盈、陈少博、吴国桥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 w:rsidRPr="001068B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ELECTRICAL CONTROL SYSTEM FOR SLURRY MIXING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[P]. 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美国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：</w:t>
            </w:r>
            <w:r w:rsidRPr="001068B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US11911734B2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4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2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29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</w:p>
          <w:p w14:paraId="69F020A9" w14:textId="761A4588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</w:t>
            </w:r>
            <w:r w:rsidR="001068B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]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周宏明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谢玉辉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陈一</w:t>
            </w:r>
            <w:proofErr w:type="gramStart"/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镖</w:t>
            </w:r>
            <w:proofErr w:type="gramEnd"/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李武朝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高斌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 w:rsidR="00E3309F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高密闭生产线流化床截面鼓泡分析系统</w:t>
            </w:r>
            <w:r w:rsidR="00E3309F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V1.0</w:t>
            </w:r>
            <w:r w:rsidR="003416DE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E3309F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 w:rsid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软件著作权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浙江省：</w:t>
            </w:r>
            <w:r w:rsidR="0050016E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2024SR0082287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="0050016E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2024</w:t>
            </w:r>
            <w:r w:rsidR="0050016E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50016E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</w:t>
            </w:r>
            <w:r w:rsidR="0050016E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50016E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</w:p>
          <w:p w14:paraId="78E7DBAA" w14:textId="1CD488E2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[4]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proofErr w:type="gramStart"/>
            <w:r w:rsidR="009C3477" w:rsidRP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易畅</w:t>
            </w:r>
            <w:proofErr w:type="gramEnd"/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王凯军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冯毅萍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赵久强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一种智能生产线柔性上料机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[P]. 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浙江省：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ZL201910416560.8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 w:rsidR="009C3477" w:rsidRP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2020</w:t>
            </w:r>
            <w:r w:rsid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9C3477" w:rsidRP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06</w:t>
            </w:r>
            <w:r w:rsid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9C3477" w:rsidRP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</w:p>
          <w:p w14:paraId="71E2F028" w14:textId="63F8B874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[5]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方策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连朋生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包克兵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胡斌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王忠兴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方芳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方圆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方丹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翁自正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一种可调节进风口风量的流化床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[P]. 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浙江省：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ZL202111404073.3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 w:rsidR="009C3477" w:rsidRP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2023</w:t>
            </w:r>
            <w:r w:rsid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9C3477" w:rsidRP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09</w:t>
            </w:r>
            <w:r w:rsid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9C3477" w:rsidRP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</w:p>
          <w:p w14:paraId="6B84D530" w14:textId="477220C0" w:rsidR="00FB57B9" w:rsidRPr="00FB57B9" w:rsidRDefault="00FB57B9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6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]</w:t>
            </w:r>
            <w:r w:rsid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方策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刘太鹏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张雷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戴华锋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江舒适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方芳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方圆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方丹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.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一种密封效果好的出料密封装置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[P]. 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浙江省：</w:t>
            </w:r>
            <w:r w:rsidR="001068B5" w:rsidRPr="001068B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ZL202210294185.6</w:t>
            </w:r>
            <w:r w:rsidRPr="00FB57B9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,2022-11-29.</w:t>
            </w:r>
          </w:p>
          <w:p w14:paraId="79598C49" w14:textId="5161CF91" w:rsidR="00FA752C" w:rsidRPr="009C3477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</w:t>
            </w:r>
            <w:r w:rsidR="00FB57B9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]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国家市场监督管理总局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国家标准化管理委员会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.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制药装备密闭性技术指南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固体制剂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: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GB/Z 42540-2023</w:t>
            </w:r>
            <w:r w:rsid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[S].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 w:rsid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浙江省</w:t>
            </w:r>
            <w:r w:rsidR="009C3477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: 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浙江迦南科技股份有限公司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同济大学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四川科伦药业股份有限公司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, 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山东新马制药装备有限公司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2023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</w:t>
            </w:r>
            <w:r w:rsidR="009C3477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-</w:t>
            </w:r>
            <w:r w:rsidR="009C3477"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17.</w:t>
            </w:r>
            <w:r w:rsidR="009C347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DD3E43" w14:textId="3758B48C" w:rsidR="009C3477" w:rsidRPr="00847BC5" w:rsidRDefault="009C3477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]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黄克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周宏明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一种基于激光测距的清洗机清洗检测方法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[P].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温州大学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浙江省：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ZL201811374142.9, 2021-3-23.</w:t>
            </w:r>
          </w:p>
          <w:p w14:paraId="53AA648F" w14:textId="3A6751B5" w:rsidR="009C3477" w:rsidRPr="00847BC5" w:rsidRDefault="009C3477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]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方正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黄克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陈永兴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,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吴武通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. 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药用料斗清洗机监测系统及动态主元分析方法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[P]. 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浙江迦南科技股份有限公司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浙江省：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ZL201510711486.4, 2017-11-17.</w:t>
            </w:r>
          </w:p>
          <w:p w14:paraId="7B67B6EA" w14:textId="3DC60939" w:rsidR="000B5976" w:rsidRDefault="000B5976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0B5976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[1</w:t>
            </w:r>
            <w:r w:rsidR="00E30A10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0</w:t>
            </w:r>
            <w:r w:rsidRPr="000B5976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] </w:t>
            </w:r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Xie </w:t>
            </w:r>
            <w:proofErr w:type="spellStart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Yuihui</w:t>
            </w:r>
            <w:proofErr w:type="spellEnd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 Chen Yibiao(</w:t>
            </w:r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陈一</w:t>
            </w:r>
            <w:proofErr w:type="gramStart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镖</w:t>
            </w:r>
            <w:proofErr w:type="gramEnd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), Fang Zheng(</w:t>
            </w:r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方正</w:t>
            </w:r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), Zhou </w:t>
            </w:r>
            <w:proofErr w:type="spellStart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Hongming</w:t>
            </w:r>
            <w:proofErr w:type="spellEnd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(</w:t>
            </w:r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周宏明</w:t>
            </w:r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 xml:space="preserve">), Wei </w:t>
            </w:r>
            <w:proofErr w:type="spellStart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Shuaikang</w:t>
            </w:r>
            <w:proofErr w:type="spellEnd"/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, Yang Lei. The research of gas-solid fluidized bed bubbling behavior based on CFD-DEM coupled simulation[J]. Chemical Engineering Research and Design, 2023, 195: 166-180.</w:t>
            </w:r>
          </w:p>
        </w:tc>
      </w:tr>
      <w:tr w:rsidR="00FA752C" w14:paraId="70B94C17" w14:textId="7777777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D758105" w14:textId="77777777" w:rsidR="00FA752C" w:rsidRDefault="002B5E0E">
            <w:pPr>
              <w:jc w:val="center"/>
              <w:rPr>
                <w:rFonts w:ascii="Times New Roman" w:eastAsia="楷体" w:hAnsi="Times New Roman" w:cs="Times New Roman"/>
                <w:bCs/>
                <w:sz w:val="28"/>
                <w:szCs w:val="24"/>
              </w:rPr>
            </w:pPr>
            <w:r>
              <w:rPr>
                <w:rStyle w:val="title1"/>
                <w:rFonts w:ascii="Times New Roman" w:eastAsia="楷体" w:hAnsi="Times New Roman" w:cs="Times New Roman"/>
                <w:bCs w:val="0"/>
                <w:color w:val="auto"/>
                <w:sz w:val="28"/>
                <w:szCs w:val="28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FE37813" w14:textId="77777777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周宏明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，教授，温州职业技术学院；</w:t>
            </w:r>
          </w:p>
          <w:p w14:paraId="54827A3F" w14:textId="77777777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方正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，高级工程师，浙江迦南科技股份有限公司；</w:t>
            </w:r>
          </w:p>
          <w:p w14:paraId="224D6122" w14:textId="07CC6905" w:rsidR="00FB57B9" w:rsidRDefault="00FB57B9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陈一</w:t>
            </w:r>
            <w:proofErr w:type="gramStart"/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镖</w:t>
            </w:r>
            <w:proofErr w:type="gramEnd"/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，讲师，温州大学；</w:t>
            </w:r>
          </w:p>
          <w:p w14:paraId="5954D49B" w14:textId="64C2EE02" w:rsid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bookmarkStart w:id="1" w:name="_Hlk173749854"/>
            <w:r w:rsidRPr="00847BC5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冯毅萍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研究员</w:t>
            </w:r>
            <w:bookmarkEnd w:id="1"/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浙江大学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；</w:t>
            </w:r>
          </w:p>
          <w:p w14:paraId="2C989AC7" w14:textId="061A156C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方策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，工程师，浙江迦南科技股份有限公司；</w:t>
            </w:r>
          </w:p>
          <w:p w14:paraId="5516280D" w14:textId="62AC6DA8" w:rsid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bookmarkStart w:id="2" w:name="_Hlk173749887"/>
            <w:r w:rsidRPr="00847BC5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田舟山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高级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工程师</w:t>
            </w:r>
            <w:bookmarkEnd w:id="2"/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南京正大天晴制药有限公司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；</w:t>
            </w:r>
          </w:p>
          <w:p w14:paraId="62FC2BC1" w14:textId="63DF4BDB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黄克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7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，副教授，温州大学；</w:t>
            </w:r>
          </w:p>
          <w:p w14:paraId="7F277608" w14:textId="7CFC8EC2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黄斌斌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，工程师，浙江迦南科技股份有限公司；</w:t>
            </w:r>
          </w:p>
          <w:p w14:paraId="29B5219E" w14:textId="669F4B03" w:rsid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bookmarkStart w:id="3" w:name="_Hlk173749907"/>
            <w:r w:rsidRPr="00847BC5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原元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，工程师</w:t>
            </w:r>
            <w:bookmarkEnd w:id="3"/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南京正大天晴制药有限公司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；</w:t>
            </w:r>
          </w:p>
          <w:p w14:paraId="1A155C8A" w14:textId="7865265B" w:rsidR="00FA752C" w:rsidRDefault="002B5E0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847BC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吴明格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10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，副教授，温州大学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；</w:t>
            </w:r>
          </w:p>
          <w:p w14:paraId="5E133496" w14:textId="79C5D69F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bookmarkStart w:id="4" w:name="_Hlk173749931"/>
            <w:r w:rsidRPr="00847BC5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翁自正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11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，工程师</w:t>
            </w:r>
            <w:bookmarkEnd w:id="4"/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南京迦南比逊科技有限公司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；</w:t>
            </w:r>
          </w:p>
          <w:p w14:paraId="68F77A90" w14:textId="6AC27A38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bookmarkStart w:id="5" w:name="_Hlk173749945"/>
            <w:r w:rsidRPr="00847BC5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潘建忠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高级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工程师</w:t>
            </w:r>
            <w:bookmarkEnd w:id="5"/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南京比逊医药科技有限公司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；</w:t>
            </w:r>
          </w:p>
          <w:p w14:paraId="691549B3" w14:textId="156DB350" w:rsidR="002458F5" w:rsidRDefault="00AE3FFE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bookmarkStart w:id="6" w:name="_Hlk173749964"/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吴武通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，排名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13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 w:rsid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高级</w:t>
            </w:r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工程师</w:t>
            </w:r>
            <w:bookmarkEnd w:id="6"/>
            <w:r w:rsid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浙江迦南科技股份有限公司</w:t>
            </w:r>
            <w:r w:rsidR="00847BC5"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FA752C" w14:paraId="7821A0C7" w14:textId="7777777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FA8F60F" w14:textId="77777777" w:rsidR="00FA752C" w:rsidRDefault="002B5E0E">
            <w:pPr>
              <w:jc w:val="center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Style w:val="title1"/>
                <w:rFonts w:ascii="Times New Roman" w:eastAsia="楷体" w:hAnsi="Times New Roman" w:cs="Times New Roman"/>
                <w:bCs w:val="0"/>
                <w:color w:val="auto"/>
                <w:sz w:val="28"/>
                <w:szCs w:val="28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345646F" w14:textId="6AA7AFAE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bookmarkStart w:id="7" w:name="_Hlk157507228"/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单位名称：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浙江迦南科技股份有限公司</w:t>
            </w:r>
          </w:p>
          <w:p w14:paraId="382FA32B" w14:textId="72AFD6F2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单位名称：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温州职业技术学院</w:t>
            </w:r>
          </w:p>
          <w:p w14:paraId="76237DAA" w14:textId="52EB2CEB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单位名称：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浙江大学</w:t>
            </w:r>
          </w:p>
          <w:p w14:paraId="14834D7F" w14:textId="2D383686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单位名称：</w:t>
            </w:r>
            <w:r w:rsidRPr="00847BC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温州大学</w:t>
            </w:r>
            <w:bookmarkEnd w:id="7"/>
          </w:p>
          <w:p w14:paraId="4E7B26D0" w14:textId="1FE5301C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单位名称：</w:t>
            </w:r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南京迦南比逊科技有限公司</w:t>
            </w:r>
            <w:bookmarkStart w:id="8" w:name="_Hlk166595764"/>
          </w:p>
          <w:p w14:paraId="270A86FA" w14:textId="0344A07D" w:rsidR="00847BC5" w:rsidRP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单位名称：</w:t>
            </w:r>
            <w:bookmarkStart w:id="9" w:name="OLE_LINK1"/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南京正大天晴制药有限公司</w:t>
            </w:r>
            <w:bookmarkStart w:id="10" w:name="_Hlk166579882"/>
            <w:bookmarkEnd w:id="8"/>
            <w:bookmarkEnd w:id="9"/>
          </w:p>
          <w:p w14:paraId="353CCA17" w14:textId="38CA64D7" w:rsidR="00847BC5" w:rsidRDefault="00847BC5" w:rsidP="00847BC5">
            <w:pPr>
              <w:snapToGrid w:val="0"/>
              <w:spacing w:line="288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7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单位名称：</w:t>
            </w:r>
            <w:bookmarkStart w:id="11" w:name="OLE_LINK2"/>
            <w:r w:rsidRPr="00847BC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南京比逊医药科技有限公司</w:t>
            </w:r>
            <w:bookmarkEnd w:id="10"/>
            <w:bookmarkEnd w:id="11"/>
          </w:p>
        </w:tc>
      </w:tr>
      <w:tr w:rsidR="00FA752C" w14:paraId="1BC97E28" w14:textId="77777777">
        <w:trPr>
          <w:trHeight w:val="692"/>
        </w:trPr>
        <w:tc>
          <w:tcPr>
            <w:tcW w:w="2269" w:type="dxa"/>
            <w:vAlign w:val="center"/>
          </w:tcPr>
          <w:p w14:paraId="3D21FCFC" w14:textId="77777777" w:rsidR="00FA752C" w:rsidRDefault="002B5E0E">
            <w:pPr>
              <w:jc w:val="center"/>
              <w:rPr>
                <w:rStyle w:val="title1"/>
                <w:rFonts w:ascii="Times New Roman" w:eastAsia="楷体" w:hAnsi="Times New Roman" w:cs="Times New Roman"/>
                <w:b w:val="0"/>
                <w:sz w:val="28"/>
                <w:szCs w:val="28"/>
              </w:rPr>
            </w:pPr>
            <w:r>
              <w:rPr>
                <w:rStyle w:val="title1"/>
                <w:rFonts w:ascii="Times New Roman" w:eastAsia="楷体" w:hAnsi="Times New Roman" w:cs="Times New Roman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BF331C7" w14:textId="5E16EB31" w:rsidR="00FA752C" w:rsidRPr="001068B5" w:rsidRDefault="001068B5" w:rsidP="001068B5">
            <w:pPr>
              <w:snapToGrid w:val="0"/>
              <w:spacing w:line="288" w:lineRule="auto"/>
              <w:jc w:val="center"/>
            </w:pPr>
            <w:r w:rsidRPr="001068B5"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永嘉县</w:t>
            </w:r>
            <w:r w:rsidR="002B5E0E" w:rsidRPr="001068B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人民政府</w:t>
            </w:r>
          </w:p>
        </w:tc>
      </w:tr>
      <w:tr w:rsidR="00FA752C" w14:paraId="75F2E894" w14:textId="77777777">
        <w:trPr>
          <w:trHeight w:val="3683"/>
        </w:trPr>
        <w:tc>
          <w:tcPr>
            <w:tcW w:w="2269" w:type="dxa"/>
            <w:vAlign w:val="center"/>
          </w:tcPr>
          <w:p w14:paraId="1BF9765C" w14:textId="77777777" w:rsidR="00FA752C" w:rsidRDefault="002B5E0E">
            <w:pPr>
              <w:jc w:val="center"/>
              <w:rPr>
                <w:rStyle w:val="title1"/>
                <w:rFonts w:ascii="Times New Roman" w:eastAsia="楷体" w:hAnsi="Times New Roman" w:cs="Times New Roman"/>
                <w:b w:val="0"/>
                <w:sz w:val="28"/>
                <w:szCs w:val="28"/>
              </w:rPr>
            </w:pPr>
            <w:r>
              <w:rPr>
                <w:rStyle w:val="title1"/>
                <w:rFonts w:ascii="Times New Roman" w:eastAsia="楷体" w:hAnsi="Times New Roman" w:cs="Times New Roman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FFA8599" w14:textId="77777777" w:rsidR="001068B5" w:rsidRPr="001068B5" w:rsidRDefault="001068B5" w:rsidP="001068B5">
            <w:pPr>
              <w:ind w:firstLineChars="186" w:firstLine="446"/>
              <w:rPr>
                <w:rFonts w:ascii="Times New Roman" w:eastAsia="楷体" w:hAnsi="Times New Roman" w:cs="Times New Roman" w:hint="eastAsia"/>
                <w:sz w:val="24"/>
              </w:rPr>
            </w:pP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为满足《国务院办公厅关于改革完善仿制药供应保障及使用政策的意见》（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2018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）提出的“大力提升制药装备和智能制造水平”的战略需求，浙江迦南科技股份有限公司、温州职业技术学院、浙江大学、温州大学、南京迦南比逊科技有限公司、南京正大天晴制药有限公司和南京比逊医药科技有限公司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7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家单位在国家火炬计划产业化示范项目、浙江省重大科技</w:t>
            </w:r>
            <w:proofErr w:type="gramStart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专项等</w:t>
            </w:r>
            <w:proofErr w:type="gramEnd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支持下，在多阶段工艺参数主动控制的高效制粒、</w:t>
            </w:r>
            <w:proofErr w:type="gramStart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制粒全过程</w:t>
            </w:r>
            <w:proofErr w:type="gramEnd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的高密闭和智能高效的原位清洗等关键共性技术取得重大创新。拥有完全自主的知识产权，其技术获得授权知识产权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55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件，其中美国发明专利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4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件，中国发明专利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39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件；发表论文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24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篇，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SCI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收录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16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篇；主持制定国家标准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1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项、行业标准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4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项、团体标准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1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项；并获得中国发明协会发明创业</w:t>
            </w:r>
            <w:proofErr w:type="gramStart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奖成果</w:t>
            </w:r>
            <w:proofErr w:type="gramEnd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奖一等奖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1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项、中国专利优秀奖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1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项。成果产品在哈药、贵州百灵、云南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lastRenderedPageBreak/>
              <w:t>白药等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50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多家国内百强医药企业和美国辉瑞、法国赛诺菲等国际</w:t>
            </w:r>
            <w:proofErr w:type="gramStart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知名药企中</w:t>
            </w:r>
            <w:proofErr w:type="gramEnd"/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应用，已取得显著的经济和社会效益。</w:t>
            </w:r>
          </w:p>
          <w:p w14:paraId="5203C6EA" w14:textId="74FF1125" w:rsidR="00FA752C" w:rsidRDefault="001068B5" w:rsidP="001068B5">
            <w:pPr>
              <w:contextualSpacing/>
              <w:jc w:val="center"/>
              <w:rPr>
                <w:rStyle w:val="title1"/>
                <w:rFonts w:ascii="Times New Roman" w:eastAsia="楷体" w:hAnsi="Times New Roman" w:cs="Times New Roman"/>
                <w:b w:val="0"/>
              </w:rPr>
            </w:pP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提名该成果为省科学技术进步奖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 xml:space="preserve">  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一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 xml:space="preserve">  </w:t>
            </w:r>
            <w:r w:rsidRPr="001068B5">
              <w:rPr>
                <w:rFonts w:ascii="Times New Roman" w:eastAsia="楷体" w:hAnsi="Times New Roman" w:cs="Times New Roman" w:hint="eastAsia"/>
                <w:sz w:val="24"/>
              </w:rPr>
              <w:t>等奖。</w:t>
            </w:r>
          </w:p>
        </w:tc>
      </w:tr>
    </w:tbl>
    <w:p w14:paraId="02D17359" w14:textId="77777777" w:rsidR="00FA752C" w:rsidRDefault="00FA752C">
      <w:pPr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32"/>
          <w:szCs w:val="32"/>
        </w:rPr>
      </w:pPr>
    </w:p>
    <w:p w14:paraId="3842E14B" w14:textId="77777777" w:rsidR="00FA752C" w:rsidRDefault="00FA752C">
      <w:pPr>
        <w:rPr>
          <w:rFonts w:ascii="Times New Roman" w:eastAsia="楷体" w:hAnsi="Times New Roman" w:cs="Times New Roman"/>
        </w:rPr>
      </w:pPr>
    </w:p>
    <w:sectPr w:rsidR="00FA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9D62E" w14:textId="77777777" w:rsidR="00FA752C" w:rsidRDefault="00FA752C"/>
  </w:endnote>
  <w:endnote w:type="continuationSeparator" w:id="0">
    <w:p w14:paraId="7BC256F2" w14:textId="77777777" w:rsidR="00FA752C" w:rsidRDefault="00FA7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9CA6B" w14:textId="77777777" w:rsidR="00FA752C" w:rsidRDefault="00FA752C"/>
  </w:footnote>
  <w:footnote w:type="continuationSeparator" w:id="0">
    <w:p w14:paraId="4A416C8C" w14:textId="77777777" w:rsidR="00FA752C" w:rsidRDefault="00FA7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8274B02"/>
    <w:multiLevelType w:val="multilevel"/>
    <w:tmpl w:val="6DA8201E"/>
    <w:lvl w:ilvl="0">
      <w:start w:val="18"/>
      <w:numFmt w:val="decimal"/>
      <w:pStyle w:val="a"/>
      <w:suff w:val="space"/>
      <w:lvlText w:val="[%1]"/>
      <w:lvlJc w:val="left"/>
      <w:pPr>
        <w:ind w:left="0" w:firstLine="482"/>
      </w:pPr>
      <w:rPr>
        <w:rFonts w:ascii="Times New Roman" w:hAnsi="Times New Roman" w:cs="Times New Roman" w:hint="default"/>
        <w:b w:val="0"/>
        <w:bCs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A7B96"/>
    <w:multiLevelType w:val="multilevel"/>
    <w:tmpl w:val="0B68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D613A"/>
    <w:multiLevelType w:val="multilevel"/>
    <w:tmpl w:val="66A43C70"/>
    <w:lvl w:ilvl="0">
      <w:start w:val="34"/>
      <w:numFmt w:val="decimal"/>
      <w:suff w:val="space"/>
      <w:lvlText w:val="[%1]"/>
      <w:lvlJc w:val="left"/>
      <w:pPr>
        <w:ind w:left="0" w:firstLine="482"/>
      </w:pPr>
      <w:rPr>
        <w:rFonts w:ascii="Times New Roman" w:hAnsi="Times New Roman" w:cs="Times New Roman" w:hint="default"/>
        <w:b w:val="0"/>
        <w:bCs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49416368">
    <w:abstractNumId w:val="1"/>
  </w:num>
  <w:num w:numId="2" w16cid:durableId="1478376536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957695">
    <w:abstractNumId w:val="2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xN7UwMDM0NjE1tDRV0lEKTi0uzszPAykwrgUAhzAolCwAAAA="/>
    <w:docVar w:name="commondata" w:val="eyJoZGlkIjoiOTc4NzY4MzUyNjg0YjFhZDY4ZGMyYzZkNDAxNmEzOGIifQ=="/>
  </w:docVars>
  <w:rsids>
    <w:rsidRoot w:val="005C0D25"/>
    <w:rsid w:val="000A0E81"/>
    <w:rsid w:val="000B5976"/>
    <w:rsid w:val="0010328B"/>
    <w:rsid w:val="0010387D"/>
    <w:rsid w:val="001068B5"/>
    <w:rsid w:val="00182032"/>
    <w:rsid w:val="002458F5"/>
    <w:rsid w:val="002B5E0E"/>
    <w:rsid w:val="002D53EE"/>
    <w:rsid w:val="003416DE"/>
    <w:rsid w:val="00387D9D"/>
    <w:rsid w:val="00391F1E"/>
    <w:rsid w:val="003F7096"/>
    <w:rsid w:val="0050016E"/>
    <w:rsid w:val="00503C36"/>
    <w:rsid w:val="0057578D"/>
    <w:rsid w:val="005B21A4"/>
    <w:rsid w:val="005C0D25"/>
    <w:rsid w:val="005E1475"/>
    <w:rsid w:val="006816E3"/>
    <w:rsid w:val="00742B39"/>
    <w:rsid w:val="007A15FE"/>
    <w:rsid w:val="007C7D51"/>
    <w:rsid w:val="00835A9E"/>
    <w:rsid w:val="00847BC5"/>
    <w:rsid w:val="008C2F2B"/>
    <w:rsid w:val="00910AB6"/>
    <w:rsid w:val="009576FA"/>
    <w:rsid w:val="009B6F45"/>
    <w:rsid w:val="009C3477"/>
    <w:rsid w:val="009F0C18"/>
    <w:rsid w:val="00A4243A"/>
    <w:rsid w:val="00AC2C56"/>
    <w:rsid w:val="00AE3FFE"/>
    <w:rsid w:val="00B70ECE"/>
    <w:rsid w:val="00BE550B"/>
    <w:rsid w:val="00BE6BD6"/>
    <w:rsid w:val="00C13AD2"/>
    <w:rsid w:val="00CC3599"/>
    <w:rsid w:val="00CF248C"/>
    <w:rsid w:val="00E16340"/>
    <w:rsid w:val="00E30A10"/>
    <w:rsid w:val="00E3309F"/>
    <w:rsid w:val="00ED7F06"/>
    <w:rsid w:val="00F91DD5"/>
    <w:rsid w:val="00FA752C"/>
    <w:rsid w:val="00FB57B9"/>
    <w:rsid w:val="4945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89CD6"/>
  <w15:docId w15:val="{F69C7DFA-BC95-4016-868D-42B3CB8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widowControl/>
      <w:jc w:val="left"/>
    </w:pPr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0"/>
    <w:link w:val="a7"/>
    <w:uiPriority w:val="99"/>
    <w:semiHidden/>
    <w:unhideWhenUsed/>
    <w:rPr>
      <w:sz w:val="18"/>
      <w:szCs w:val="18"/>
    </w:rPr>
  </w:style>
  <w:style w:type="character" w:styleId="a8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74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742B39"/>
    <w:rPr>
      <w:kern w:val="2"/>
      <w:sz w:val="18"/>
      <w:szCs w:val="18"/>
    </w:rPr>
  </w:style>
  <w:style w:type="paragraph" w:styleId="ab">
    <w:name w:val="footer"/>
    <w:basedOn w:val="a0"/>
    <w:link w:val="ac"/>
    <w:uiPriority w:val="99"/>
    <w:unhideWhenUsed/>
    <w:rsid w:val="0074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742B39"/>
    <w:rPr>
      <w:kern w:val="2"/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9C3477"/>
    <w:pPr>
      <w:numPr>
        <w:numId w:val="2"/>
      </w:numPr>
      <w:adjustRightInd w:val="0"/>
      <w:spacing w:after="200" w:line="300" w:lineRule="auto"/>
    </w:pPr>
    <w:rPr>
      <w:rFonts w:ascii="Times New Roman" w:eastAsia="楷体" w:hAnsi="Times New Roman" w:cs="Times New Roman"/>
      <w:bCs/>
      <w:color w:val="000000"/>
      <w:sz w:val="24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Yibiao</dc:creator>
  <cp:lastModifiedBy>Yibiao Chen</cp:lastModifiedBy>
  <cp:revision>2</cp:revision>
  <dcterms:created xsi:type="dcterms:W3CDTF">2024-08-09T01:05:00Z</dcterms:created>
  <dcterms:modified xsi:type="dcterms:W3CDTF">2024-08-09T01:05:00Z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8F0904B78BE54B15B68BA07D30EE3568</vt:lpwstr>
  </property>
</Properties>
</file>