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提名奖项：（科学技术进步奖）</w:t>
      </w:r>
    </w:p>
    <w:tbl>
      <w:tblPr>
        <w:tblStyle w:val="4"/>
        <w:tblW w:w="865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000"/>
      </w:tblGrid>
      <w:tr>
        <w:trPr>
          <w:trHeight w:val="775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成果名称</w:t>
            </w:r>
          </w:p>
        </w:tc>
        <w:tc>
          <w:tcPr>
            <w:tcW w:w="7000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大宗除草剂产品连续化绿色制造关键技术创新及产业化</w:t>
            </w:r>
          </w:p>
        </w:tc>
      </w:tr>
      <w:tr>
        <w:trPr>
          <w:trHeight w:val="845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提名等级</w:t>
            </w:r>
          </w:p>
        </w:tc>
        <w:tc>
          <w:tcPr>
            <w:tcW w:w="70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一等奖</w:t>
            </w:r>
          </w:p>
        </w:tc>
      </w:tr>
      <w:tr>
        <w:trPr>
          <w:trHeight w:val="4710" w:hRule="atLeast"/>
        </w:trPr>
        <w:tc>
          <w:tcPr>
            <w:tcW w:w="16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相关内容</w:t>
            </w:r>
          </w:p>
        </w:tc>
        <w:tc>
          <w:tcPr>
            <w:tcW w:w="7000" w:type="dxa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授权发明专利：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一种草甘膦的连续化合成方法及系统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202010182745.X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专利权人：浙江新安化工集团有限公司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发明人：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周曙光、胡跃华、屠民海、王瑜钢、杨鸣刚、叶志凤、胡江、陈晓军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授权发明专利：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一种草甘膦与草铵膦的联产技术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ZL202110566871.X，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专利权人：浙江新安化工集团有限公司，发明人：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周曙光、秦龙、姜胜宝、詹波、余神銮、徐亚卿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授权发明专利：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一种草甘膦生产尾气中氯甲烷的清洁回收系统及清洁回收工艺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ZL202010182111.4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专利权人：浙江新安化工集团有限公司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镇江江南化工有限公司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发明人：周曙光、胡跃华、屠民海、王瑜钢、杨鸣刚、叶志凤、胡江、陈晓军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授权发明专利：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一种草甘膦副产品氯甲烷的净化回收方法，ZL200710305244.0，专利权人：浙江新安化工集团有限公司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发明人：王伟、胡跃华、任不凡、陈晓祥、郑捷、张柏青、廖涛、徐志宏、王萍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5.授权发明专利：一种用缩聚磷酸盐水解生产正磷酸盐产品的方法，ZL201210277621.5，专利权人：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浙江新安化工集团有限公司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；发明人:王伟、周曙光、秦龙、陈静、詹波、黄鑫、张海良、佘慧玲、祝小红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授权发明专利：具有特殊形貌的改性二氧化钛催化剂及其制备方法和应用，ZL201911142630.1，专利权人：浙江大学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发明人：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李素静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王晓祥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李伟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陈靓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马赫遥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SCI论文：The alkali resistance of CuNbTi catalyst for selective reduction of NO by NH3: a comparative investigation with VWTi catalyst. Appl. Catal. B-Environ., 影响因子20.2，发表时间：20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6-05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；作者：Xiaoxiang Wang, Qiliang Cong, Liang Chen, Yun Shi, Yao Shi, Sujing Li, Wei Li. 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SCI论文：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Evaluation on the Removal Performance of Dichloromethane and Toluene from Waste Gases using an Airlift Packing Reactor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Journal of Hazardous Materials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影响因子14，发表时间：2019-03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-15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；作者：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Peilun Xu, Yang Wei, Nana Cheng, Sujing Li, Wei Li, Tianjiao Guo, 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Xiangqian Wang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SCI论文：Life cycle assessment perspective on waste resource utilization and sustainable development: A case of glyphosate production，Journal of Environmental Management，影响因子8.0，发表时间：202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-15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；作者：Kexuan Yang, Deji Jing, Xiaoxiang Wang, Shuguang Zhou, Baiqing Zhang, Long Qin, Qiaoli Wang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Guohua Jing, Wei Li, Sujing Li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SCI论文：Differential temperature control in heat-integrated pressure-swing distillation for separating azeotropes to deal with operating pressure fluctuations，Applied Thermal Engineering，影响因子6.4，发表时间：2020-0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；作者：Yongchao He, Ye Li, Kaitian Zheng, Guoning Li, Zheng Guo, Chunjian Xu</w:t>
            </w:r>
          </w:p>
        </w:tc>
      </w:tr>
      <w:tr>
        <w:trPr>
          <w:trHeight w:val="6224" w:hRule="atLeast"/>
        </w:trPr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主要完成人</w:t>
            </w:r>
          </w:p>
        </w:tc>
        <w:tc>
          <w:tcPr>
            <w:tcW w:w="70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周曙光，排名1，正高级工程师，浙江新安化工集团股份有限公司；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秦龙，排名2，正高级工程师，浙江新安化工集团股份有限公司；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张柏青，排名3，正高级工程师，浙江新安化工集团股份有限公司；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李伟，排名4，教授，浙江大学；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屠民海，排名5，高级工程师，浙江新安化工集团股份有限公司；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郑凯天，排名6，博士/助理研究员，天津大学；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王向前，排名7，博士/助理研究员，浙江大学；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王瑜钢，排名8，高级工程师，浙江新安化工集团股份有限公司；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李素静，排名9，副教授，浙江大学；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詹波，排名10，高级工程师，浙江新安化工集团股份有限公司；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曹咏军，排名11，高级工程师，天津华瑞奕博化工科技有限公司；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余神銮，排名12，高级工程师，浙江新安化工集团股份有限公司；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李丽娟，排名13，工程师，浙江新安化工集团股份有限公司。</w:t>
            </w:r>
          </w:p>
        </w:tc>
      </w:tr>
      <w:tr>
        <w:trPr>
          <w:trHeight w:val="2458" w:hRule="atLeast"/>
        </w:trPr>
        <w:tc>
          <w:tcPr>
            <w:tcW w:w="165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</w:rPr>
              <w:t>主要完成单位</w:t>
            </w:r>
          </w:p>
        </w:tc>
        <w:tc>
          <w:tcPr>
            <w:tcW w:w="700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浙江新安化工集团股份有限公司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天津大学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4.单位名称：天津华瑞奕博化工科技有限公司</w:t>
            </w:r>
          </w:p>
        </w:tc>
      </w:tr>
      <w:tr>
        <w:trPr>
          <w:trHeight w:val="69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7000" w:type="dxa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建德市人民政府</w:t>
            </w:r>
          </w:p>
        </w:tc>
      </w:tr>
      <w:tr>
        <w:trPr>
          <w:trHeight w:val="2588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7000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除草剂是保障农业生产的重要生产资料，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草甘膦是全球用量最大的除草剂，我国生产和出口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量占全球份额的70%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，主要采用甘氨酸法间歇生产，生产效率低、能耗高且三废量大。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因此，实现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除草剂产品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连续化绿色制造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保障我国粮食经济安全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及可持续发展具有重大意义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在国家科技支撑计划、“863”计划和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国家重点研发计划课题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支持下，经10余年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攻关，形成了“工艺连续化-能量利用集成化-废弃物资源化清洁化”技术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路线，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首次阐明关键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副产物生成机制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并形成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“预反应-反应精馏-产物熟化”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反应系统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；创新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多效精馏和隔板精馏等热集成节能技术，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实现溶剂及副产物的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高品质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、低能耗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回收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突破了与含磷废液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资源化过程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融合的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烟气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多污染物高效协同治理瓶颈，首次实现焚烧烟气的超低排放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。成果实施后实现员工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数量减少50%，废液产出仅国际先进水平的31%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能耗降低20%以上，成本降低超2400元/吨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，使我国甘氨酸法草甘膦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从高污染作坊式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跨越至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连续化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绿色制造模式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授权国内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发明专利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PCT专利2件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获中国专利优秀奖3件；制定国家标准4项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行业标准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项；发表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论文21篇，其中SCI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论文9篇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。草甘膦系列产品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年销售收入124.18亿元，新增利润38.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亿元，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出口创汇9.9亿美元，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创造效益43.47亿元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年节约能耗1.3万吨标煤，折每年减碳约8.9万吨。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宝安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院士、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韩布兴院士、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任其龙院士、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柏连阳院士、金涌院士等专家组成的鉴定专家组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鉴定，总体技术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国际领先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spacing w:line="240" w:lineRule="auto"/>
              <w:ind w:firstLine="480" w:firstLineChars="200"/>
              <w:rPr>
                <w:rFonts w:hint="eastAsia" w:cs="仿宋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同意提名该成果为202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年度浙江省科学技术进步奖一等奖。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mQ4ZTZlZDc3ZDBhNDU4ZWJmMGRlNzlhZGIwYzgifQ=="/>
  </w:docVars>
  <w:rsids>
    <w:rsidRoot w:val="27CF7E42"/>
    <w:rsid w:val="001B39BB"/>
    <w:rsid w:val="002E6FB2"/>
    <w:rsid w:val="00620950"/>
    <w:rsid w:val="00FB29A1"/>
    <w:rsid w:val="05235E1B"/>
    <w:rsid w:val="0D7FA781"/>
    <w:rsid w:val="1217313B"/>
    <w:rsid w:val="16E577D4"/>
    <w:rsid w:val="18F7519C"/>
    <w:rsid w:val="1B601C8B"/>
    <w:rsid w:val="1F2333B2"/>
    <w:rsid w:val="27CF7E42"/>
    <w:rsid w:val="29501625"/>
    <w:rsid w:val="2B852ADC"/>
    <w:rsid w:val="2BFB9B0F"/>
    <w:rsid w:val="2DFB4B95"/>
    <w:rsid w:val="4AFF1592"/>
    <w:rsid w:val="4FFE3BA3"/>
    <w:rsid w:val="50FB2D75"/>
    <w:rsid w:val="5ECD8420"/>
    <w:rsid w:val="5F07D00E"/>
    <w:rsid w:val="5FF5E813"/>
    <w:rsid w:val="7DF48A38"/>
    <w:rsid w:val="7EBBA172"/>
    <w:rsid w:val="98FB893B"/>
    <w:rsid w:val="9BEF92A5"/>
    <w:rsid w:val="A7FC5562"/>
    <w:rsid w:val="AD5F5122"/>
    <w:rsid w:val="BAFE60BB"/>
    <w:rsid w:val="BFBFF310"/>
    <w:rsid w:val="DE3FD8B3"/>
    <w:rsid w:val="F7AFA672"/>
    <w:rsid w:val="FDF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s7"/>
    <w:basedOn w:val="5"/>
    <w:qFormat/>
    <w:uiPriority w:val="0"/>
    <w:rPr>
      <w:rFonts w:ascii="helvetica" w:hAnsi="helvetica" w:eastAsia="helvetica" w:cs="helvetica"/>
      <w:sz w:val="26"/>
      <w:szCs w:val="26"/>
    </w:rPr>
  </w:style>
  <w:style w:type="character" w:customStyle="1" w:styleId="8">
    <w:name w:val="s4"/>
    <w:basedOn w:val="5"/>
    <w:qFormat/>
    <w:uiPriority w:val="0"/>
    <w:rPr>
      <w:rFonts w:hint="default" w:ascii="helvetica" w:hAnsi="helvetica" w:eastAsia="helvetica" w:cs="helvetica"/>
      <w:sz w:val="32"/>
      <w:szCs w:val="32"/>
    </w:r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color w:val="000000"/>
      <w:kern w:val="0"/>
      <w:sz w:val="30"/>
      <w:szCs w:val="30"/>
      <w:lang w:val="en-US" w:eastAsia="zh-CN" w:bidi="ar"/>
    </w:rPr>
  </w:style>
  <w:style w:type="character" w:customStyle="1" w:styleId="10">
    <w:name w:val="s6"/>
    <w:basedOn w:val="5"/>
    <w:qFormat/>
    <w:uiPriority w:val="0"/>
    <w:rPr>
      <w:rFonts w:hint="default" w:ascii="helvetica" w:hAnsi="helvetica" w:eastAsia="helvetica" w:cs="helvetica"/>
      <w:sz w:val="22"/>
      <w:szCs w:val="22"/>
    </w:rPr>
  </w:style>
  <w:style w:type="character" w:customStyle="1" w:styleId="11">
    <w:name w:val="s5"/>
    <w:basedOn w:val="5"/>
    <w:uiPriority w:val="0"/>
    <w:rPr>
      <w:rFonts w:hint="default" w:ascii="helvetica" w:hAnsi="helvetica" w:eastAsia="helvetica" w:cs="helvetica"/>
      <w:sz w:val="38"/>
      <w:szCs w:val="38"/>
    </w:rPr>
  </w:style>
  <w:style w:type="character" w:customStyle="1" w:styleId="12">
    <w:name w:val="s8"/>
    <w:basedOn w:val="5"/>
    <w:qFormat/>
    <w:uiPriority w:val="0"/>
    <w:rPr>
      <w:rFonts w:hint="default" w:ascii="helvetica" w:hAnsi="helvetica" w:eastAsia="helvetica" w:cs="helvetica"/>
      <w:sz w:val="40"/>
      <w:szCs w:val="40"/>
    </w:rPr>
  </w:style>
  <w:style w:type="character" w:customStyle="1" w:styleId="13">
    <w:name w:val="s3"/>
    <w:basedOn w:val="5"/>
    <w:qFormat/>
    <w:uiPriority w:val="0"/>
    <w:rPr>
      <w:rFonts w:hint="default" w:ascii="helvetica" w:hAnsi="helvetica" w:eastAsia="helvetica" w:cs="helvetica"/>
      <w:sz w:val="28"/>
      <w:szCs w:val="28"/>
    </w:rPr>
  </w:style>
  <w:style w:type="character" w:customStyle="1" w:styleId="14">
    <w:name w:val="s1"/>
    <w:basedOn w:val="5"/>
    <w:qFormat/>
    <w:uiPriority w:val="0"/>
    <w:rPr>
      <w:rFonts w:hint="default" w:ascii="helvetica" w:hAnsi="helvetica" w:eastAsia="helvetica" w:cs="helvetica"/>
      <w:sz w:val="44"/>
      <w:szCs w:val="44"/>
    </w:rPr>
  </w:style>
  <w:style w:type="character" w:customStyle="1" w:styleId="15">
    <w:name w:val="s2"/>
    <w:basedOn w:val="5"/>
    <w:qFormat/>
    <w:uiPriority w:val="0"/>
    <w:rPr>
      <w:rFonts w:hint="default" w:ascii="helvetica" w:hAnsi="helvetica" w:eastAsia="helvetica" w:cs="helvetic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2069</Characters>
  <Lines>2</Lines>
  <Paragraphs>1</Paragraphs>
  <TotalTime>0</TotalTime>
  <ScaleCrop>false</ScaleCrop>
  <LinksUpToDate>false</LinksUpToDate>
  <CharactersWithSpaces>2201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2024-08-09T02:38:00Z</dcterms:created>
  <dc:creator>jszx共享账户</dc:creator>
  <cp:lastModifiedBy>生活百味</cp:lastModifiedBy>
  <dcterms:modified xsi:type="dcterms:W3CDTF">2024-08-08T16:24:23Z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654D06DAB3BC1D09B780B466982E228D_43</vt:lpwstr>
  </property>
</Properties>
</file>