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E0" w:rsidRPr="00A86CE0" w:rsidRDefault="00A86CE0" w:rsidP="00A86CE0">
      <w:pPr>
        <w:jc w:val="center"/>
        <w:rPr>
          <w:rStyle w:val="title1"/>
          <w:rFonts w:ascii="仿宋" w:eastAsia="仿宋" w:hAnsi="仿宋"/>
          <w:b w:val="0"/>
          <w:bCs w:val="0"/>
          <w:color w:val="auto"/>
          <w:sz w:val="36"/>
          <w:szCs w:val="36"/>
        </w:rPr>
      </w:pPr>
      <w:r w:rsidRPr="00D54B3C">
        <w:rPr>
          <w:rStyle w:val="title1"/>
          <w:rFonts w:asciiTheme="minorEastAsia" w:eastAsiaTheme="minorEastAsia" w:hAnsiTheme="minorEastAsia"/>
          <w:b w:val="0"/>
          <w:color w:val="auto"/>
          <w:sz w:val="36"/>
          <w:szCs w:val="36"/>
        </w:rPr>
        <w:t>浙江</w:t>
      </w:r>
      <w:bookmarkStart w:id="0" w:name="_GoBack"/>
      <w:bookmarkEnd w:id="0"/>
      <w:r w:rsidRPr="00D54B3C">
        <w:rPr>
          <w:rStyle w:val="title1"/>
          <w:rFonts w:asciiTheme="minorEastAsia" w:eastAsiaTheme="minorEastAsia" w:hAnsiTheme="minorEastAsia"/>
          <w:b w:val="0"/>
          <w:color w:val="auto"/>
          <w:sz w:val="36"/>
          <w:szCs w:val="36"/>
        </w:rPr>
        <w:t>省科学技术奖公示信息表</w:t>
      </w:r>
      <w:r w:rsidRPr="00A86CE0">
        <w:rPr>
          <w:rStyle w:val="title1"/>
          <w:rFonts w:ascii="仿宋" w:eastAsia="仿宋" w:hAnsi="仿宋"/>
          <w:b w:val="0"/>
          <w:color w:val="auto"/>
          <w:sz w:val="32"/>
          <w:szCs w:val="32"/>
        </w:rPr>
        <w:t>（单位提名）</w:t>
      </w:r>
    </w:p>
    <w:p w:rsidR="00A86CE0" w:rsidRPr="00A86CE0" w:rsidRDefault="003F7777" w:rsidP="00A86CE0">
      <w:pPr>
        <w:spacing w:line="440" w:lineRule="exac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提名奖项：</w:t>
      </w:r>
      <w:r w:rsidR="00A86CE0" w:rsidRPr="00A86CE0">
        <w:rPr>
          <w:rFonts w:ascii="仿宋" w:eastAsia="仿宋" w:hAnsi="仿宋"/>
          <w:sz w:val="28"/>
          <w:szCs w:val="24"/>
        </w:rPr>
        <w:t>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A86CE0" w:rsidRPr="00A86CE0" w:rsidTr="00343FC0">
        <w:trPr>
          <w:trHeight w:val="1055"/>
        </w:trPr>
        <w:tc>
          <w:tcPr>
            <w:tcW w:w="2269" w:type="dxa"/>
            <w:vAlign w:val="center"/>
          </w:tcPr>
          <w:p w:rsidR="00A86CE0" w:rsidRPr="00A86CE0" w:rsidRDefault="00A86CE0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</w:pPr>
            <w:r w:rsidRPr="00A86CE0"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A86CE0" w:rsidRPr="00A86CE0" w:rsidRDefault="003F7777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</w:pPr>
            <w:r w:rsidRPr="003F7777">
              <w:rPr>
                <w:rStyle w:val="title1"/>
                <w:rFonts w:ascii="仿宋" w:eastAsia="仿宋" w:hAnsi="仿宋" w:hint="eastAsia"/>
                <w:b w:val="0"/>
                <w:color w:val="auto"/>
                <w:sz w:val="28"/>
              </w:rPr>
              <w:t>片上空分复用弹性光网络的光交换核心器件实现理论与方法</w:t>
            </w:r>
          </w:p>
        </w:tc>
      </w:tr>
      <w:tr w:rsidR="00A86CE0" w:rsidRPr="00A86CE0" w:rsidTr="00343FC0">
        <w:trPr>
          <w:trHeight w:val="505"/>
        </w:trPr>
        <w:tc>
          <w:tcPr>
            <w:tcW w:w="2269" w:type="dxa"/>
            <w:vAlign w:val="center"/>
          </w:tcPr>
          <w:p w:rsidR="00A86CE0" w:rsidRPr="00A86CE0" w:rsidRDefault="00A86CE0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</w:pPr>
            <w:r w:rsidRPr="00A86CE0"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A86CE0" w:rsidRPr="00A86CE0" w:rsidRDefault="003F7777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</w:rPr>
            </w:pPr>
            <w:r>
              <w:rPr>
                <w:rStyle w:val="title1"/>
                <w:rFonts w:ascii="仿宋" w:eastAsia="仿宋" w:hAnsi="仿宋" w:hint="eastAsia"/>
                <w:b w:val="0"/>
                <w:color w:val="auto"/>
                <w:sz w:val="28"/>
              </w:rPr>
              <w:t>二等奖</w:t>
            </w:r>
          </w:p>
        </w:tc>
      </w:tr>
      <w:tr w:rsidR="003F7777" w:rsidRPr="00A86CE0" w:rsidTr="00021825">
        <w:trPr>
          <w:trHeight w:val="2461"/>
        </w:trPr>
        <w:tc>
          <w:tcPr>
            <w:tcW w:w="2269" w:type="dxa"/>
            <w:vAlign w:val="center"/>
          </w:tcPr>
          <w:p w:rsidR="003F7777" w:rsidRPr="00A86CE0" w:rsidRDefault="003F7777" w:rsidP="00021825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8"/>
                <w:szCs w:val="24"/>
              </w:rPr>
              <w:t>提名书</w:t>
            </w:r>
          </w:p>
          <w:p w:rsidR="003F7777" w:rsidRPr="00A86CE0" w:rsidRDefault="003F7777" w:rsidP="00021825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3F7777" w:rsidRDefault="0011305E" w:rsidP="00021825">
            <w:pPr>
              <w:adjustRightInd w:val="0"/>
              <w:snapToGrid w:val="0"/>
              <w:ind w:left="480" w:hangingChars="200" w:hanging="48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 w:rsidR="003F7777">
              <w:rPr>
                <w:rFonts w:eastAsia="仿宋_GB2312"/>
                <w:bCs/>
                <w:sz w:val="24"/>
                <w:szCs w:val="24"/>
              </w:rPr>
              <w:t>.</w:t>
            </w:r>
            <w:r w:rsidR="003F7777">
              <w:rPr>
                <w:rFonts w:eastAsia="仿宋_GB2312"/>
                <w:bCs/>
                <w:sz w:val="24"/>
                <w:szCs w:val="24"/>
              </w:rPr>
              <w:t>代表性论文</w:t>
            </w:r>
            <w:r w:rsidR="003F7777">
              <w:rPr>
                <w:rFonts w:eastAsia="仿宋_GB2312" w:hint="eastAsia"/>
                <w:bCs/>
                <w:sz w:val="24"/>
                <w:szCs w:val="24"/>
              </w:rPr>
              <w:t>专著</w:t>
            </w:r>
            <w:r w:rsidR="003F7777">
              <w:rPr>
                <w:rFonts w:eastAsia="仿宋_GB2312"/>
                <w:bCs/>
                <w:sz w:val="24"/>
                <w:szCs w:val="24"/>
              </w:rPr>
              <w:t>目录：</w:t>
            </w:r>
          </w:p>
          <w:p w:rsidR="00E2294C" w:rsidRDefault="003F7777" w:rsidP="00021825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="00E2294C" w:rsidRPr="00E2294C">
              <w:rPr>
                <w:rFonts w:eastAsia="仿宋_GB2312" w:hint="eastAsia"/>
                <w:bCs/>
                <w:sz w:val="24"/>
                <w:szCs w:val="24"/>
              </w:rPr>
              <w:t>陈伟伟，汪鹏君</w:t>
            </w:r>
            <w:r w:rsidR="00E2294C" w:rsidRPr="00E2294C">
              <w:rPr>
                <w:rFonts w:eastAsia="仿宋_GB2312" w:hint="eastAsia"/>
                <w:bCs/>
                <w:sz w:val="24"/>
                <w:szCs w:val="24"/>
              </w:rPr>
              <w:t>*</w:t>
            </w:r>
            <w:r w:rsidR="00E2294C" w:rsidRPr="00E2294C">
              <w:rPr>
                <w:rFonts w:eastAsia="仿宋_GB2312" w:hint="eastAsia"/>
                <w:bCs/>
                <w:sz w:val="24"/>
                <w:szCs w:val="24"/>
              </w:rPr>
              <w:t>，杨甜军，王根成，戴庭舸，张亚伟，周利强，江晓清，杨建义</w:t>
            </w:r>
            <w:r w:rsidR="00E2294C" w:rsidRPr="00E2294C">
              <w:rPr>
                <w:rFonts w:eastAsia="仿宋_GB2312" w:hint="eastAsia"/>
                <w:bCs/>
                <w:sz w:val="24"/>
                <w:szCs w:val="24"/>
              </w:rPr>
              <w:t>. Silicon three-mode (de) multiplexer based on cascaded asymmetric Y junctions. Optics Letters, 2016, 41(12): 2851-2854.</w:t>
            </w:r>
          </w:p>
          <w:p w:rsidR="003F7777" w:rsidRDefault="003F7777" w:rsidP="0002182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）戴庭舸，沈奥，王根成，王曰海，李宇波，江晓清，杨建义</w:t>
            </w:r>
            <w:r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>
              <w:rPr>
                <w:rFonts w:eastAsia="仿宋_GB2312" w:hint="eastAsia"/>
                <w:bCs/>
                <w:sz w:val="24"/>
                <w:szCs w:val="24"/>
              </w:rPr>
              <w:t>. Bandwidth and wavelength tunable optical passband filter based on silicon multiple microring resonators. Optics Letters, 2016, 41(20): 4807-4810.</w:t>
            </w:r>
          </w:p>
          <w:p w:rsidR="003F7777" w:rsidRDefault="003F7777" w:rsidP="0002182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）陈伟伟，汪鹏君</w:t>
            </w:r>
            <w:r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，杨建义</w:t>
            </w:r>
            <w:r>
              <w:rPr>
                <w:rFonts w:eastAsia="仿宋_GB2312" w:hint="eastAsia"/>
                <w:bCs/>
                <w:sz w:val="24"/>
                <w:szCs w:val="24"/>
              </w:rPr>
              <w:t>. Mode multi/demultiplexer based on cascaded asymmetric Y-junctions. Optics Express, 2013, 21(21): 25113-25119.</w:t>
            </w:r>
          </w:p>
          <w:p w:rsidR="003F7777" w:rsidRDefault="003F7777" w:rsidP="0000318B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姚润葵，李红祥，张波豪，陈伟伟</w:t>
            </w:r>
            <w:r w:rsidR="00266129" w:rsidRPr="00266129"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，汪鹏君</w:t>
            </w:r>
            <w:r w:rsidR="00266129" w:rsidRPr="00266129"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刘雨潇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李军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李燕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符强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戴庭舸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余辉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 w:hint="eastAsia"/>
                <w:bCs/>
                <w:sz w:val="24"/>
                <w:szCs w:val="24"/>
              </w:rPr>
              <w:t>杨建义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00318B">
              <w:rPr>
                <w:rFonts w:eastAsia="仿宋_GB2312"/>
                <w:bCs/>
                <w:sz w:val="24"/>
                <w:szCs w:val="24"/>
              </w:rPr>
              <w:t>Lorenzo Pavesi</w:t>
            </w:r>
            <w:r w:rsidR="00266129" w:rsidRPr="00266129">
              <w:rPr>
                <w:rFonts w:eastAsia="仿宋_GB2312"/>
                <w:bCs/>
                <w:sz w:val="24"/>
                <w:szCs w:val="24"/>
                <w:vertAlign w:val="superscript"/>
              </w:rPr>
              <w:t>*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Compact and Low-Insertion-Loss 1×N Power Splitter in Silicon Photonics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 xml:space="preserve">. 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Journal of Lightwave Technology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 xml:space="preserve">, 2021, 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39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(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19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):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6253</w:t>
            </w:r>
            <w:r w:rsidR="0000318B" w:rsidRPr="0000318B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="0000318B" w:rsidRPr="0000318B">
              <w:rPr>
                <w:rFonts w:eastAsia="仿宋_GB2312"/>
                <w:bCs/>
                <w:sz w:val="24"/>
                <w:szCs w:val="24"/>
              </w:rPr>
              <w:t>6259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>.</w:t>
            </w:r>
          </w:p>
          <w:p w:rsidR="0000318B" w:rsidRDefault="003F7777" w:rsidP="0002182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>陈伟伟，张波豪，汪鹏君</w:t>
            </w:r>
            <w:r w:rsidR="0000318B"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>，戴世勋，梁伟，李红祥，符强，李军，李燕，戴庭舸，余辉，杨建义</w:t>
            </w:r>
            <w:r w:rsidR="0000318B"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 xml:space="preserve">. 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>Ultra-compact and low-loss silicon polarization beam splitter using a particle-swarm-optimized counter-tapered coupler. Optics Express, 2020, 28(21): 30701-30709</w:t>
            </w:r>
            <w:r w:rsidR="0000318B">
              <w:rPr>
                <w:rFonts w:eastAsia="仿宋" w:hint="eastAsia"/>
                <w:color w:val="000000"/>
                <w:szCs w:val="21"/>
              </w:rPr>
              <w:t>.</w:t>
            </w:r>
          </w:p>
          <w:p w:rsidR="003F7777" w:rsidRDefault="003F7777" w:rsidP="00021825">
            <w:pPr>
              <w:rPr>
                <w:color w:val="222222"/>
                <w:szCs w:val="21"/>
                <w:shd w:val="clear" w:color="auto" w:fill="FFFFFF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陈伟伟，鲁昊，李仕琪，汪鹏君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*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，戴世勋，杨甜军，张波豪，虞若兰，符强，李军，李燕，戴庭舸，王曰海，杨建义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. Experimental demonstration of a flexible-grid 1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×</w:t>
            </w:r>
            <w:r w:rsidR="002E52DA" w:rsidRPr="002E52DA">
              <w:rPr>
                <w:rFonts w:eastAsia="仿宋_GB2312" w:hint="eastAsia"/>
                <w:bCs/>
                <w:sz w:val="24"/>
                <w:szCs w:val="24"/>
              </w:rPr>
              <w:t>2 wavelength- selective switch based on silicon microring resonators. Optics Letters, 2019, 44(2): 403-406.</w:t>
            </w:r>
          </w:p>
          <w:p w:rsidR="003F7777" w:rsidRDefault="003F7777" w:rsidP="0002182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）李海芹，汪鹏君，杨甜军，戴庭舸，王根成，李仕琪，陈伟伟</w:t>
            </w:r>
            <w:r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，杨建义</w:t>
            </w: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 xml:space="preserve">. 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Experimental demonstration of a broadband two-mode multi/demultiplexer based on </w:t>
            </w:r>
            <w:r w:rsidR="0000318B">
              <w:rPr>
                <w:rFonts w:eastAsia="仿宋_GB2312" w:hint="eastAsia"/>
                <w:bCs/>
                <w:sz w:val="24"/>
                <w:szCs w:val="24"/>
              </w:rPr>
              <w:t>asymmetric Y-junctions. Optics and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Laser Technology, 2018, 100: 7-11.</w:t>
            </w:r>
          </w:p>
          <w:p w:rsidR="003F7777" w:rsidRDefault="003F7777" w:rsidP="00021825"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）陈伟伟，鲁昊，汪鹏君</w:t>
            </w:r>
            <w:r>
              <w:rPr>
                <w:rFonts w:eastAsia="仿宋_GB2312" w:hint="eastAsia"/>
                <w:bCs/>
                <w:sz w:val="24"/>
                <w:szCs w:val="24"/>
                <w:vertAlign w:val="superscript"/>
              </w:rPr>
              <w:t>*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，戴世勋，虞若兰，张波豪，丁健，符强，李军，李燕，戴庭舸，余辉，杨建义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. Silicon-based flexible-grid mode-and wavelength-selective switch utilizing microring resonators and Y-junctions. Journal of Lightwave </w:t>
            </w:r>
            <w:r>
              <w:rPr>
                <w:rFonts w:eastAsia="仿宋_GB2312" w:hint="eastAsia"/>
                <w:bCs/>
                <w:sz w:val="24"/>
                <w:szCs w:val="24"/>
              </w:rPr>
              <w:lastRenderedPageBreak/>
              <w:t>Technology, 2020, 38(15): 4000-4008.</w:t>
            </w:r>
          </w:p>
          <w:p w:rsidR="0011305E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/>
                <w:bCs/>
                <w:sz w:val="24"/>
                <w:szCs w:val="24"/>
              </w:rPr>
              <w:t>主要知识产权目录：</w:t>
            </w:r>
          </w:p>
          <w:p w:rsidR="0011305E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发明专利：基于石墨烯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硅波导的带宽可调光带通滤波器，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1810477685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（专利号）</w:t>
            </w:r>
          </w:p>
          <w:p w:rsidR="0011305E" w:rsidRPr="003F7777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）发明专利：基于反锥形波导的三模式复用器</w:t>
            </w:r>
            <w:r>
              <w:rPr>
                <w:rFonts w:eastAsia="仿宋_GB2312" w:hint="eastAsia"/>
                <w:bCs/>
                <w:sz w:val="24"/>
                <w:szCs w:val="24"/>
              </w:rPr>
              <w:t>/</w:t>
            </w:r>
            <w:r>
              <w:rPr>
                <w:rFonts w:eastAsia="仿宋_GB2312" w:hint="eastAsia"/>
                <w:bCs/>
                <w:sz w:val="24"/>
                <w:szCs w:val="24"/>
              </w:rPr>
              <w:t>解复用器，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1710705191.5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（专利号）</w:t>
            </w:r>
          </w:p>
          <w:p w:rsidR="0011305E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）发明专利：一种三端口模式间隔分离器，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ZL201610025619.7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（专利号）</w:t>
            </w:r>
          </w:p>
          <w:p w:rsidR="0011305E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）发明专利：一种基于不对称</w:t>
            </w:r>
            <w:r>
              <w:rPr>
                <w:rFonts w:eastAsia="仿宋_GB2312" w:hint="eastAsia"/>
                <w:bCs/>
                <w:sz w:val="24"/>
                <w:szCs w:val="24"/>
              </w:rPr>
              <w:t>Y</w:t>
            </w:r>
            <w:r>
              <w:rPr>
                <w:rFonts w:eastAsia="仿宋_GB2312" w:hint="eastAsia"/>
                <w:bCs/>
                <w:sz w:val="24"/>
                <w:szCs w:val="24"/>
              </w:rPr>
              <w:t>分叉结构的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N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模式复用</w:t>
            </w:r>
            <w:r>
              <w:rPr>
                <w:rFonts w:eastAsia="仿宋_GB2312" w:hint="eastAsia"/>
                <w:bCs/>
                <w:sz w:val="24"/>
                <w:szCs w:val="24"/>
              </w:rPr>
              <w:t>/</w:t>
            </w:r>
            <w:r>
              <w:rPr>
                <w:rFonts w:eastAsia="仿宋_GB2312" w:hint="eastAsia"/>
                <w:bCs/>
                <w:sz w:val="24"/>
                <w:szCs w:val="24"/>
              </w:rPr>
              <w:t>解复用器，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1310477421.9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（专利号）</w:t>
            </w:r>
          </w:p>
          <w:p w:rsidR="0011305E" w:rsidRPr="0011305E" w:rsidRDefault="0011305E" w:rsidP="0011305E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（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）发明专利：一种同时具备模式和波长选择功能的带宽可调光开关，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ZL202010226678.7 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（专利号）</w:t>
            </w:r>
          </w:p>
        </w:tc>
      </w:tr>
      <w:tr w:rsidR="003F7777" w:rsidRPr="00A86CE0" w:rsidTr="006A5BEE">
        <w:trPr>
          <w:trHeight w:val="1631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3F7777" w:rsidRPr="00A86CE0" w:rsidRDefault="003F7777" w:rsidP="00021825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3F7777" w:rsidRDefault="003F7777" w:rsidP="003F7777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陈伟伟，排名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，教授，宁波大学；</w:t>
            </w:r>
          </w:p>
          <w:p w:rsidR="003F7777" w:rsidRDefault="003F7777" w:rsidP="003F7777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汪鹏君，排名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，教授，温州大学；</w:t>
            </w:r>
          </w:p>
          <w:p w:rsidR="003F7777" w:rsidRDefault="003F7777" w:rsidP="003F7777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戴世勋，排名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，研究员，宁波大学；</w:t>
            </w:r>
          </w:p>
          <w:p w:rsidR="003F7777" w:rsidRDefault="003F7777" w:rsidP="003F7777">
            <w:pPr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杨建义，排名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，教授，浙江大学；</w:t>
            </w:r>
          </w:p>
          <w:p w:rsidR="003F7777" w:rsidRPr="000F29F6" w:rsidRDefault="000F29F6" w:rsidP="000F29F6">
            <w:pPr>
              <w:adjustRightInd w:val="0"/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戴庭舸，排名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，副教授，浙江大学宁波五位一体校区教育发展中心；</w:t>
            </w:r>
          </w:p>
        </w:tc>
      </w:tr>
      <w:tr w:rsidR="003F7777" w:rsidRPr="00A86CE0" w:rsidTr="006A5BEE">
        <w:trPr>
          <w:trHeight w:val="1257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3F7777" w:rsidRPr="00A86CE0" w:rsidRDefault="003F7777" w:rsidP="00021825">
            <w:pPr>
              <w:spacing w:line="44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3F7777" w:rsidRPr="00A86CE0" w:rsidRDefault="003F7777" w:rsidP="00021825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宁波大学</w:t>
            </w:r>
          </w:p>
          <w:p w:rsidR="003F7777" w:rsidRPr="00A86CE0" w:rsidRDefault="003F7777" w:rsidP="00021825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4"/>
                <w:szCs w:val="24"/>
              </w:rPr>
              <w:t>2.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温州大学</w:t>
            </w:r>
          </w:p>
          <w:p w:rsidR="003F7777" w:rsidRPr="00A86CE0" w:rsidRDefault="003F7777" w:rsidP="003F7777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86CE0">
              <w:rPr>
                <w:rFonts w:ascii="仿宋" w:eastAsia="仿宋" w:hAnsi="仿宋"/>
                <w:bCs/>
                <w:sz w:val="24"/>
                <w:szCs w:val="24"/>
              </w:rPr>
              <w:t>3.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3F7777" w:rsidRPr="00A86CE0" w:rsidTr="00343FC0">
        <w:trPr>
          <w:trHeight w:val="497"/>
        </w:trPr>
        <w:tc>
          <w:tcPr>
            <w:tcW w:w="2269" w:type="dxa"/>
            <w:vAlign w:val="center"/>
          </w:tcPr>
          <w:p w:rsidR="003F7777" w:rsidRPr="00A86CE0" w:rsidRDefault="003F7777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  <w:szCs w:val="28"/>
              </w:rPr>
            </w:pPr>
            <w:r w:rsidRPr="00A86CE0">
              <w:rPr>
                <w:rStyle w:val="title1"/>
                <w:rFonts w:ascii="仿宋" w:eastAsia="仿宋" w:hAnsi="仿宋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3F7777" w:rsidRPr="00A86CE0" w:rsidRDefault="003F7777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</w:rPr>
            </w:pPr>
            <w:r w:rsidRPr="003F7777">
              <w:rPr>
                <w:rStyle w:val="title1"/>
                <w:rFonts w:ascii="仿宋" w:eastAsia="仿宋" w:hAnsi="仿宋"/>
                <w:color w:val="auto"/>
                <w:sz w:val="28"/>
                <w:szCs w:val="28"/>
              </w:rPr>
              <w:t>宁波市人民政府</w:t>
            </w:r>
          </w:p>
        </w:tc>
      </w:tr>
      <w:tr w:rsidR="003F7777" w:rsidRPr="00A86CE0" w:rsidTr="00021825">
        <w:trPr>
          <w:trHeight w:val="3683"/>
        </w:trPr>
        <w:tc>
          <w:tcPr>
            <w:tcW w:w="2269" w:type="dxa"/>
            <w:vAlign w:val="center"/>
          </w:tcPr>
          <w:p w:rsidR="003F7777" w:rsidRPr="00A86CE0" w:rsidRDefault="003F7777" w:rsidP="00021825">
            <w:pPr>
              <w:jc w:val="center"/>
              <w:rPr>
                <w:rStyle w:val="title1"/>
                <w:rFonts w:ascii="仿宋" w:eastAsia="仿宋" w:hAnsi="仿宋"/>
                <w:b w:val="0"/>
                <w:color w:val="auto"/>
                <w:sz w:val="28"/>
                <w:szCs w:val="28"/>
              </w:rPr>
            </w:pPr>
            <w:r w:rsidRPr="00A86CE0">
              <w:rPr>
                <w:rStyle w:val="title1"/>
                <w:rFonts w:ascii="仿宋" w:eastAsia="仿宋" w:hAnsi="仿宋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343FC0" w:rsidRDefault="001A0F44" w:rsidP="00343FC0">
            <w:pPr>
              <w:adjustRightInd w:val="0"/>
              <w:snapToGrid w:val="0"/>
              <w:ind w:firstLineChars="200" w:firstLine="480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空分复用弹性光网络因融合新</w:t>
            </w:r>
            <w:r w:rsidR="009F584A">
              <w:rPr>
                <w:rFonts w:eastAsia="仿宋" w:hint="eastAsia"/>
                <w:color w:val="000000"/>
                <w:sz w:val="24"/>
                <w:szCs w:val="24"/>
              </w:rPr>
              <w:t>的</w:t>
            </w:r>
            <w:r w:rsidR="00C134BB" w:rsidRPr="00C134BB">
              <w:rPr>
                <w:rFonts w:eastAsia="仿宋" w:hint="eastAsia"/>
                <w:color w:val="000000"/>
                <w:sz w:val="24"/>
                <w:szCs w:val="24"/>
              </w:rPr>
              <w:t>物理维度</w:t>
            </w:r>
            <w:r w:rsidR="009F584A">
              <w:rPr>
                <w:rFonts w:eastAsia="仿宋" w:hint="eastAsia"/>
                <w:color w:val="000000"/>
                <w:sz w:val="24"/>
                <w:szCs w:val="24"/>
              </w:rPr>
              <w:t>与</w:t>
            </w:r>
            <w:r w:rsidR="00C134BB" w:rsidRPr="00C134BB">
              <w:rPr>
                <w:rFonts w:eastAsia="仿宋" w:hint="eastAsia"/>
                <w:color w:val="000000"/>
                <w:sz w:val="24"/>
                <w:szCs w:val="24"/>
              </w:rPr>
              <w:t>动态频谱资源分配等特点，而被视为解决“容量危机”的下一代光互连网络技术。</w:t>
            </w:r>
            <w:r w:rsidR="0011637D" w:rsidRPr="0011637D">
              <w:rPr>
                <w:rFonts w:eastAsia="仿宋" w:hint="eastAsia"/>
                <w:color w:val="000000"/>
                <w:sz w:val="24"/>
                <w:szCs w:val="24"/>
              </w:rPr>
              <w:t>面向“数智”时代对容量</w:t>
            </w:r>
            <w:r w:rsidR="00997644">
              <w:rPr>
                <w:rFonts w:eastAsia="仿宋" w:hint="eastAsia"/>
                <w:color w:val="000000"/>
                <w:sz w:val="24"/>
                <w:szCs w:val="24"/>
              </w:rPr>
              <w:t>的</w:t>
            </w:r>
            <w:r w:rsidR="00A7507C">
              <w:rPr>
                <w:rFonts w:eastAsia="仿宋" w:hint="eastAsia"/>
                <w:color w:val="000000"/>
                <w:sz w:val="24"/>
                <w:szCs w:val="24"/>
              </w:rPr>
              <w:t>迫切</w:t>
            </w:r>
            <w:r w:rsidR="0011637D" w:rsidRPr="0011637D">
              <w:rPr>
                <w:rFonts w:eastAsia="仿宋" w:hint="eastAsia"/>
                <w:color w:val="000000"/>
                <w:sz w:val="24"/>
                <w:szCs w:val="24"/>
              </w:rPr>
              <w:t>需求，</w:t>
            </w:r>
            <w:r w:rsidR="00343FC0" w:rsidRPr="00AA02BB">
              <w:rPr>
                <w:rFonts w:eastAsia="仿宋" w:hint="eastAsia"/>
                <w:color w:val="000000"/>
                <w:sz w:val="24"/>
                <w:szCs w:val="24"/>
              </w:rPr>
              <w:t>该</w:t>
            </w:r>
            <w:r w:rsidR="00C134BB">
              <w:rPr>
                <w:rFonts w:eastAsia="仿宋" w:hint="eastAsia"/>
                <w:color w:val="000000"/>
                <w:sz w:val="24"/>
                <w:szCs w:val="24"/>
              </w:rPr>
              <w:t>项目</w:t>
            </w:r>
            <w:r w:rsidR="00343FC0" w:rsidRPr="00AA02BB">
              <w:rPr>
                <w:rFonts w:eastAsia="仿宋" w:hint="eastAsia"/>
                <w:color w:val="000000"/>
                <w:sz w:val="24"/>
                <w:szCs w:val="24"/>
              </w:rPr>
              <w:t>在</w:t>
            </w:r>
            <w:r w:rsidR="00343FC0" w:rsidRPr="00AA02BB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国家</w:t>
            </w:r>
            <w:r w:rsidR="0011637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“8</w:t>
            </w:r>
            <w:r w:rsidR="0011637D">
              <w:rPr>
                <w:rFonts w:ascii="仿宋" w:eastAsia="仿宋" w:hAnsi="仿宋" w:cs="宋体"/>
                <w:color w:val="000000"/>
                <w:sz w:val="24"/>
                <w:szCs w:val="24"/>
              </w:rPr>
              <w:t>63</w:t>
            </w:r>
            <w:r w:rsidR="0011637D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”计划</w:t>
            </w:r>
            <w:r w:rsidR="00343FC0" w:rsidRPr="00AA02BB">
              <w:rPr>
                <w:rFonts w:eastAsia="仿宋" w:hint="eastAsia"/>
                <w:color w:val="000000"/>
                <w:sz w:val="24"/>
                <w:szCs w:val="24"/>
              </w:rPr>
              <w:t>等项目支持下，围绕片上空分复用弹性光网络的光交换核心器件实现理论与方法</w:t>
            </w:r>
            <w:r w:rsidR="0011637D">
              <w:rPr>
                <w:rFonts w:eastAsia="仿宋_GB2312" w:hint="eastAsia"/>
                <w:color w:val="000000"/>
                <w:sz w:val="24"/>
              </w:rPr>
              <w:t>开展了系统性研究，历时十余年，取得重要科学发现和创新成果：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（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1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）</w:t>
            </w:r>
            <w:r w:rsidR="00343FC0" w:rsidRPr="001632C5">
              <w:rPr>
                <w:rFonts w:eastAsia="仿宋" w:hint="eastAsia"/>
                <w:color w:val="000000"/>
                <w:sz w:val="24"/>
                <w:szCs w:val="24"/>
              </w:rPr>
              <w:t>发现了微环传输谱动态相干合成机理，</w:t>
            </w:r>
            <w:r w:rsidR="008617D0">
              <w:rPr>
                <w:rFonts w:eastAsia="仿宋" w:hint="eastAsia"/>
                <w:color w:val="000000"/>
                <w:sz w:val="24"/>
                <w:szCs w:val="24"/>
              </w:rPr>
              <w:t>构建</w:t>
            </w:r>
            <w:r w:rsidR="00343FC0" w:rsidRPr="001632C5">
              <w:rPr>
                <w:rFonts w:eastAsia="仿宋" w:hint="eastAsia"/>
                <w:color w:val="000000"/>
                <w:sz w:val="24"/>
                <w:szCs w:val="24"/>
              </w:rPr>
              <w:t>了基于微环</w:t>
            </w:r>
            <w:r w:rsidR="00343FC0" w:rsidRPr="001632C5">
              <w:rPr>
                <w:rFonts w:eastAsia="仿宋" w:hint="eastAsia"/>
                <w:i/>
                <w:color w:val="000000"/>
                <w:sz w:val="24"/>
                <w:szCs w:val="24"/>
              </w:rPr>
              <w:t>N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通道传输谱相干合成</w:t>
            </w:r>
            <w:r w:rsidR="00343FC0" w:rsidRPr="001632C5">
              <w:rPr>
                <w:rFonts w:eastAsia="仿宋" w:hint="eastAsia"/>
                <w:color w:val="000000"/>
                <w:sz w:val="24"/>
                <w:szCs w:val="24"/>
              </w:rPr>
              <w:t>理论模型，实现大调谐范围的带宽动态可变，并创制了带宽可变滤波器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及光开关等关键器件，为提高频谱效率及扩充通信容量提供了新理论与</w:t>
            </w:r>
            <w:r w:rsidR="00343FC0" w:rsidRPr="001632C5">
              <w:rPr>
                <w:rFonts w:eastAsia="仿宋" w:hint="eastAsia"/>
                <w:color w:val="000000"/>
                <w:sz w:val="24"/>
                <w:szCs w:val="24"/>
              </w:rPr>
              <w:t>方法</w:t>
            </w:r>
            <w:r w:rsidR="00343FC0" w:rsidRPr="001632C5">
              <w:rPr>
                <w:rFonts w:eastAsia="仿宋"/>
                <w:color w:val="000000"/>
                <w:sz w:val="24"/>
                <w:szCs w:val="24"/>
              </w:rPr>
              <w:t>；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（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2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）</w:t>
            </w:r>
            <w:r w:rsidR="00343FC0" w:rsidRPr="00A5035E">
              <w:rPr>
                <w:rFonts w:eastAsia="仿宋" w:hint="eastAsia"/>
                <w:color w:val="000000"/>
                <w:sz w:val="24"/>
                <w:szCs w:val="24"/>
              </w:rPr>
              <w:t>阐明了波导模式绝热演变基本规律，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构建</w:t>
            </w:r>
            <w:r w:rsidR="00343FC0" w:rsidRPr="00A5035E">
              <w:rPr>
                <w:rFonts w:eastAsia="仿宋" w:hint="eastAsia"/>
                <w:color w:val="000000"/>
                <w:sz w:val="24"/>
                <w:szCs w:val="24"/>
              </w:rPr>
              <w:t>了实现模式高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效转化与分离新理论，并创制了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基于级联不对称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Y</w:t>
            </w:r>
            <w:r w:rsidR="00FA5134">
              <w:rPr>
                <w:rFonts w:eastAsia="仿宋"/>
                <w:color w:val="000000"/>
                <w:sz w:val="24"/>
                <w:szCs w:val="24"/>
              </w:rPr>
              <w:t>分支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模式复用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/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解复用器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等核心器件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，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为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提升因受限于香农理论局限的通信容量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提供了新手段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；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（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 w:rsidR="00343FC0">
              <w:rPr>
                <w:rFonts w:eastAsia="仿宋" w:hint="eastAsia"/>
                <w:color w:val="000000"/>
                <w:sz w:val="24"/>
                <w:szCs w:val="24"/>
              </w:rPr>
              <w:t>）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揭示了模式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-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波长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-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带宽多维独立动态调控机理，并创制了</w:t>
            </w:r>
            <w:r w:rsidR="00FA5134">
              <w:rPr>
                <w:rFonts w:eastAsia="仿宋"/>
                <w:color w:val="000000"/>
                <w:sz w:val="24"/>
                <w:szCs w:val="24"/>
              </w:rPr>
              <w:t>可扩展、可重构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硅基灵活栅格模式波长选择光开关，</w:t>
            </w:r>
            <w:r w:rsidR="00343FC0" w:rsidRPr="009146F3">
              <w:rPr>
                <w:rFonts w:eastAsia="仿宋" w:hint="eastAsia"/>
                <w:color w:val="000000"/>
                <w:sz w:val="24"/>
                <w:szCs w:val="24"/>
              </w:rPr>
              <w:t>实现模式、波长信号独立动态路由并且信道带宽灵活可调谐</w:t>
            </w:r>
            <w:r w:rsidR="00343FC0" w:rsidRPr="009146F3">
              <w:rPr>
                <w:rFonts w:eastAsia="仿宋"/>
                <w:color w:val="000000"/>
                <w:sz w:val="24"/>
                <w:szCs w:val="24"/>
              </w:rPr>
              <w:t>，为满足日益增长的容量需求提供新策略。</w:t>
            </w:r>
          </w:p>
          <w:p w:rsidR="00343FC0" w:rsidRDefault="009826DB" w:rsidP="00343FC0">
            <w:pPr>
              <w:adjustRightInd w:val="0"/>
              <w:snapToGrid w:val="0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该项目代表性论文</w:t>
            </w:r>
            <w:r w:rsidR="00A7507C">
              <w:rPr>
                <w:rFonts w:eastAsia="仿宋" w:hint="eastAsia"/>
                <w:color w:val="000000"/>
                <w:sz w:val="24"/>
                <w:szCs w:val="24"/>
              </w:rPr>
              <w:t>被</w:t>
            </w:r>
            <w:r w:rsidR="00A7507C" w:rsidRPr="00A7507C">
              <w:rPr>
                <w:rFonts w:eastAsia="仿宋" w:hint="eastAsia"/>
                <w:color w:val="000000"/>
                <w:sz w:val="24"/>
                <w:szCs w:val="24"/>
              </w:rPr>
              <w:t>Nature Reviews Physics</w:t>
            </w:r>
            <w:r w:rsidR="00A7507C" w:rsidRPr="00A7507C">
              <w:rPr>
                <w:rFonts w:eastAsia="仿宋" w:hint="eastAsia"/>
                <w:color w:val="000000"/>
                <w:sz w:val="24"/>
                <w:szCs w:val="24"/>
              </w:rPr>
              <w:t>等</w:t>
            </w:r>
            <w:r w:rsidR="00A7507C">
              <w:rPr>
                <w:rFonts w:eastAsia="仿宋" w:hint="eastAsia"/>
                <w:color w:val="000000"/>
                <w:sz w:val="24"/>
                <w:szCs w:val="24"/>
              </w:rPr>
              <w:t>权威期刊以及</w:t>
            </w:r>
            <w:r w:rsidR="008F4FF7">
              <w:rPr>
                <w:rFonts w:eastAsia="仿宋" w:hint="eastAsia"/>
                <w:color w:val="000000"/>
                <w:sz w:val="24"/>
                <w:szCs w:val="24"/>
              </w:rPr>
              <w:t>国内外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t>院士、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t xml:space="preserve">Fellow </w:t>
            </w:r>
            <w:r w:rsidR="008F4FF7">
              <w:rPr>
                <w:rFonts w:eastAsia="仿宋" w:hint="eastAsia"/>
                <w:color w:val="000000"/>
                <w:sz w:val="24"/>
                <w:szCs w:val="24"/>
              </w:rPr>
              <w:t>等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t>知名</w:t>
            </w:r>
            <w:r w:rsidR="008F4FF7">
              <w:rPr>
                <w:rFonts w:eastAsia="仿宋" w:hint="eastAsia"/>
                <w:color w:val="000000"/>
                <w:sz w:val="24"/>
                <w:szCs w:val="24"/>
              </w:rPr>
              <w:t>同行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t>学者广泛引用和正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lastRenderedPageBreak/>
              <w:t>面评价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。该项目相关研究成果</w:t>
            </w:r>
            <w:r w:rsidR="0011305E" w:rsidRPr="0039244B">
              <w:rPr>
                <w:rFonts w:eastAsia="仿宋"/>
                <w:color w:val="000000"/>
                <w:sz w:val="24"/>
                <w:szCs w:val="24"/>
              </w:rPr>
              <w:t>为我国掌握新一代信息技术</w:t>
            </w:r>
            <w:r w:rsidR="0011305E"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r w:rsidR="0011305E" w:rsidRPr="0039244B">
              <w:rPr>
                <w:rFonts w:eastAsia="仿宋" w:hint="eastAsia"/>
                <w:color w:val="000000"/>
                <w:sz w:val="24"/>
                <w:szCs w:val="24"/>
              </w:rPr>
              <w:t>带动数字经济创新发展</w:t>
            </w:r>
            <w:r w:rsidR="0011305E" w:rsidRPr="0039244B">
              <w:rPr>
                <w:rFonts w:eastAsia="仿宋"/>
                <w:color w:val="000000"/>
                <w:sz w:val="24"/>
                <w:szCs w:val="24"/>
              </w:rPr>
              <w:t>提供</w:t>
            </w:r>
            <w:r w:rsidR="00DC6653">
              <w:rPr>
                <w:rFonts w:eastAsia="仿宋" w:hint="eastAsia"/>
                <w:color w:val="000000"/>
                <w:sz w:val="24"/>
                <w:szCs w:val="24"/>
              </w:rPr>
              <w:t>了</w:t>
            </w:r>
            <w:r w:rsidR="0011305E" w:rsidRPr="0039244B">
              <w:rPr>
                <w:rFonts w:eastAsia="仿宋"/>
                <w:color w:val="000000"/>
                <w:sz w:val="24"/>
                <w:szCs w:val="24"/>
              </w:rPr>
              <w:t>科学基础和技术储备</w:t>
            </w:r>
            <w:r w:rsidR="0011305E">
              <w:rPr>
                <w:rFonts w:eastAsia="仿宋" w:hint="eastAsia"/>
                <w:color w:val="000000"/>
                <w:sz w:val="24"/>
                <w:szCs w:val="24"/>
              </w:rPr>
              <w:t>，在数据中心光互连和高性能计算具有良好的应用前景</w:t>
            </w:r>
            <w:r w:rsidR="00343FC0" w:rsidRPr="0039244B">
              <w:rPr>
                <w:rFonts w:eastAsia="仿宋" w:hint="eastAsia"/>
                <w:color w:val="000000"/>
                <w:sz w:val="24"/>
                <w:szCs w:val="24"/>
              </w:rPr>
              <w:t>。</w:t>
            </w:r>
          </w:p>
          <w:p w:rsidR="003F7777" w:rsidRPr="00A86CE0" w:rsidRDefault="00343FC0" w:rsidP="00343FC0">
            <w:pPr>
              <w:ind w:firstLineChars="200" w:firstLine="428"/>
              <w:contextualSpacing/>
              <w:rPr>
                <w:rStyle w:val="title1"/>
                <w:rFonts w:ascii="仿宋" w:eastAsia="仿宋" w:hAnsi="仿宋"/>
                <w:b w:val="0"/>
                <w:color w:val="auto"/>
              </w:rPr>
            </w:pPr>
            <w:r>
              <w:rPr>
                <w:bCs/>
                <w:spacing w:val="2"/>
              </w:rPr>
              <w:t>提名该成果为省自然科学奖</w:t>
            </w:r>
            <w:r>
              <w:rPr>
                <w:bCs/>
                <w:spacing w:val="2"/>
              </w:rPr>
              <w:t>__</w:t>
            </w:r>
            <w:r>
              <w:rPr>
                <w:rFonts w:hint="eastAsia"/>
                <w:bCs/>
                <w:spacing w:val="2"/>
              </w:rPr>
              <w:t>二</w:t>
            </w:r>
            <w:r>
              <w:rPr>
                <w:bCs/>
                <w:spacing w:val="2"/>
              </w:rPr>
              <w:t>__</w:t>
            </w:r>
            <w:r>
              <w:rPr>
                <w:bCs/>
                <w:spacing w:val="2"/>
              </w:rPr>
              <w:t>等奖。</w:t>
            </w:r>
          </w:p>
        </w:tc>
      </w:tr>
    </w:tbl>
    <w:p w:rsidR="00A86CE0" w:rsidRDefault="00A86CE0" w:rsidP="00A86CE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A86CE0" w:rsidSect="00750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F7" w:rsidRDefault="00DF54F7" w:rsidP="00A86CE0">
      <w:r>
        <w:separator/>
      </w:r>
    </w:p>
  </w:endnote>
  <w:endnote w:type="continuationSeparator" w:id="0">
    <w:p w:rsidR="00DF54F7" w:rsidRDefault="00DF54F7" w:rsidP="00A8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F7" w:rsidRDefault="00DF54F7" w:rsidP="00A86CE0">
      <w:r>
        <w:separator/>
      </w:r>
    </w:p>
  </w:footnote>
  <w:footnote w:type="continuationSeparator" w:id="0">
    <w:p w:rsidR="00DF54F7" w:rsidRDefault="00DF54F7" w:rsidP="00A8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7CD"/>
    <w:rsid w:val="0000318B"/>
    <w:rsid w:val="00021825"/>
    <w:rsid w:val="000F29F6"/>
    <w:rsid w:val="0011305E"/>
    <w:rsid w:val="0011637D"/>
    <w:rsid w:val="00135477"/>
    <w:rsid w:val="001A0F44"/>
    <w:rsid w:val="00234D7C"/>
    <w:rsid w:val="00255028"/>
    <w:rsid w:val="00266129"/>
    <w:rsid w:val="002E52DA"/>
    <w:rsid w:val="0033043F"/>
    <w:rsid w:val="00343FC0"/>
    <w:rsid w:val="003F7777"/>
    <w:rsid w:val="00545994"/>
    <w:rsid w:val="006055B6"/>
    <w:rsid w:val="00616B65"/>
    <w:rsid w:val="006A5BEE"/>
    <w:rsid w:val="006E32B8"/>
    <w:rsid w:val="006F025E"/>
    <w:rsid w:val="0074335F"/>
    <w:rsid w:val="0075056E"/>
    <w:rsid w:val="00761518"/>
    <w:rsid w:val="007A230B"/>
    <w:rsid w:val="008617D0"/>
    <w:rsid w:val="008A0C96"/>
    <w:rsid w:val="008C1FC3"/>
    <w:rsid w:val="008C2F8B"/>
    <w:rsid w:val="008F4FF7"/>
    <w:rsid w:val="00944CC4"/>
    <w:rsid w:val="009826DB"/>
    <w:rsid w:val="00997644"/>
    <w:rsid w:val="009A4D5C"/>
    <w:rsid w:val="009F584A"/>
    <w:rsid w:val="00A7507C"/>
    <w:rsid w:val="00A86CE0"/>
    <w:rsid w:val="00A947CD"/>
    <w:rsid w:val="00C134BB"/>
    <w:rsid w:val="00C506F6"/>
    <w:rsid w:val="00D54B3C"/>
    <w:rsid w:val="00DC6653"/>
    <w:rsid w:val="00DF54F7"/>
    <w:rsid w:val="00E2294C"/>
    <w:rsid w:val="00FA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3942FA-AFA6-4EF0-BD48-E7075F3D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E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C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C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CE0"/>
    <w:rPr>
      <w:sz w:val="18"/>
      <w:szCs w:val="18"/>
    </w:rPr>
  </w:style>
  <w:style w:type="character" w:customStyle="1" w:styleId="title1">
    <w:name w:val="title1"/>
    <w:qFormat/>
    <w:rsid w:val="00A86CE0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W\Desktop\2024&#26257;&#20551;\SP\2023&#24180;&#24230;&#30465;&#22870;&#20844;&#31034;&#20449;&#24687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2023年度省奖公示信息模板</Template>
  <TotalTime>154</TotalTime>
  <Pages>3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CWW</cp:lastModifiedBy>
  <cp:revision>22</cp:revision>
  <dcterms:created xsi:type="dcterms:W3CDTF">2024-08-06T06:50:00Z</dcterms:created>
  <dcterms:modified xsi:type="dcterms:W3CDTF">2024-08-09T02:52:00Z</dcterms:modified>
</cp:coreProperties>
</file>