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B99" w:rsidRDefault="00910E84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237B99" w:rsidRDefault="00910E84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804"/>
      </w:tblGrid>
      <w:tr w:rsidR="00237B99">
        <w:trPr>
          <w:trHeight w:val="647"/>
        </w:trPr>
        <w:tc>
          <w:tcPr>
            <w:tcW w:w="1872" w:type="dxa"/>
            <w:vAlign w:val="center"/>
          </w:tcPr>
          <w:p w:rsidR="00237B99" w:rsidRDefault="00910E8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804" w:type="dxa"/>
            <w:vAlign w:val="center"/>
          </w:tcPr>
          <w:p w:rsidR="00237B99" w:rsidRDefault="00910E84">
            <w:pPr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强不确定性的地区电网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源网荷储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精准调控关键技术及装备应用</w:t>
            </w:r>
          </w:p>
        </w:tc>
      </w:tr>
      <w:tr w:rsidR="00237B99">
        <w:trPr>
          <w:trHeight w:val="561"/>
        </w:trPr>
        <w:tc>
          <w:tcPr>
            <w:tcW w:w="1872" w:type="dxa"/>
            <w:vAlign w:val="center"/>
          </w:tcPr>
          <w:p w:rsidR="00237B99" w:rsidRDefault="00910E8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804" w:type="dxa"/>
            <w:vAlign w:val="center"/>
          </w:tcPr>
          <w:p w:rsidR="00237B99" w:rsidRDefault="00910E8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一等奖</w:t>
            </w:r>
          </w:p>
        </w:tc>
      </w:tr>
      <w:tr w:rsidR="00237B99">
        <w:trPr>
          <w:trHeight w:val="2461"/>
        </w:trPr>
        <w:tc>
          <w:tcPr>
            <w:tcW w:w="1872" w:type="dxa"/>
            <w:vAlign w:val="center"/>
          </w:tcPr>
          <w:p w:rsidR="00237B99" w:rsidRDefault="00910E8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237B99" w:rsidRDefault="00910E8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804" w:type="dxa"/>
            <w:vAlign w:val="center"/>
          </w:tcPr>
          <w:tbl>
            <w:tblPr>
              <w:tblStyle w:val="ab"/>
              <w:tblW w:w="4997" w:type="pct"/>
              <w:tblLayout w:type="fixed"/>
              <w:tblLook w:val="04A0" w:firstRow="1" w:lastRow="0" w:firstColumn="1" w:lastColumn="0" w:noHBand="0" w:noVBand="1"/>
            </w:tblPr>
            <w:tblGrid>
              <w:gridCol w:w="819"/>
              <w:gridCol w:w="1540"/>
              <w:gridCol w:w="1012"/>
              <w:gridCol w:w="1311"/>
              <w:gridCol w:w="1892"/>
            </w:tblGrid>
            <w:tr w:rsidR="00237B99">
              <w:trPr>
                <w:tblHeader/>
              </w:trPr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pStyle w:val="a5"/>
                    <w:jc w:val="center"/>
                    <w:rPr>
                      <w:rFonts w:ascii="仿宋_GB2312" w:eastAsia="仿宋_GB2312" w:hAnsi="仿宋_GB2312" w:cs="仿宋_GB2312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2"/>
                      <w:szCs w:val="22"/>
                    </w:rPr>
                    <w:t>知识产权类型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pStyle w:val="a5"/>
                    <w:jc w:val="center"/>
                    <w:rPr>
                      <w:rFonts w:ascii="仿宋_GB2312" w:eastAsia="仿宋_GB2312" w:hAnsi="仿宋_GB2312" w:cs="仿宋_GB2312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pStyle w:val="a5"/>
                    <w:jc w:val="center"/>
                    <w:rPr>
                      <w:rFonts w:ascii="仿宋_GB2312" w:eastAsia="仿宋_GB2312" w:hAnsi="仿宋_GB2312" w:cs="仿宋_GB2312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2"/>
                      <w:szCs w:val="22"/>
                    </w:rPr>
                    <w:t>授权号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pStyle w:val="a5"/>
                    <w:jc w:val="center"/>
                    <w:rPr>
                      <w:rFonts w:ascii="仿宋_GB2312" w:eastAsia="仿宋_GB2312" w:hAnsi="仿宋_GB2312" w:cs="仿宋_GB2312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2"/>
                      <w:szCs w:val="22"/>
                    </w:rPr>
                    <w:t>权利人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pStyle w:val="a5"/>
                    <w:jc w:val="center"/>
                    <w:rPr>
                      <w:rFonts w:ascii="仿宋_GB2312" w:eastAsia="仿宋_GB2312" w:hAnsi="仿宋_GB2312" w:cs="仿宋_GB2312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2"/>
                      <w:szCs w:val="22"/>
                    </w:rPr>
                    <w:t>发明人</w:t>
                  </w:r>
                </w:p>
              </w:tc>
            </w:tr>
            <w:tr w:rsidR="00237B99"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发明专利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一种新能源控制系统参数调试方法及系统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CN111176257B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南京国电南自电网自动化有限公司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吴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世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伟;王紫东;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纪陵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;骆兆军;刘文彪;朱杰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媛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;李靖霞;左建勋;王永;高翔</w:t>
                  </w:r>
                </w:p>
              </w:tc>
            </w:tr>
            <w:tr w:rsidR="00237B99"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发明专利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基于随机聚类的电力负荷层次时间序列预测方法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  <w:t>CN116805785B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国网浙江省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电力有限公司金华供电公司;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金华八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达集团有限公司;浙江大学;浙江浙达能源科技有限公司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黄红辉;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侯健生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;沃建栋;徐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浩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华;季克勤;王珂;叶宏;贺燕;王晓东;郭创新;邱剑;李晓波;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盛晨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;郭鸿健;朱锦程;王宁;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朱君兴</w:t>
                  </w:r>
                  <w:proofErr w:type="gramEnd"/>
                </w:p>
              </w:tc>
            </w:tr>
            <w:tr w:rsidR="00237B99"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发明专利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一种基于电网经济运行域的调度方法及装置、电子设备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  <w:t>CN114662798B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浙江大学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徐华廷;郭创新</w:t>
                  </w:r>
                </w:p>
              </w:tc>
            </w:tr>
            <w:tr w:rsidR="00237B99"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发明专利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一种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基于鞍论不确定性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的虚拟电厂两阶段鲁棒优化方法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  <w:t>CN116415740B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国网浙江省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电力有限公司金华供电公司;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金华八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达集团有限公司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李付林;黄红辉;王珂;李毓;叶宏;季克勤;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侯健生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;张波;程朝阳;马骏达;徐耀辉;贺燕;郭创新;徐敏</w:t>
                  </w:r>
                </w:p>
              </w:tc>
            </w:tr>
            <w:tr w:rsidR="00237B99"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发明专利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一种电、水、气、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热四表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采集协议系统及转换方法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  <w:t>CN110324324B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国电南瑞南京控制系统有限公司;国家电网有限公司;南瑞</w:t>
                  </w: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lastRenderedPageBreak/>
                    <w:t>集团有限公司;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国网福建省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电力有限公司福州供电公司;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国网江苏省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电力有限公司;中国电力科学研究院有限公司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lastRenderedPageBreak/>
                    <w:t>刘永春;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占玉兵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;成海生;张高山;张辉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辉</w:t>
                  </w:r>
                  <w:proofErr w:type="gramEnd"/>
                </w:p>
              </w:tc>
            </w:tr>
            <w:tr w:rsidR="00237B99"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发明专利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基于阶梯型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碳交易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机制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的光储协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同优化调度方法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  <w:t xml:space="preserve">CN116780535B 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国网浙江省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电力有限公司金华供电公司;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金华八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达集团有限公司;浙江大学;浙江浙达能源科技有限公司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钱肖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;王珂;季克勤;叶宏;贺燕;马骏达;黄红辉;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侯健生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;沃建栋;杨剑;徐耀辉;乔艺林;郭创新;邱剑;李晓波;徐敏;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郑航</w:t>
                  </w:r>
                  <w:proofErr w:type="gramEnd"/>
                </w:p>
              </w:tc>
            </w:tr>
            <w:tr w:rsidR="00237B99"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发明专利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一种考虑柔性负荷与ESS-SOP的多时间尺度优化调度方法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  <w:t>CN113241757B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浙江工业大学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张有兵；张凯怡；张芝鑫；徐崇博；张瑜</w:t>
                  </w:r>
                </w:p>
              </w:tc>
            </w:tr>
            <w:tr w:rsidR="00237B99"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发明专利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一种基于电动汽车的充电站调频能力评估方法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CN117477593B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中国长江三峡集团有限公司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颜俊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颜安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;周晓;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金和平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刘益勇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;李倩;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梁涛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;潘中奇;张晓萌;白璐</w:t>
                  </w:r>
                </w:p>
              </w:tc>
            </w:tr>
            <w:tr w:rsidR="00237B99"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发明专利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高渗透率光伏智能配电台区协调分配方法及系统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CN116231766B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国网浙江省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电力有限公司永康市供电公司;永康市光明送变电工程有限公司;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国网浙江省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电力有限公司金</w:t>
                  </w: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lastRenderedPageBreak/>
                    <w:t>华供电公司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lastRenderedPageBreak/>
                    <w:t>何明锋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;盛东;孔威;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励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益;曹俊;施红星;蒋颖;储夏;吕俊涛;程雨林;付育;童雄敏;周冬冬;陈兴良</w:t>
                  </w:r>
                </w:p>
              </w:tc>
            </w:tr>
            <w:tr w:rsidR="00237B99">
              <w:tc>
                <w:tcPr>
                  <w:tcW w:w="622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发明专利</w:t>
                  </w:r>
                </w:p>
              </w:tc>
              <w:tc>
                <w:tcPr>
                  <w:tcW w:w="1171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一种微电网有功无功综合协调控制方法及装置</w:t>
                  </w:r>
                </w:p>
              </w:tc>
              <w:tc>
                <w:tcPr>
                  <w:tcW w:w="770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CN107994590B</w:t>
                  </w:r>
                </w:p>
              </w:tc>
              <w:tc>
                <w:tcPr>
                  <w:tcW w:w="997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南京国电南自电网自动化有限公司</w:t>
                  </w:r>
                </w:p>
              </w:tc>
              <w:tc>
                <w:tcPr>
                  <w:tcW w:w="1438" w:type="pct"/>
                  <w:vAlign w:val="center"/>
                </w:tcPr>
                <w:p w:rsidR="00237B99" w:rsidRDefault="00910E84">
                  <w:pPr>
                    <w:widowControl/>
                    <w:textAlignment w:val="center"/>
                    <w:rPr>
                      <w:rFonts w:ascii="仿宋_GB2312" w:eastAsia="仿宋_GB2312" w:hAnsi="仿宋_GB2312" w:cs="仿宋_GB2312"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Cs/>
                      <w:kern w:val="0"/>
                      <w:sz w:val="22"/>
                      <w:szCs w:val="22"/>
                    </w:rPr>
                    <w:t>欧阳逸风;夏彦辉;董宸;孙丹;邹宇;王强强</w:t>
                  </w:r>
                </w:p>
              </w:tc>
            </w:tr>
          </w:tbl>
          <w:p w:rsidR="00237B99" w:rsidRDefault="00237B99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</w:p>
        </w:tc>
      </w:tr>
      <w:tr w:rsidR="00237B99">
        <w:trPr>
          <w:trHeight w:val="1958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:rsidR="00237B99" w:rsidRDefault="00910E8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郭创新</w:t>
            </w:r>
            <w:r>
              <w:rPr>
                <w:rStyle w:val="title1"/>
                <w:rFonts w:eastAsia="仿宋_GB2312"/>
                <w:b w:val="0"/>
                <w:color w:val="auto"/>
              </w:rPr>
              <w:t>，排名</w:t>
            </w:r>
            <w:r>
              <w:rPr>
                <w:rStyle w:val="title1"/>
                <w:rFonts w:eastAsia="仿宋_GB2312"/>
                <w:b w:val="0"/>
                <w:color w:val="auto"/>
              </w:rPr>
              <w:t>1</w:t>
            </w:r>
            <w:r>
              <w:rPr>
                <w:rStyle w:val="title1"/>
                <w:rFonts w:eastAsia="仿宋_GB2312"/>
                <w:b w:val="0"/>
                <w:color w:val="auto"/>
              </w:rPr>
              <w:t>，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教授</w:t>
            </w:r>
            <w:r>
              <w:rPr>
                <w:rStyle w:val="title1"/>
                <w:rFonts w:eastAsia="仿宋_GB2312"/>
                <w:b w:val="0"/>
                <w:color w:val="auto"/>
              </w:rPr>
              <w:t>，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浙江大学</w:t>
            </w:r>
            <w:r>
              <w:rPr>
                <w:rStyle w:val="title1"/>
                <w:rFonts w:eastAsia="仿宋_GB2312"/>
                <w:b w:val="0"/>
                <w:color w:val="auto"/>
              </w:rPr>
              <w:t>；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李付林，排名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2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，正高级工程师，完成单位：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国网浙江省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电力有限公司金华供电公司，工作单位：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国网浙江省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电力有限公司培训中心；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刘文彪，排名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3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，高级工程师，南京国电南自电网自动化有限公司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张有兵，排名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4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，教授，浙江工业大学；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何明锋，排名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5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，高级工程师，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国网浙江省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电力有限公司金华供电公司；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钱肖，排名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6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，教授级高级工程师，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国网浙江省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电力有限公司金华供电公司；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颜俊，排名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7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，高级工程师，中国长江三峡集团有限公司；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侯健生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8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，高级工程师，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国网浙江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省电力有限公司金华供电公司；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刘永春，排名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9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，高级工程师，国电南瑞南京控制系统有限公司；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孙丹，排名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10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，高级工程师，南京国电南自电网自动化有限公司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江艺宝，排名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11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，助理研究员，完成单位：浙江大学，工作单位：山东大学；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张波，排名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12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，正高级工程师，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国网浙江省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电力有限公司金华供电公司；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蒋雪冬，排名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13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，高级工程师，浙江浙达能源科技有限公司</w:t>
            </w:r>
          </w:p>
          <w:p w:rsidR="00237B99" w:rsidRDefault="00237B99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237B99">
        <w:trPr>
          <w:trHeight w:val="1986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:rsidR="00237B99" w:rsidRDefault="00910E84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/>
                <w:b w:val="0"/>
                <w:color w:val="auto"/>
              </w:rPr>
              <w:t>1.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 xml:space="preserve"> 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国网浙江省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电力有限公司金华供电公司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 xml:space="preserve">2. 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浙江大学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 xml:space="preserve">3. 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中国长江三峡集团有限公司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 xml:space="preserve">4. 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浙江工业大学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 xml:space="preserve">5. 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南京国电南自电网自动化有限公司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 xml:space="preserve">6. 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国电南瑞南京控制系统有限公司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 xml:space="preserve">7. 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浙江浙达能源科技有限公司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 xml:space="preserve">8. 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长峡电能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(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广东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 xml:space="preserve">) 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有限公司</w:t>
            </w:r>
          </w:p>
          <w:p w:rsidR="00237B99" w:rsidRDefault="00910E84">
            <w:pPr>
              <w:jc w:val="left"/>
              <w:rPr>
                <w:rStyle w:val="title1"/>
                <w:rFonts w:eastAsia="仿宋_GB2312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 xml:space="preserve">9. </w:t>
            </w:r>
            <w:proofErr w:type="gramStart"/>
            <w:r>
              <w:rPr>
                <w:rStyle w:val="title1"/>
                <w:rFonts w:eastAsia="仿宋_GB2312" w:hint="eastAsia"/>
                <w:b w:val="0"/>
                <w:color w:val="auto"/>
              </w:rPr>
              <w:t>国网浙江省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auto"/>
              </w:rPr>
              <w:t>电力有限公司信息通信分公司</w:t>
            </w:r>
          </w:p>
        </w:tc>
      </w:tr>
      <w:tr w:rsidR="00237B99">
        <w:trPr>
          <w:trHeight w:val="692"/>
        </w:trPr>
        <w:tc>
          <w:tcPr>
            <w:tcW w:w="1872" w:type="dxa"/>
            <w:vAlign w:val="center"/>
          </w:tcPr>
          <w:p w:rsidR="00237B99" w:rsidRDefault="00910E8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804" w:type="dxa"/>
            <w:vAlign w:val="center"/>
          </w:tcPr>
          <w:p w:rsidR="00237B99" w:rsidRDefault="00910E84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asciiTheme="minorHAnsi" w:eastAsia="仿宋_GB2312" w:hAnsiTheme="minorHAnsi" w:cstheme="minorBidi" w:hint="eastAsia"/>
                <w:b w:val="0"/>
                <w:color w:val="auto"/>
              </w:rPr>
              <w:t>浙江省物联网产业协会</w:t>
            </w:r>
          </w:p>
        </w:tc>
      </w:tr>
      <w:tr w:rsidR="00237B99">
        <w:trPr>
          <w:trHeight w:val="3683"/>
        </w:trPr>
        <w:tc>
          <w:tcPr>
            <w:tcW w:w="1872" w:type="dxa"/>
            <w:vAlign w:val="center"/>
          </w:tcPr>
          <w:p w:rsidR="00237B99" w:rsidRDefault="00910E84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804" w:type="dxa"/>
            <w:vAlign w:val="center"/>
          </w:tcPr>
          <w:p w:rsidR="00237B99" w:rsidRDefault="00910E84">
            <w:pPr>
              <w:ind w:firstLineChars="200" w:firstLine="480"/>
              <w:contextualSpacing/>
              <w:rPr>
                <w:rStyle w:val="title1"/>
                <w:rFonts w:ascii="仿宋" w:eastAsia="仿宋" w:hAnsi="仿宋"/>
                <w:b w:val="0"/>
                <w:color w:val="auto"/>
              </w:rPr>
            </w:pPr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本项目针对地区电网中可调资源数量多、分布广及不确定性强等特点，提出数据驱动的强不确定性海量分散资源多尺度预测方法，采用多元异构负荷画像方法对优质资源进行精细化辨识，并通过“站-线-变-户”分层动态聚合方法构建集群外特性，显著提高了强不确定性海量分散资源可调容量分析的准确性。考虑地区电网安全、经济、低碳运行面临的多重不确定性因素，首创地区电网经济运行</w:t>
            </w:r>
            <w:proofErr w:type="gramStart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域理论</w:t>
            </w:r>
            <w:proofErr w:type="gramEnd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与方法，从时空两个维度出发提出了</w:t>
            </w:r>
            <w:proofErr w:type="gramStart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源网荷</w:t>
            </w:r>
            <w:proofErr w:type="gramEnd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储响应融合的地区电网多目标动态优化策略，并提出了</w:t>
            </w:r>
            <w:proofErr w:type="gramStart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多微网接</w:t>
            </w:r>
            <w:proofErr w:type="gramEnd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入的分层分区</w:t>
            </w:r>
            <w:proofErr w:type="gramStart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分类配微协</w:t>
            </w:r>
            <w:proofErr w:type="gramEnd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同解聚控制策略，增强了地区电网应对不确定性因素的能力。面向</w:t>
            </w:r>
            <w:proofErr w:type="gramStart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源网荷储资源</w:t>
            </w:r>
            <w:proofErr w:type="gramEnd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聚合响应的多层次、多主体协同需求，设计了“调度-运营-响应”三层级调控框架，研制了面向海量分散资源的采集-传输-聚合等系列装置，并开发了融合可信交易机制的市县一体化</w:t>
            </w:r>
            <w:proofErr w:type="gramStart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源网荷</w:t>
            </w:r>
            <w:proofErr w:type="gramEnd"/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储精准调控系统，使地区电网负荷响应率提升至95%以上。项目成果已在省内外多家单位开展应用，研制的装置已实现规模化生产，经济效益和社会效益显著。</w:t>
            </w:r>
          </w:p>
          <w:p w:rsidR="00237B99" w:rsidRDefault="00910E84">
            <w:pPr>
              <w:ind w:firstLineChars="200" w:firstLine="480"/>
              <w:contextualSpacing/>
              <w:jc w:val="left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该提名书中的单位、人员排序和前述内容属实。提名该项目申报202</w:t>
            </w:r>
            <w:r w:rsidR="000962E7">
              <w:rPr>
                <w:rStyle w:val="title1"/>
                <w:rFonts w:ascii="仿宋" w:eastAsia="仿宋" w:hAnsi="仿宋"/>
                <w:b w:val="0"/>
                <w:color w:val="auto"/>
              </w:rPr>
              <w:t>3</w:t>
            </w:r>
            <w:r>
              <w:rPr>
                <w:rStyle w:val="title1"/>
                <w:rFonts w:ascii="仿宋" w:eastAsia="仿宋" w:hAnsi="仿宋" w:hint="eastAsia"/>
                <w:b w:val="0"/>
                <w:color w:val="auto"/>
              </w:rPr>
              <w:t>年度浙江省科学技术进步奖一等奖。</w:t>
            </w:r>
          </w:p>
        </w:tc>
      </w:tr>
    </w:tbl>
    <w:p w:rsidR="00237B99" w:rsidRDefault="00237B99" w:rsidP="003F4DF8">
      <w:pPr>
        <w:rPr>
          <w:rFonts w:hint="eastAsia"/>
        </w:rPr>
      </w:pPr>
      <w:bookmarkStart w:id="0" w:name="_GoBack"/>
      <w:bookmarkEnd w:id="0"/>
    </w:p>
    <w:sectPr w:rsidR="00237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D16" w:rsidRDefault="00094D16" w:rsidP="000962E7">
      <w:r>
        <w:separator/>
      </w:r>
    </w:p>
  </w:endnote>
  <w:endnote w:type="continuationSeparator" w:id="0">
    <w:p w:rsidR="00094D16" w:rsidRDefault="00094D16" w:rsidP="0009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  <w:embedBold r:id="rId1" w:subsetted="1" w:fontKey="{FD29ED3F-AB07-4FD5-99B8-30B61EC2C46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B021CDA-D406-4CA1-831B-A7D5ECC7B88D}"/>
    <w:embedBold r:id="rId3" w:subsetted="1" w:fontKey="{3C56E06F-3832-4B09-8719-990EDC941284}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FE8F54D-5BAB-4FE6-98A0-0530EB0D67B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D16" w:rsidRDefault="00094D16" w:rsidP="000962E7">
      <w:r>
        <w:separator/>
      </w:r>
    </w:p>
  </w:footnote>
  <w:footnote w:type="continuationSeparator" w:id="0">
    <w:p w:rsidR="00094D16" w:rsidRDefault="00094D16" w:rsidP="00096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YwN2Q0ZjkxMDAzZTI5MTIyZDEyMThmNGYzNGNmZWMifQ=="/>
  </w:docVars>
  <w:rsids>
    <w:rsidRoot w:val="007A378A"/>
    <w:rsid w:val="00012385"/>
    <w:rsid w:val="00094D16"/>
    <w:rsid w:val="000962E7"/>
    <w:rsid w:val="00133845"/>
    <w:rsid w:val="001963E6"/>
    <w:rsid w:val="001B4446"/>
    <w:rsid w:val="001C5C00"/>
    <w:rsid w:val="00230049"/>
    <w:rsid w:val="00237B99"/>
    <w:rsid w:val="003F4DF8"/>
    <w:rsid w:val="00444BBE"/>
    <w:rsid w:val="004D3794"/>
    <w:rsid w:val="005956FF"/>
    <w:rsid w:val="005D066F"/>
    <w:rsid w:val="00653BB3"/>
    <w:rsid w:val="007A378A"/>
    <w:rsid w:val="00821DF8"/>
    <w:rsid w:val="00877230"/>
    <w:rsid w:val="008B76F6"/>
    <w:rsid w:val="00910E84"/>
    <w:rsid w:val="00937C02"/>
    <w:rsid w:val="009A14DA"/>
    <w:rsid w:val="00A2366E"/>
    <w:rsid w:val="00A6128C"/>
    <w:rsid w:val="00B272D7"/>
    <w:rsid w:val="00B531AD"/>
    <w:rsid w:val="00C03F73"/>
    <w:rsid w:val="00C23CBD"/>
    <w:rsid w:val="00CC64D3"/>
    <w:rsid w:val="00D564F8"/>
    <w:rsid w:val="00D629C6"/>
    <w:rsid w:val="00ED1D69"/>
    <w:rsid w:val="047559C0"/>
    <w:rsid w:val="04891E6A"/>
    <w:rsid w:val="06440D68"/>
    <w:rsid w:val="07911E6D"/>
    <w:rsid w:val="10C00604"/>
    <w:rsid w:val="113A21A1"/>
    <w:rsid w:val="121E62E8"/>
    <w:rsid w:val="144B6159"/>
    <w:rsid w:val="14B90F58"/>
    <w:rsid w:val="16DE0BDF"/>
    <w:rsid w:val="19701069"/>
    <w:rsid w:val="1BCE709D"/>
    <w:rsid w:val="1BED0AD9"/>
    <w:rsid w:val="1EB01CDB"/>
    <w:rsid w:val="240B5FA0"/>
    <w:rsid w:val="2E3E0494"/>
    <w:rsid w:val="343B564E"/>
    <w:rsid w:val="362C24D2"/>
    <w:rsid w:val="3835198A"/>
    <w:rsid w:val="390F7EBE"/>
    <w:rsid w:val="39CD4E2C"/>
    <w:rsid w:val="3C106222"/>
    <w:rsid w:val="3E5A63AB"/>
    <w:rsid w:val="3F671D2B"/>
    <w:rsid w:val="41BD4926"/>
    <w:rsid w:val="45436664"/>
    <w:rsid w:val="49F302C0"/>
    <w:rsid w:val="4C823B6B"/>
    <w:rsid w:val="4DCB74A0"/>
    <w:rsid w:val="4EF13E61"/>
    <w:rsid w:val="51E81F17"/>
    <w:rsid w:val="52CB6777"/>
    <w:rsid w:val="563E1843"/>
    <w:rsid w:val="56B343E9"/>
    <w:rsid w:val="5AFF63F3"/>
    <w:rsid w:val="5D74154F"/>
    <w:rsid w:val="600A073C"/>
    <w:rsid w:val="62CC7D78"/>
    <w:rsid w:val="635406E2"/>
    <w:rsid w:val="63DF02D4"/>
    <w:rsid w:val="663576A2"/>
    <w:rsid w:val="6DC328CE"/>
    <w:rsid w:val="712765C6"/>
    <w:rsid w:val="72AB5552"/>
    <w:rsid w:val="75465825"/>
    <w:rsid w:val="75CB06B8"/>
    <w:rsid w:val="776D5A49"/>
    <w:rsid w:val="7BB35E76"/>
    <w:rsid w:val="7ECC6D54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563F3"/>
  <w15:docId w15:val="{F362DE26-0DA2-45CA-A20C-08AA8350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</w:style>
  <w:style w:type="paragraph" w:styleId="a5">
    <w:name w:val="Body Text"/>
    <w:basedOn w:val="a"/>
    <w:link w:val="a6"/>
    <w:semiHidden/>
    <w:unhideWhenUsed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正文文本 字符"/>
    <w:basedOn w:val="a0"/>
    <w:link w:val="a5"/>
    <w:semiHidden/>
    <w:qFormat/>
    <w:rPr>
      <w:rFonts w:ascii="Times New Roman" w:eastAsia="宋体" w:hAnsi="Times New Roman" w:cs="Times New Roman"/>
      <w:szCs w:val="20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ZJU</dc:creator>
  <cp:lastModifiedBy>Gang H</cp:lastModifiedBy>
  <cp:revision>4</cp:revision>
  <dcterms:created xsi:type="dcterms:W3CDTF">2024-08-08T14:25:00Z</dcterms:created>
  <dcterms:modified xsi:type="dcterms:W3CDTF">2024-08-08T14:29:00Z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46B726B9D3874CFABDF1D993EC1EDF3F_12</vt:lpwstr>
  </property>
</Properties>
</file>