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2A067" w14:textId="77777777" w:rsidR="004571B4" w:rsidRDefault="00EC6F10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color w:val="auto"/>
          <w:sz w:val="24"/>
          <w:szCs w:val="24"/>
        </w:rPr>
        <w:t>附件</w:t>
      </w:r>
      <w:r>
        <w:rPr>
          <w:rFonts w:ascii="宋体" w:eastAsia="宋体" w:hAnsi="宋体" w:hint="eastAsia"/>
          <w:b w:val="0"/>
          <w:color w:val="auto"/>
          <w:sz w:val="24"/>
          <w:szCs w:val="24"/>
        </w:rPr>
        <w:t>1</w:t>
      </w:r>
    </w:p>
    <w:p w14:paraId="078EE1AA" w14:textId="77777777" w:rsidR="004571B4" w:rsidRDefault="00EC6F10">
      <w:pPr>
        <w:pStyle w:val="1"/>
        <w:spacing w:before="0" w:afterLines="50" w:after="156" w:line="500" w:lineRule="exact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中国高校产学研创新基金</w:t>
      </w:r>
      <w:r>
        <w:rPr>
          <w:rFonts w:ascii="宋体" w:eastAsia="宋体" w:hAnsi="宋体" w:hint="eastAsia"/>
          <w:color w:val="000000"/>
          <w:szCs w:val="32"/>
        </w:rPr>
        <w:t>-</w:t>
      </w:r>
      <w:r>
        <w:rPr>
          <w:rFonts w:ascii="宋体" w:eastAsia="宋体" w:hAnsi="宋体" w:hint="eastAsia"/>
          <w:color w:val="000000"/>
          <w:szCs w:val="32"/>
        </w:rPr>
        <w:t>具身智能机器人创新教育专项</w:t>
      </w:r>
    </w:p>
    <w:p w14:paraId="67735597" w14:textId="77777777" w:rsidR="004571B4" w:rsidRDefault="00EC6F10">
      <w:pPr>
        <w:pStyle w:val="1"/>
        <w:spacing w:before="0" w:afterLines="100" w:after="312" w:line="500" w:lineRule="exact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申请指南说明</w:t>
      </w:r>
    </w:p>
    <w:p w14:paraId="7830FDAE" w14:textId="77777777" w:rsidR="004571B4" w:rsidRDefault="00EC6F10">
      <w:pPr>
        <w:spacing w:line="500" w:lineRule="exact"/>
        <w:ind w:firstLineChars="200" w:firstLine="480"/>
        <w:jc w:val="both"/>
      </w:pPr>
      <w:r>
        <w:rPr>
          <w:rFonts w:hint="eastAsia"/>
        </w:rPr>
        <w:t>根据</w:t>
      </w:r>
      <w:r>
        <w:rPr>
          <w:rFonts w:hint="eastAsia"/>
        </w:rPr>
        <w:t xml:space="preserve"> </w:t>
      </w:r>
      <w:r>
        <w:rPr>
          <w:rFonts w:hint="eastAsia"/>
        </w:rPr>
        <w:t>《关于申报</w:t>
      </w:r>
      <w:r>
        <w:rPr>
          <w:rFonts w:hint="eastAsia"/>
        </w:rPr>
        <w:t>202</w:t>
      </w:r>
      <w:r>
        <w:t>5</w:t>
      </w:r>
      <w:r>
        <w:rPr>
          <w:rFonts w:hint="eastAsia"/>
        </w:rPr>
        <w:t>年中国高校产学研创新基金的通知》</w:t>
      </w:r>
      <w:r>
        <w:rPr>
          <w:rFonts w:hint="eastAsia"/>
        </w:rPr>
        <w:t>(</w:t>
      </w:r>
      <w:r>
        <w:rPr>
          <w:rFonts w:hint="eastAsia"/>
        </w:rPr>
        <w:t>教科发中心函〔</w:t>
      </w:r>
      <w:r>
        <w:rPr>
          <w:rFonts w:hint="eastAsia"/>
        </w:rPr>
        <w:t>202</w:t>
      </w:r>
      <w:r>
        <w:t>5</w:t>
      </w:r>
      <w:r>
        <w:rPr>
          <w:rFonts w:hint="eastAsia"/>
        </w:rPr>
        <w:t>〕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的相关要求，教育部高等学校科学研究发展中心与纯米科技（上海）股份有限公司、上海开普勒机器人有限公司联合设立“</w:t>
      </w:r>
      <w:r>
        <w:rPr>
          <w:rFonts w:hint="eastAsia"/>
        </w:rPr>
        <w:t>2</w:t>
      </w:r>
      <w:r>
        <w:t>025</w:t>
      </w:r>
      <w:r>
        <w:rPr>
          <w:rFonts w:hint="eastAsia"/>
        </w:rPr>
        <w:t>年中国高校产学研创新基金—具身智能机器人创新专项”，</w:t>
      </w:r>
      <w:r>
        <w:rPr>
          <w:rFonts w:cs="Times New Roman" w:hint="eastAsia"/>
          <w:iCs/>
          <w:color w:val="000000"/>
        </w:rPr>
        <w:t>面向具身智能机器人技术在教育领域的科研与教学应用，以“产学研融合、科技赋能教育”为核心，聚焦具身智能机器人与人工智能、大数据、大模型、数字孪生、</w:t>
      </w:r>
      <w:r>
        <w:rPr>
          <w:rFonts w:cs="Times New Roman" w:hint="eastAsia"/>
          <w:iCs/>
          <w:color w:val="000000"/>
        </w:rPr>
        <w:t>5G</w:t>
      </w:r>
      <w:r>
        <w:rPr>
          <w:rFonts w:cs="Times New Roman" w:hint="eastAsia"/>
          <w:iCs/>
          <w:color w:val="000000"/>
        </w:rPr>
        <w:t>与云计算等技术的协同创新，完善机器人领域人才培养体系，推动机器人技术从实验室走向产业端应用。</w:t>
      </w:r>
    </w:p>
    <w:p w14:paraId="6A6CC76C" w14:textId="77777777" w:rsidR="004571B4" w:rsidRDefault="00EC6F10">
      <w:pPr>
        <w:pStyle w:val="2"/>
        <w:numPr>
          <w:ilvl w:val="0"/>
          <w:numId w:val="0"/>
        </w:numPr>
        <w:spacing w:beforeLines="0" w:before="163" w:line="500" w:lineRule="exact"/>
        <w:ind w:firstLineChars="200" w:firstLine="560"/>
        <w:rPr>
          <w:color w:val="000000"/>
        </w:rPr>
      </w:pPr>
      <w:r>
        <w:rPr>
          <w:rFonts w:hint="eastAsia"/>
          <w:color w:val="000000"/>
        </w:rPr>
        <w:t>一、课题方向</w:t>
      </w:r>
    </w:p>
    <w:p w14:paraId="6C0D9D64" w14:textId="77777777" w:rsidR="004571B4" w:rsidRDefault="00EC6F10">
      <w:pPr>
        <w:spacing w:line="500" w:lineRule="exact"/>
        <w:ind w:firstLineChars="200" w:firstLine="480"/>
        <w:jc w:val="both"/>
      </w:pPr>
      <w:r>
        <w:rPr>
          <w:rFonts w:cs="Times New Roman" w:hint="eastAsia"/>
          <w:iCs/>
          <w:color w:val="000000"/>
        </w:rPr>
        <w:t>1.</w:t>
      </w:r>
      <w:r>
        <w:rPr>
          <w:rFonts w:hint="eastAsia"/>
        </w:rPr>
        <w:t>“具身智能机器人创新专项”支持科研团队在多模态大模型、通用智能体、灵巧手精细操控、视</w:t>
      </w:r>
      <w:r>
        <w:rPr>
          <w:rFonts w:hint="eastAsia"/>
        </w:rPr>
        <w:t>-</w:t>
      </w:r>
      <w:r>
        <w:rPr>
          <w:rFonts w:hint="eastAsia"/>
        </w:rPr>
        <w:t>触</w:t>
      </w:r>
      <w:r>
        <w:rPr>
          <w:rFonts w:hint="eastAsia"/>
        </w:rPr>
        <w:t>-</w:t>
      </w:r>
      <w:r>
        <w:rPr>
          <w:rFonts w:hint="eastAsia"/>
        </w:rPr>
        <w:t>力融合感知、全身协同运动控制、人机共融交互、数字孪生训练、持续学习与技能进化、机器人操作系统、</w:t>
      </w:r>
      <w:r>
        <w:rPr>
          <w:rFonts w:hint="eastAsia"/>
        </w:rPr>
        <w:t>Sim2Real</w:t>
      </w:r>
      <w:r>
        <w:rPr>
          <w:rFonts w:hint="eastAsia"/>
        </w:rPr>
        <w:t>迁移学习等前沿技术及其在柔性制造、精密装配、医疗康养</w:t>
      </w:r>
      <w:r>
        <w:rPr>
          <w:rFonts w:hint="eastAsia"/>
        </w:rPr>
        <w:t>、商用服务、特种作业、仓储物流、家庭服务、教育科研、智能网联汽车测试、智慧商超等领域的创新应用研究。以技术突破推动教育变革与人才培养，助力新质生产力发展。</w:t>
      </w:r>
    </w:p>
    <w:p w14:paraId="31A25966" w14:textId="77777777" w:rsidR="004571B4" w:rsidRDefault="00EC6F10">
      <w:pPr>
        <w:spacing w:line="500" w:lineRule="exact"/>
        <w:ind w:firstLine="480"/>
        <w:rPr>
          <w:vanish/>
          <w:color w:val="000000" w:themeColor="text1"/>
        </w:rPr>
      </w:pPr>
      <w:r>
        <w:rPr>
          <w:rFonts w:cs="Times New Roman" w:hint="eastAsia"/>
          <w:iCs/>
          <w:color w:val="000000"/>
        </w:rPr>
        <w:t>2</w:t>
      </w:r>
      <w:r>
        <w:rPr>
          <w:rFonts w:cs="Times New Roman"/>
          <w:iCs/>
          <w:color w:val="000000"/>
        </w:rPr>
        <w:t>.</w:t>
      </w:r>
      <w:r>
        <w:rPr>
          <w:rFonts w:hint="eastAsia"/>
        </w:rPr>
        <w:t>“具身智能机器人创新专项”的</w:t>
      </w:r>
      <w:r>
        <w:rPr>
          <w:rFonts w:cs="Times New Roman" w:hint="eastAsia"/>
          <w:iCs/>
          <w:color w:val="000000"/>
        </w:rPr>
        <w:t>申请截止时间为</w:t>
      </w:r>
      <w:r>
        <w:rPr>
          <w:rFonts w:cs="Times New Roman" w:hint="eastAsia"/>
          <w:iCs/>
          <w:color w:val="000000"/>
        </w:rPr>
        <w:t>2026</w:t>
      </w:r>
      <w:r>
        <w:rPr>
          <w:rFonts w:cs="Times New Roman" w:hint="eastAsia"/>
          <w:iCs/>
          <w:color w:val="000000"/>
        </w:rPr>
        <w:t>年</w:t>
      </w:r>
      <w:r>
        <w:rPr>
          <w:rFonts w:cs="Times New Roman" w:hint="eastAsia"/>
          <w:iCs/>
          <w:color w:val="000000"/>
        </w:rPr>
        <w:t>5</w:t>
      </w:r>
      <w:r>
        <w:rPr>
          <w:rFonts w:cs="Times New Roman" w:hint="eastAsia"/>
          <w:iCs/>
          <w:color w:val="000000"/>
        </w:rPr>
        <w:t>月</w:t>
      </w:r>
      <w:r>
        <w:rPr>
          <w:rFonts w:cs="Times New Roman" w:hint="eastAsia"/>
          <w:iCs/>
          <w:color w:val="000000"/>
        </w:rPr>
        <w:t xml:space="preserve"> 30</w:t>
      </w:r>
      <w:r>
        <w:rPr>
          <w:rFonts w:cs="Times New Roman" w:hint="eastAsia"/>
          <w:iCs/>
          <w:color w:val="000000"/>
        </w:rPr>
        <w:t>日，计划执行时间为</w:t>
      </w:r>
      <w:r>
        <w:rPr>
          <w:rFonts w:cs="Times New Roman" w:hint="eastAsia"/>
          <w:iCs/>
          <w:color w:val="000000" w:themeColor="text1"/>
        </w:rPr>
        <w:t>2026</w:t>
      </w:r>
      <w:r>
        <w:rPr>
          <w:rFonts w:cs="Times New Roman" w:hint="eastAsia"/>
          <w:iCs/>
          <w:color w:val="000000" w:themeColor="text1"/>
        </w:rPr>
        <w:t>年</w:t>
      </w:r>
      <w:r>
        <w:rPr>
          <w:rFonts w:cs="Times New Roman"/>
          <w:iCs/>
          <w:color w:val="000000" w:themeColor="text1"/>
        </w:rPr>
        <w:t>9</w:t>
      </w:r>
      <w:r>
        <w:rPr>
          <w:rFonts w:cs="Times New Roman" w:hint="eastAsia"/>
          <w:iCs/>
          <w:color w:val="000000" w:themeColor="text1"/>
        </w:rPr>
        <w:t>月</w:t>
      </w:r>
      <w:r>
        <w:rPr>
          <w:rFonts w:cs="Times New Roman" w:hint="eastAsia"/>
          <w:iCs/>
          <w:color w:val="000000" w:themeColor="text1"/>
        </w:rPr>
        <w:t>1</w:t>
      </w:r>
      <w:r>
        <w:rPr>
          <w:rFonts w:cs="Times New Roman" w:hint="eastAsia"/>
          <w:iCs/>
          <w:color w:val="000000" w:themeColor="text1"/>
        </w:rPr>
        <w:t>日</w:t>
      </w:r>
      <w:r>
        <w:rPr>
          <w:color w:val="000000" w:themeColor="text1"/>
        </w:rPr>
        <w:t>～</w:t>
      </w:r>
      <w:r>
        <w:rPr>
          <w:rFonts w:cs="Times New Roman" w:hint="eastAsia"/>
          <w:iCs/>
          <w:color w:val="000000" w:themeColor="text1"/>
        </w:rPr>
        <w:t>2027</w:t>
      </w:r>
      <w:r>
        <w:rPr>
          <w:rFonts w:cs="Times New Roman" w:hint="eastAsia"/>
          <w:iCs/>
          <w:color w:val="000000" w:themeColor="text1"/>
        </w:rPr>
        <w:t>年</w:t>
      </w:r>
      <w:r>
        <w:rPr>
          <w:rFonts w:cs="Times New Roman"/>
          <w:iCs/>
          <w:color w:val="000000" w:themeColor="text1"/>
        </w:rPr>
        <w:t>8</w:t>
      </w:r>
      <w:r>
        <w:rPr>
          <w:rFonts w:cs="Times New Roman" w:hint="eastAsia"/>
          <w:iCs/>
          <w:color w:val="000000" w:themeColor="text1"/>
        </w:rPr>
        <w:t>月</w:t>
      </w:r>
      <w:r>
        <w:rPr>
          <w:rFonts w:cs="Times New Roman" w:hint="eastAsia"/>
          <w:iCs/>
          <w:color w:val="000000" w:themeColor="text1"/>
        </w:rPr>
        <w:t>3</w:t>
      </w:r>
      <w:r>
        <w:rPr>
          <w:rFonts w:cs="Times New Roman"/>
          <w:iCs/>
          <w:color w:val="000000" w:themeColor="text1"/>
        </w:rPr>
        <w:t>1</w:t>
      </w:r>
      <w:r>
        <w:rPr>
          <w:rFonts w:cs="Times New Roman" w:hint="eastAsia"/>
          <w:iCs/>
          <w:color w:val="000000" w:themeColor="text1"/>
        </w:rPr>
        <w:t>日</w:t>
      </w:r>
      <w:r>
        <w:rPr>
          <w:rFonts w:cs="Times New Roman" w:hint="eastAsia"/>
          <w:iCs/>
          <w:color w:val="000000"/>
        </w:rPr>
        <w:t>，</w:t>
      </w:r>
      <w:r>
        <w:rPr>
          <w:rFonts w:hint="eastAsia"/>
          <w:color w:val="000000" w:themeColor="text1"/>
          <w:kern w:val="24"/>
        </w:rPr>
        <w:t>可根据课题复杂程度适度延长执行周期，最长不超过两年。</w:t>
      </w:r>
    </w:p>
    <w:p w14:paraId="3C4C6550" w14:textId="77777777" w:rsidR="004571B4" w:rsidRDefault="004571B4">
      <w:pPr>
        <w:spacing w:line="500" w:lineRule="exact"/>
        <w:ind w:firstLine="480"/>
        <w:rPr>
          <w:color w:val="000000" w:themeColor="text1"/>
        </w:rPr>
      </w:pPr>
    </w:p>
    <w:p w14:paraId="59D77DEF" w14:textId="77777777" w:rsidR="004571B4" w:rsidRDefault="00EC6F10">
      <w:pPr>
        <w:spacing w:line="500" w:lineRule="exact"/>
        <w:ind w:firstLineChars="200" w:firstLine="480"/>
        <w:jc w:val="both"/>
      </w:pPr>
      <w:r>
        <w:rPr>
          <w:rFonts w:cs="Times New Roman" w:hint="eastAsia"/>
          <w:iCs/>
          <w:color w:val="000000"/>
        </w:rPr>
        <w:t>3.</w:t>
      </w:r>
      <w:r>
        <w:rPr>
          <w:rFonts w:hint="eastAsia"/>
        </w:rPr>
        <w:t>“具身智能机器人创新专项”为每个立项课题提供总经费</w:t>
      </w:r>
      <w:r>
        <w:t>10</w:t>
      </w:r>
      <w:r>
        <w:rPr>
          <w:rFonts w:hint="eastAsia"/>
        </w:rPr>
        <w:t>万元至</w:t>
      </w:r>
      <w:r>
        <w:t>50</w:t>
      </w:r>
      <w:r>
        <w:rPr>
          <w:rFonts w:hint="eastAsia"/>
        </w:rPr>
        <w:t>万元的课题研究经费及科研软硬件平台支持，其中课题研究经费</w:t>
      </w:r>
      <w:r>
        <w:t>5</w:t>
      </w:r>
      <w:r>
        <w:rPr>
          <w:rFonts w:hint="eastAsia"/>
        </w:rPr>
        <w:t>万元至</w:t>
      </w:r>
      <w:r>
        <w:t>25</w:t>
      </w:r>
      <w:r>
        <w:rPr>
          <w:rFonts w:hint="eastAsia"/>
        </w:rPr>
        <w:t>万元，</w:t>
      </w:r>
      <w:r>
        <w:rPr>
          <w:rFonts w:cs="Times New Roman" w:hint="eastAsia"/>
          <w:iCs/>
          <w:color w:val="000000"/>
        </w:rPr>
        <w:t>平台资源优先向技术创新性强、教学适配度高的课题倾斜。</w:t>
      </w:r>
    </w:p>
    <w:p w14:paraId="395957F5" w14:textId="77777777" w:rsidR="004571B4" w:rsidRDefault="00EC6F10">
      <w:pPr>
        <w:spacing w:line="500" w:lineRule="exact"/>
        <w:ind w:firstLineChars="20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hint="eastAsia"/>
          <w:iCs/>
          <w:color w:val="000000"/>
        </w:rPr>
        <w:t>4.</w:t>
      </w:r>
      <w:r>
        <w:rPr>
          <w:rFonts w:hint="eastAsia"/>
        </w:rPr>
        <w:t>“具身智能机器人创新专项”</w:t>
      </w:r>
      <w:r>
        <w:rPr>
          <w:rFonts w:cs="Times New Roman" w:hint="eastAsia"/>
          <w:iCs/>
          <w:color w:val="000000"/>
        </w:rPr>
        <w:t>课题选题方向按院校类型分为两部分</w:t>
      </w:r>
      <w:r>
        <w:rPr>
          <w:rFonts w:cs="Times New Roman" w:hint="eastAsia"/>
          <w:iCs/>
          <w:color w:val="000000"/>
        </w:rPr>
        <w:t>(</w:t>
      </w:r>
      <w:r>
        <w:rPr>
          <w:rFonts w:cs="Times New Roman" w:hint="eastAsia"/>
          <w:iCs/>
          <w:color w:val="000000"/>
        </w:rPr>
        <w:t>表一和表二</w:t>
      </w:r>
      <w:r>
        <w:rPr>
          <w:rFonts w:cs="Times New Roman" w:hint="eastAsia"/>
          <w:iCs/>
          <w:color w:val="000000"/>
        </w:rPr>
        <w:t>)</w:t>
      </w:r>
      <w:r>
        <w:rPr>
          <w:rFonts w:cs="Times New Roman" w:hint="eastAsia"/>
          <w:iCs/>
          <w:color w:val="000000"/>
        </w:rPr>
        <w:t>：表一面向普通本科院校，侧重具身智能机器人相关核心技术研发与理论应用；表二面向高等职业院校，侧重机器人相关实训教学与实训场景落地。</w:t>
      </w:r>
    </w:p>
    <w:p w14:paraId="72E3AFC3" w14:textId="77777777" w:rsidR="004571B4" w:rsidRDefault="00EC6F10">
      <w:pPr>
        <w:spacing w:line="500" w:lineRule="exact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 w:hint="eastAsia"/>
          <w:b/>
          <w:iCs/>
        </w:rPr>
        <w:lastRenderedPageBreak/>
        <w:t>表一</w:t>
      </w:r>
      <w:r>
        <w:rPr>
          <w:rFonts w:ascii="Times New Roman" w:hAnsi="Times New Roman" w:cs="Times New Roman" w:hint="eastAsia"/>
          <w:b/>
          <w:iCs/>
        </w:rPr>
        <w:t xml:space="preserve"> </w:t>
      </w:r>
      <w:r>
        <w:rPr>
          <w:rFonts w:ascii="Times New Roman" w:hAnsi="Times New Roman" w:cs="Times New Roman" w:hint="eastAsia"/>
          <w:b/>
          <w:iCs/>
        </w:rPr>
        <w:t>选题列表（</w:t>
      </w:r>
      <w:bookmarkStart w:id="0" w:name="OLE_LINK12"/>
      <w:r>
        <w:rPr>
          <w:rFonts w:ascii="Times New Roman" w:hAnsi="Times New Roman" w:cs="Times New Roman" w:hint="eastAsia"/>
          <w:b/>
          <w:iCs/>
        </w:rPr>
        <w:t>面向普通本科院校</w:t>
      </w:r>
      <w:bookmarkEnd w:id="0"/>
      <w:r>
        <w:rPr>
          <w:rFonts w:ascii="Times New Roman" w:hAnsi="Times New Roman" w:cs="Times New Roman" w:hint="eastAsia"/>
          <w:b/>
          <w:iCs/>
        </w:rPr>
        <w:t>）</w:t>
      </w:r>
    </w:p>
    <w:tbl>
      <w:tblPr>
        <w:tblStyle w:val="a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662"/>
      </w:tblGrid>
      <w:tr w:rsidR="004571B4" w14:paraId="33CFB430" w14:textId="77777777">
        <w:trPr>
          <w:trHeight w:val="20"/>
          <w:jc w:val="center"/>
        </w:trPr>
        <w:tc>
          <w:tcPr>
            <w:tcW w:w="988" w:type="dxa"/>
            <w:shd w:val="clear" w:color="auto" w:fill="D9D9D9" w:themeFill="background1" w:themeFillShade="D9"/>
            <w:noWrap/>
            <w:vAlign w:val="center"/>
          </w:tcPr>
          <w:p w14:paraId="6D5F42B2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课题方向编号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215AD6D4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课题方向</w:t>
            </w:r>
          </w:p>
        </w:tc>
        <w:tc>
          <w:tcPr>
            <w:tcW w:w="6662" w:type="dxa"/>
            <w:shd w:val="clear" w:color="auto" w:fill="D9D9D9" w:themeFill="background1" w:themeFillShade="D9"/>
            <w:noWrap/>
            <w:vAlign w:val="center"/>
          </w:tcPr>
          <w:p w14:paraId="036D16E3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课题研究内容</w:t>
            </w:r>
          </w:p>
        </w:tc>
      </w:tr>
      <w:tr w:rsidR="004571B4" w14:paraId="16D4147E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571A0E99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A01</w:t>
            </w:r>
          </w:p>
        </w:tc>
        <w:tc>
          <w:tcPr>
            <w:tcW w:w="1559" w:type="dxa"/>
            <w:vAlign w:val="center"/>
          </w:tcPr>
          <w:p w14:paraId="501093EE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AI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人工智能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与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具身智能深度融合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应用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研究</w:t>
            </w:r>
          </w:p>
        </w:tc>
        <w:tc>
          <w:tcPr>
            <w:tcW w:w="6662" w:type="dxa"/>
            <w:vAlign w:val="center"/>
          </w:tcPr>
          <w:p w14:paraId="1C06B505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本方向聚焦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AI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人工智能与具身智能在教学全流程的深度渗透，破解教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学中的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个性化培养不足、理论与实践脱节等痛点，核心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方向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包括：</w:t>
            </w:r>
          </w:p>
          <w:p w14:paraId="2C0C11B7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1.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多模态感知驱动的精准教学适配研究：探索具身智能通过视觉识别、语音情感分析、生物传感等技术，实时采集学生课堂微表情、行为动作、认知反馈等数据，结合人工智能算法构建动态更新的学生认知画像；研究基于画像的个性化教学内容推送、学习路径规划及难点答疑策略，实现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“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千人千面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”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的精准施教。</w:t>
            </w:r>
          </w:p>
          <w:p w14:paraId="43EFF9D6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2.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跨学科多模态教学场景开发与落地：针对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理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工科（虚拟仿真实验）、医科（临床技能实训）、文科（情景化思辨）、艺术类（创意创作）等不同学科特性，开发多模态融合教学场景；重点研究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AI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驱动的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“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虚拟教师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+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物理教具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+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数字资源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”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多模态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协同交互技术，实现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“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视、听、触、思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”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一体化沉浸学习（如理工科多感官实验模拟、医科多模态患者诊疗训练、文科多场景历史情境再现）；验证多模态场景对学生知识吸收、技能掌握与创新思维的提升效果。</w:t>
            </w:r>
          </w:p>
          <w:p w14:paraId="012F2F87" w14:textId="77777777" w:rsidR="004571B4" w:rsidRDefault="00EC6F10">
            <w:pPr>
              <w:spacing w:line="280" w:lineRule="exact"/>
              <w:ind w:firstLineChars="200" w:firstLine="400"/>
              <w:jc w:val="both"/>
            </w:pPr>
            <w:r>
              <w:rPr>
                <w:rFonts w:cs="Times New Roman"/>
                <w:bCs/>
                <w:iCs/>
                <w:sz w:val="20"/>
                <w:szCs w:val="20"/>
              </w:rPr>
              <w:t>3.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教师角色转型与智能教学能力培养研究：分析人工智能与具身智能对高校教师传统教学职责的冲击，明确教师作为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“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认知引导者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”“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学习设计师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”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的新定位；研究面向教师的智能技术素养培训体系，探索校企协同开发具身智能教学工具的路径，构建人机协同的教学创新共同体。</w:t>
            </w:r>
          </w:p>
        </w:tc>
      </w:tr>
      <w:tr w:rsidR="004571B4" w14:paraId="33ADFA71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14EB9737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A02</w:t>
            </w:r>
          </w:p>
        </w:tc>
        <w:tc>
          <w:tcPr>
            <w:tcW w:w="1559" w:type="dxa"/>
            <w:vAlign w:val="center"/>
          </w:tcPr>
          <w:p w14:paraId="51D3C3B3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新质生产力背景下具身智能机器人工业场景应用研究</w:t>
            </w:r>
          </w:p>
        </w:tc>
        <w:tc>
          <w:tcPr>
            <w:tcW w:w="6662" w:type="dxa"/>
            <w:vAlign w:val="center"/>
          </w:tcPr>
          <w:p w14:paraId="5C1279C8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机器人凭借类人形态的灵活性、高精度作业能力以及与工业大模型结合的自主决策能力，包括但不限于汽车、工程机械、轨道交通、精密装配、物流、焊接等行业生产需求，研究工业机器人高精度轨迹控制、力控装配技术，开发适配多品种小批量生产的柔性生产线系统；融合机器视觉与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AI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算法，构建工业机器人外观缺陷检测与质量管控模型，实现生产过程实时异常预警；探索工业机器人与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AGV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MES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系统的集成方案，突破多机协同调度、生产数据实时分析等关键问题，形成制造业数字化转型的技术原型与实践指导方案，助力“智能工厂”建设。</w:t>
            </w:r>
          </w:p>
        </w:tc>
      </w:tr>
      <w:tr w:rsidR="004571B4" w14:paraId="7EBFE4A4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4C586A3F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14:paraId="7A008535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新质生产力背景下服务机器人多场景智能应用研究</w:t>
            </w:r>
          </w:p>
        </w:tc>
        <w:tc>
          <w:tcPr>
            <w:tcW w:w="6662" w:type="dxa"/>
            <w:vAlign w:val="center"/>
          </w:tcPr>
          <w:p w14:paraId="7D4C80FE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聚焦文旅表演、家庭陪护、商业导购、校园服务等场景，研究服务机器人与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AIoT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设备（智能穿戴、环境传感器）的感知融合技术；开发自然语言理解、情感识别、动态场景适应算法，优化服务机器人交互逻辑，提升家庭陪护场景的情感响应能力与商业场景的用户需求匹配度；文化演艺与互动表演构建服务机器人自主决策系统，解决复杂场景下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“感知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决策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执行”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闭环难题，形成服务行业智能化升级的技术方案与原型验证。</w:t>
            </w:r>
          </w:p>
        </w:tc>
      </w:tr>
      <w:tr w:rsidR="004571B4" w14:paraId="59236586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28E69F3B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A04</w:t>
            </w:r>
          </w:p>
        </w:tc>
        <w:tc>
          <w:tcPr>
            <w:tcW w:w="1559" w:type="dxa"/>
            <w:vAlign w:val="center"/>
          </w:tcPr>
          <w:p w14:paraId="2B7E0B74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新质生产力背景下特种机器人极端环境适配技术研究</w:t>
            </w:r>
          </w:p>
        </w:tc>
        <w:tc>
          <w:tcPr>
            <w:tcW w:w="6662" w:type="dxa"/>
            <w:vAlign w:val="center"/>
          </w:tcPr>
          <w:p w14:paraId="72F638C8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针对深海、矿山、灾后救援等极端场景，研究特种机器人抗干扰硬件设计（耐高压、防爆、耐高低温结构）与智能控制技术；结合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AIoT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实时数据传输与边缘计算，开发特种机器人自主导航、应急避险、任务自主执行系统，突破极端环境下通信中断、地形复杂等技术瓶颈；探索特种机器人与无人机、物联网监测设备的协同作业模式，拓展机器人应用边界，为能源开发、安全应急等领域提供技术支撑。</w:t>
            </w:r>
          </w:p>
        </w:tc>
      </w:tr>
      <w:tr w:rsidR="004571B4" w14:paraId="0800BC70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79D0C419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A05</w:t>
            </w:r>
          </w:p>
        </w:tc>
        <w:tc>
          <w:tcPr>
            <w:tcW w:w="1559" w:type="dxa"/>
            <w:vAlign w:val="center"/>
          </w:tcPr>
          <w:p w14:paraId="1148363A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新质生产力背景下农业机器人智慧种植技术研究</w:t>
            </w:r>
          </w:p>
        </w:tc>
        <w:tc>
          <w:tcPr>
            <w:tcW w:w="6662" w:type="dxa"/>
            <w:vAlign w:val="center"/>
          </w:tcPr>
          <w:p w14:paraId="6E39B491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融合具身智能技术与农业农艺知识，研发播种、植保、采摘等大田作业机器人，优化机器人对农田环境（土壤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湿度、作物长势）的精准感知与自适应作业算法；构建设施农业机器人智能控制系统，实现温室环境调控、精准灌溉、果蔬分选的全流程自动化；研究农业机器人与物联网监测平台的数据联动机制，开发作物生长模型与智能决策系统，提升农业生产的精细化、无人化水平，助力智慧农业发展。</w:t>
            </w:r>
          </w:p>
        </w:tc>
      </w:tr>
      <w:tr w:rsidR="004571B4" w14:paraId="51857C83" w14:textId="77777777" w:rsidTr="001C7179">
        <w:trPr>
          <w:trHeight w:val="1975"/>
          <w:jc w:val="center"/>
        </w:trPr>
        <w:tc>
          <w:tcPr>
            <w:tcW w:w="988" w:type="dxa"/>
            <w:noWrap/>
            <w:vAlign w:val="center"/>
          </w:tcPr>
          <w:p w14:paraId="272CFB66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lastRenderedPageBreak/>
              <w:t>A06</w:t>
            </w:r>
          </w:p>
        </w:tc>
        <w:tc>
          <w:tcPr>
            <w:tcW w:w="1559" w:type="dxa"/>
            <w:vAlign w:val="center"/>
          </w:tcPr>
          <w:p w14:paraId="2DE1B452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新质生产力背景下医疗健康机器人智慧康养服务研究</w:t>
            </w:r>
          </w:p>
        </w:tc>
        <w:tc>
          <w:tcPr>
            <w:tcW w:w="6662" w:type="dxa"/>
            <w:vAlign w:val="center"/>
          </w:tcPr>
          <w:p w14:paraId="77ED8381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研究医疗健康机器人与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AIoT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医疗设备（智能穿戴、远程监测终端）的协同联动技术，开发康复训练机器人的运动姿态识别与个性化训练方案，提升康养服务的精准性；探索护理机器人的多模态交互技术（语音、触觉反馈），优化老年陪护、重症护理场景的服务逻辑；构建医疗健康机器人数据安全防护体系，解决用户隐私保护、医疗数据传输加密等关键问题，为智慧医疗与康养产业提供技术原型与应用指导</w:t>
            </w:r>
          </w:p>
        </w:tc>
      </w:tr>
      <w:tr w:rsidR="004571B4" w14:paraId="14B7132C" w14:textId="77777777" w:rsidTr="001C7179">
        <w:trPr>
          <w:trHeight w:val="2399"/>
          <w:jc w:val="center"/>
        </w:trPr>
        <w:tc>
          <w:tcPr>
            <w:tcW w:w="988" w:type="dxa"/>
            <w:noWrap/>
            <w:vAlign w:val="center"/>
          </w:tcPr>
          <w:p w14:paraId="4730CA17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A07</w:t>
            </w:r>
          </w:p>
        </w:tc>
        <w:tc>
          <w:tcPr>
            <w:tcW w:w="1559" w:type="dxa"/>
            <w:vAlign w:val="center"/>
          </w:tcPr>
          <w:p w14:paraId="24DC4081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新质生产力背景下具身智能机器人在其他领域的研究</w:t>
            </w:r>
          </w:p>
        </w:tc>
        <w:tc>
          <w:tcPr>
            <w:tcW w:w="6662" w:type="dxa"/>
            <w:vAlign w:val="center"/>
          </w:tcPr>
          <w:p w14:paraId="5436219A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具身智能机器人在其他领域应用，包含但不限于针对建筑施工与运维需求，研发钢筋加工、混凝土浇筑、墙面装饰等施工机器人；在仓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储物流领域应用，实现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"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下单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出库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拣选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扫码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装箱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"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全链路无人化；在无人机结合多领域应用，核心是通过空、地异构协同突破单一设备的场景局限，形成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“空中侦察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/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运输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+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地面精细操作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/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交互”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的立体作业能力。电网智能维护、变电站巡检和石油勘测智能化检测、高危操作：替代人工的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"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钢铁侠、电气设备维护、电气设备维护、具身智能推动工业化与智能化协同发展，为智能产业提供技术支撑。</w:t>
            </w:r>
          </w:p>
        </w:tc>
      </w:tr>
      <w:tr w:rsidR="004571B4" w14:paraId="62A913EA" w14:textId="77777777" w:rsidTr="001C7179">
        <w:trPr>
          <w:trHeight w:val="2406"/>
          <w:jc w:val="center"/>
        </w:trPr>
        <w:tc>
          <w:tcPr>
            <w:tcW w:w="988" w:type="dxa"/>
            <w:noWrap/>
            <w:vAlign w:val="center"/>
          </w:tcPr>
          <w:p w14:paraId="7D6ED7B8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A08</w:t>
            </w:r>
          </w:p>
        </w:tc>
        <w:tc>
          <w:tcPr>
            <w:tcW w:w="1559" w:type="dxa"/>
            <w:vAlign w:val="center"/>
          </w:tcPr>
          <w:p w14:paraId="56786EC8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新质生产力背景下具身智能全栈式技术融合创新研究</w:t>
            </w:r>
          </w:p>
        </w:tc>
        <w:tc>
          <w:tcPr>
            <w:tcW w:w="6662" w:type="dxa"/>
            <w:vAlign w:val="center"/>
          </w:tcPr>
          <w:p w14:paraId="04096872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研究具身智能多模态感知（视觉、触觉、力觉）融合算法，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A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I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大、小脑开发、脑机接口、智能物联、运动控制、仿生技术等构建机器人对物理世界的精准认知模型；开发基于具身智能的人机协作安全机制，实现机器人对人类动作意图的预判与动态避障；涉及传感器芯片、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AI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智能体算法、大数据、</w:t>
            </w:r>
            <w:r>
              <w:rPr>
                <w:rFonts w:cs="Times New Roman" w:hint="eastAsia"/>
                <w:bCs/>
                <w:iCs/>
                <w:sz w:val="20"/>
                <w:szCs w:val="20"/>
                <w:lang w:bidi="ar"/>
              </w:rPr>
              <w:t>虚实融合的交互与训练场景、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数字孪生等众多技术融合，验证具身机器人的应用场景效果，解决具身智能在复杂交互场景下的决策延迟、动作协调等问题，形成具身机器人技术原型与理论支撑，推动前沿技术落地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!</w:t>
            </w:r>
          </w:p>
        </w:tc>
      </w:tr>
    </w:tbl>
    <w:p w14:paraId="7316D2BD" w14:textId="77777777" w:rsidR="004571B4" w:rsidRDefault="004571B4">
      <w:pPr>
        <w:spacing w:line="360" w:lineRule="auto"/>
        <w:jc w:val="both"/>
        <w:rPr>
          <w:rFonts w:ascii="Times New Roman" w:hAnsi="Times New Roman" w:cs="Times New Roman"/>
        </w:rPr>
      </w:pPr>
    </w:p>
    <w:p w14:paraId="00AC2ADB" w14:textId="77777777" w:rsidR="004571B4" w:rsidRDefault="00EC6F10">
      <w:pPr>
        <w:spacing w:line="500" w:lineRule="exact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 w:hint="eastAsia"/>
          <w:b/>
          <w:iCs/>
        </w:rPr>
        <w:t xml:space="preserve"> </w:t>
      </w:r>
      <w:r>
        <w:rPr>
          <w:rFonts w:ascii="Times New Roman" w:hAnsi="Times New Roman" w:cs="Times New Roman" w:hint="eastAsia"/>
          <w:b/>
          <w:iCs/>
        </w:rPr>
        <w:t xml:space="preserve">   </w:t>
      </w:r>
      <w:r>
        <w:rPr>
          <w:rFonts w:ascii="Times New Roman" w:hAnsi="Times New Roman" w:cs="Times New Roman" w:hint="eastAsia"/>
          <w:b/>
          <w:iCs/>
        </w:rPr>
        <w:t>表二</w:t>
      </w:r>
      <w:r>
        <w:rPr>
          <w:rFonts w:ascii="Times New Roman" w:hAnsi="Times New Roman" w:cs="Times New Roman" w:hint="eastAsia"/>
          <w:b/>
          <w:iCs/>
        </w:rPr>
        <w:t xml:space="preserve"> </w:t>
      </w:r>
      <w:r>
        <w:rPr>
          <w:rFonts w:ascii="Times New Roman" w:hAnsi="Times New Roman" w:cs="Times New Roman" w:hint="eastAsia"/>
          <w:b/>
          <w:iCs/>
        </w:rPr>
        <w:t>选题列表（面向高等职业院校）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667"/>
      </w:tblGrid>
      <w:tr w:rsidR="004571B4" w14:paraId="4DA2D095" w14:textId="77777777">
        <w:trPr>
          <w:trHeight w:val="484"/>
          <w:jc w:val="center"/>
        </w:trPr>
        <w:tc>
          <w:tcPr>
            <w:tcW w:w="988" w:type="dxa"/>
            <w:shd w:val="clear" w:color="000000" w:fill="D0CECE"/>
            <w:vAlign w:val="center"/>
          </w:tcPr>
          <w:p w14:paraId="0F2A605F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课题方向编号</w:t>
            </w:r>
          </w:p>
        </w:tc>
        <w:tc>
          <w:tcPr>
            <w:tcW w:w="1559" w:type="dxa"/>
            <w:shd w:val="clear" w:color="000000" w:fill="D0CECE"/>
            <w:vAlign w:val="center"/>
          </w:tcPr>
          <w:p w14:paraId="12281E3A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课题方向</w:t>
            </w:r>
          </w:p>
        </w:tc>
        <w:tc>
          <w:tcPr>
            <w:tcW w:w="6667" w:type="dxa"/>
            <w:shd w:val="clear" w:color="000000" w:fill="D0CECE"/>
            <w:vAlign w:val="center"/>
          </w:tcPr>
          <w:p w14:paraId="471AA527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课题研究内容</w:t>
            </w:r>
          </w:p>
        </w:tc>
      </w:tr>
      <w:tr w:rsidR="004571B4" w14:paraId="76D03587" w14:textId="77777777">
        <w:trPr>
          <w:trHeight w:val="264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D223844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B6FCB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新质生产力背景下具身智能机器人装调运维教学实训与应用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7A747D02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人形机器人装调运维是指对人形机器人进行安装、调试、运行维护和故障排除等一系列工作，以确保其能够正常、稳定地运行，满足不同应用场景的需求；</w:t>
            </w:r>
          </w:p>
          <w:p w14:paraId="1DD7966E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硬件安装：负责人形机器人整机及核心部件，如关节模组、灵巧手、控制器、传感器单元等的现场安装，包括机械装配对齐、电气接线核查、电源时序验证、安全链路测试、急停响应检查等。</w:t>
            </w:r>
          </w:p>
          <w:p w14:paraId="0E723554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系统调试：开展多模态传感器数据采集系统的部署与校准，确保关节编码器、力矩传感器、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IMU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等信号正常接入并同步输出；调试灵巧手多指协同动作，执行抓取力一致性测试、触觉反馈对齐等。</w:t>
            </w:r>
          </w:p>
        </w:tc>
      </w:tr>
      <w:tr w:rsidR="004571B4" w14:paraId="7CCF7992" w14:textId="77777777">
        <w:trPr>
          <w:trHeight w:val="268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D38CC96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CB8C2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新质生产力背景下具身智能机器人数据采集训练与应用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3E00F1C4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数据采集决定了感知精度，数据处理决定了决策效率，数据应用决定了落地价值。数据采集是感知环境、优化运动控制、“虚实融合的交互与训练场景”、迭代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AI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算法的核心基础，核心是采集多模态数据并确保准确性、同步性，适配实训与产业应用场景。随着具身智能技术发展，多模态数据采集（视觉、力觉、触觉等）在实训中的作用将更突出。校企合作建设数据采集中心，为学生提供处理、分析和应用机器人数据的实践机会将成为重要方向；数据采集与实景操作更紧密结合：</w:t>
            </w:r>
          </w:p>
          <w:p w14:paraId="6E0BAE98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数字孪生技术和动作捕捉技术的创新应用，允许学生在虚拟环境中安全地进行高风险或高成本操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作练习，再过渡到物理机器人操作。</w:t>
            </w:r>
          </w:p>
        </w:tc>
      </w:tr>
      <w:tr w:rsidR="004571B4" w14:paraId="42800A55" w14:textId="77777777">
        <w:trPr>
          <w:trHeight w:val="10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CB1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lastRenderedPageBreak/>
              <w:t>B03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7A09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新质生产力背景下具身智能机器人在工业智能制造实训应用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4393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结合制造业岗位需求，搭建模拟工业生产线的实训场景（含工业机器人、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AGV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PLC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控制柜），研究工业机器人编程调试、故障排查、生产线切换等核心运维技能；开发贴近企业实际的实训任务（包含但不限于工业制造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柔性产线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、汽车零部件、焊接机器人、轨道交通车辆设备作业、工程机械、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电子装配、船舶、航空等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），融入机器视觉检测、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工业互联网、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VR/AR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及数字孪生技术、让学生接触到与产业一线同步的“机械臂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+AGV+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智能检测设备”协同体系，同时将机器人编程、设备联动逻辑、数据化运维等内容融入实训；</w:t>
            </w:r>
          </w:p>
          <w:p w14:paraId="5D8B3262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在智能制造实训中的落地，需构建“技术支撑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-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课程适配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-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产教协同”的完整实施路径。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培养工业机器人日常运维与生产线现场管理能力，对接智能制造产业技术岗位。</w:t>
            </w:r>
          </w:p>
        </w:tc>
      </w:tr>
      <w:tr w:rsidR="004571B4" w14:paraId="573EF24A" w14:textId="77777777">
        <w:trPr>
          <w:trHeight w:val="6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2C03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3604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新质生产力背景下服务机器人场景化运维与教学实践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EE5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针对文旅表演、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家庭服务、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科普教学、商场导购、社区养老、校园配送、安防巡查等场景，开发服务机器人实训模块（含机器人本体、场景模拟组件、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交互设备）；研究服务机器人导航路径校准、语音交互话术配置、设备清洁保养等实操技术，设计故障模拟实训（如传感器失效、通信中断处理）；构建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“虚实结合”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教学环境，通过虚拟场景预演与实体设备实操结合，帮助学生掌握服务机器人部署、运维及用户需求响应技能，满足科普、文旅、商业服务、养老护理等行业岗位要求。</w:t>
            </w:r>
          </w:p>
        </w:tc>
      </w:tr>
      <w:tr w:rsidR="004571B4" w14:paraId="5CE2DE64" w14:textId="77777777">
        <w:trPr>
          <w:trHeight w:val="21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D956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2076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新质生产力背景下农业机器人智慧种植实操教学应用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24C7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结合农业生产实际，开发农业机器人实训套件（含小型植保机器人、灌溉控制模块、土壤传感器）；研究农业机器人田间作业规划、设备调试（如喷头校准、行走速度设定）、作业数据记录与分析等实操技术；设计贴近农田场景的实训项目（如温室大棚植保机器人操作、机械化种植和采摘、大田作物长势监测机器人数据采集），融入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AIoT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数据联动环节（如传感器数据与机器人作业参数匹配）；编制农业机器人操作教学指南，培养学生农业机器人应用与基层运维能力，服务智慧农业产业。</w:t>
            </w:r>
          </w:p>
        </w:tc>
      </w:tr>
      <w:tr w:rsidR="004571B4" w14:paraId="79ED7F58" w14:textId="77777777">
        <w:trPr>
          <w:trHeight w:val="8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457E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8B3B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新质生产力背景下医疗健康机器人智慧康养服务实训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6DBA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围绕智慧康养岗位需求，搭建医疗健康机器人实训场景（含康复训练机器人、智能护理、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养老服务、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生命体征监测设备）；研究康复机器人辅助训练操作（如肢体康复轨迹设定、训练强度调节）、护理机器人日常保养、健康数据采集与上传等实操技术；设计模拟实训任务（如老年患者康复训练指导、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社区康养护理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），融入医患沟通、隐私保护等职业素养培养；编制实训考核标准与操作手册，提升学生医疗健康机器人应用与康养服务结合能力，对接养老机构、社区医疗等岗位。</w:t>
            </w:r>
          </w:p>
        </w:tc>
      </w:tr>
      <w:tr w:rsidR="004571B4" w14:paraId="61F9181F" w14:textId="77777777">
        <w:trPr>
          <w:trHeight w:val="2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DC7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0EAC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新质生产力背景下具身智能机器人在其他专业领域的实训与应用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A143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具身智能机器人在其他领域应用，包含但不限于针对在仓储物流领域应用，实现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"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下单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出库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拣选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扫码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-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装箱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"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全链路无人化；在无人机结合多领域应用，核心是通过空、地异构协同突破单一设备的场景局限，形成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“空中侦察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/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运输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+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地面精细操作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/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交互”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的立体作业能力；建筑施工与运维需求，研发钢筋加工、混凝土浇筑、墙面装饰等施工机器人；电网智能维护、变电站巡检和石油化工、能源开采、应急救援等高危操作：替代人工的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"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钢铁侠、电气设备维护、电气设备维护、智能巡检和救援；具身智能推动工业化与智能化协同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发展，为智能产业提供技术支撑。</w:t>
            </w:r>
          </w:p>
        </w:tc>
      </w:tr>
      <w:tr w:rsidR="004571B4" w14:paraId="15F79B90" w14:textId="77777777">
        <w:trPr>
          <w:trHeight w:val="11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D0E8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999A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人工智能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在教学领域多模态场景融合创新与应用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5DA0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聚焦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人工智能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教学普及需求，以及赋能专业领域教学应用与实践；研究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人工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智能在虚拟实操、通用智能体、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动作捕捉、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环境感知交互（如视觉识别、触觉反馈调节、仿生智能）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等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领域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融合创新技术。</w:t>
            </w:r>
          </w:p>
          <w:p w14:paraId="3C353103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降低门槛：虚拟仿真替代部分实体设备，极大降低教学成本。</w:t>
            </w:r>
          </w:p>
          <w:p w14:paraId="177F90DA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虚拟场景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：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VR/MR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构建多样化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虚拟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场景，覆盖实体教学无法触及的领域。</w:t>
            </w:r>
          </w:p>
          <w:p w14:paraId="6831EED1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精准适配：通用智能体个性化规划学习路径，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AIGC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实时生成适配性教学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课程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内容。</w:t>
            </w:r>
          </w:p>
          <w:p w14:paraId="4423D548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lastRenderedPageBreak/>
              <w:t>环境感知交互：解决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“虚拟操作与真实环境感知脱节”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问题，让学生掌握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“环境识别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-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动作适配”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核心能力（如视觉识别物体分类、触觉反馈调节抓取力度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动作捕捉数据采集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）。​</w:t>
            </w:r>
          </w:p>
          <w:p w14:paraId="3DE22B7C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：构建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“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数据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-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设备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-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场景”互联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互通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教学场景，培养产业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端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所需的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“多设备协同”综合技能人才；将进一步打破校企壁垒，让产业资源深度融入教学全过程，培养更多具备精湛协同技能、创新思维的大国工匠。</w:t>
            </w:r>
          </w:p>
        </w:tc>
      </w:tr>
    </w:tbl>
    <w:p w14:paraId="5457246B" w14:textId="77777777" w:rsidR="004571B4" w:rsidRDefault="00EC6F10">
      <w:pPr>
        <w:pStyle w:val="2"/>
        <w:numPr>
          <w:ilvl w:val="0"/>
          <w:numId w:val="0"/>
        </w:numPr>
        <w:spacing w:beforeLines="100" w:before="312" w:line="500" w:lineRule="exact"/>
        <w:ind w:firstLineChars="200" w:firstLine="56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二、申报条件和要求</w:t>
      </w:r>
    </w:p>
    <w:p w14:paraId="45C39704" w14:textId="77777777" w:rsidR="004571B4" w:rsidRDefault="00EC6F10">
      <w:pPr>
        <w:widowControl w:val="0"/>
        <w:spacing w:line="500" w:lineRule="exact"/>
        <w:ind w:firstLine="482"/>
        <w:jc w:val="both"/>
      </w:pPr>
      <w:r>
        <w:rPr>
          <w:rFonts w:hint="eastAsia"/>
        </w:rPr>
        <w:t>1.</w:t>
      </w:r>
      <w:r>
        <w:t>申请人需具备较强科研能力，能够独立开展研究和组织开展研究，在所申报课题</w:t>
      </w:r>
      <w:bookmarkStart w:id="1" w:name="_Hlk183599318"/>
      <w:r>
        <w:t>领域</w:t>
      </w:r>
      <w:bookmarkEnd w:id="1"/>
      <w:r>
        <w:t>具备一定的研究基础；</w:t>
      </w:r>
      <w:r>
        <w:rPr>
          <w:rFonts w:hint="eastAsia"/>
        </w:rPr>
        <w:t>团队成员在选定的研究课题方向有较好的技术储备，包括与申报课题研究内容相关的研究成果、教材、论文、专利、获奖等。鼓励青年科研人员积极申报；</w:t>
      </w:r>
    </w:p>
    <w:p w14:paraId="7B854453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2.</w:t>
      </w:r>
      <w:r>
        <w:rPr>
          <w:rFonts w:hint="eastAsia"/>
        </w:rPr>
        <w:t>团队组成合理，分工明确，数量不少于</w:t>
      </w:r>
      <w:r>
        <w:rPr>
          <w:rFonts w:hint="eastAsia"/>
        </w:rPr>
        <w:t>3</w:t>
      </w:r>
      <w:r>
        <w:rPr>
          <w:rFonts w:hint="eastAsia"/>
        </w:rPr>
        <w:t>人。</w:t>
      </w:r>
    </w:p>
    <w:p w14:paraId="429B161E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3.</w:t>
      </w:r>
      <w:r>
        <w:rPr>
          <w:rFonts w:hint="eastAsia"/>
        </w:rPr>
        <w:t>优先支持已经设立相关专业或者已经成立相关研究中心的院校。</w:t>
      </w:r>
    </w:p>
    <w:p w14:paraId="52AC6160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4.</w:t>
      </w:r>
      <w:r>
        <w:rPr>
          <w:rFonts w:hint="eastAsia"/>
        </w:rPr>
        <w:t>优先支持选题方向符合表一和表二要求的课题。</w:t>
      </w:r>
    </w:p>
    <w:p w14:paraId="3A208FF8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5.</w:t>
      </w:r>
      <w:r>
        <w:rPr>
          <w:rFonts w:hint="eastAsia"/>
        </w:rPr>
        <w:t>优先支持研究内容有创造性、前瞻性和实用性，有商业化前景的课题。</w:t>
      </w:r>
    </w:p>
    <w:p w14:paraId="0E3FECBF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6.</w:t>
      </w:r>
      <w:r>
        <w:rPr>
          <w:rFonts w:hint="eastAsia"/>
        </w:rPr>
        <w:t>优先支持有明确研究成果，成果有应用价值，可复制、可推广的课题，不支持纯理论研究。</w:t>
      </w:r>
    </w:p>
    <w:p w14:paraId="456A1216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7.</w:t>
      </w:r>
      <w:r>
        <w:rPr>
          <w:rFonts w:hint="eastAsia"/>
        </w:rPr>
        <w:t>优先支持研究方向明确，研究内容详实，研究方案完整可行的课题。</w:t>
      </w:r>
    </w:p>
    <w:p w14:paraId="10CA2AB2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8.</w:t>
      </w:r>
      <w:r>
        <w:rPr>
          <w:rFonts w:hint="eastAsia"/>
        </w:rPr>
        <w:t>可支持多个院校成立联合课题组，完成较为复杂的研究课题的联合申报和研究。</w:t>
      </w:r>
    </w:p>
    <w:p w14:paraId="36D4A6A3" w14:textId="77777777" w:rsidR="004571B4" w:rsidRDefault="00EC6F10">
      <w:pPr>
        <w:spacing w:line="500" w:lineRule="exact"/>
        <w:ind w:firstLine="480"/>
        <w:jc w:val="both"/>
      </w:pPr>
      <w:r>
        <w:t>9</w:t>
      </w:r>
      <w:r>
        <w:rPr>
          <w:rFonts w:hint="eastAsia"/>
        </w:rPr>
        <w:t>.</w:t>
      </w:r>
      <w:r>
        <w:rPr>
          <w:rFonts w:hint="eastAsia"/>
        </w:rPr>
        <w:t>申请人应客观、真实地填写申请书，没有知识产权争议，遵守国家有关知识产权法规。在课题申请</w:t>
      </w:r>
      <w:r>
        <w:t>书</w:t>
      </w:r>
      <w:r>
        <w:rPr>
          <w:rFonts w:hint="eastAsia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170988FE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.</w:t>
      </w:r>
      <w:r>
        <w:t>资助课题获得的知识产权由</w:t>
      </w:r>
      <w:r>
        <w:rPr>
          <w:rFonts w:hint="eastAsia"/>
        </w:rPr>
        <w:t>资助方</w:t>
      </w:r>
      <w:r>
        <w:t>和</w:t>
      </w:r>
      <w:r>
        <w:rPr>
          <w:rFonts w:hint="eastAsia"/>
        </w:rPr>
        <w:t>课题</w:t>
      </w:r>
      <w:r>
        <w:t>承担单位共同所有</w:t>
      </w:r>
      <w:r>
        <w:rPr>
          <w:rFonts w:hint="eastAsia"/>
        </w:rPr>
        <w:t>。</w:t>
      </w:r>
    </w:p>
    <w:p w14:paraId="63D94094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.</w:t>
      </w:r>
      <w:r>
        <w:rPr>
          <w:rFonts w:hint="eastAsia"/>
        </w:rPr>
        <w:t>课题组需具备可独立支配的课题研究基础软硬件条件。</w:t>
      </w:r>
      <w:r>
        <w:t xml:space="preserve"> </w:t>
      </w:r>
    </w:p>
    <w:p w14:paraId="7127535E" w14:textId="77777777" w:rsidR="004571B4" w:rsidRDefault="00EC6F10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100" w:before="312" w:line="500" w:lineRule="exact"/>
        <w:ind w:firstLineChars="200" w:firstLine="560"/>
        <w:contextualSpacing w:val="0"/>
        <w:jc w:val="both"/>
        <w:rPr>
          <w:color w:val="000000"/>
        </w:rPr>
      </w:pPr>
      <w:r>
        <w:rPr>
          <w:rFonts w:hint="eastAsia"/>
          <w:color w:val="000000"/>
        </w:rPr>
        <w:t>三、资源及服务</w:t>
      </w:r>
    </w:p>
    <w:p w14:paraId="17B82EB9" w14:textId="77777777" w:rsidR="004571B4" w:rsidRDefault="00EC6F10">
      <w:pPr>
        <w:widowControl w:val="0"/>
        <w:snapToGrid w:val="0"/>
        <w:spacing w:line="500" w:lineRule="exact"/>
        <w:ind w:firstLine="480"/>
        <w:jc w:val="both"/>
      </w:pPr>
      <w:r>
        <w:rPr>
          <w:rFonts w:hint="eastAsia"/>
        </w:rPr>
        <w:t>针对合作院校，基金将提供完善的资源和服务体系，以保证院校顺利开展合</w:t>
      </w:r>
      <w:r>
        <w:rPr>
          <w:rFonts w:hint="eastAsia"/>
        </w:rPr>
        <w:lastRenderedPageBreak/>
        <w:t>作课题，并为院校提供长期有效的支持。</w:t>
      </w:r>
    </w:p>
    <w:p w14:paraId="5FC9FE58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1.</w:t>
      </w:r>
      <w:r>
        <w:rPr>
          <w:rFonts w:cs="Times New Roman" w:hint="eastAsia"/>
          <w:iCs/>
          <w:color w:val="000000"/>
        </w:rPr>
        <w:t>“</w:t>
      </w:r>
      <w:r>
        <w:rPr>
          <w:rFonts w:hint="eastAsia"/>
        </w:rPr>
        <w:t>具身智能机器人创新专项</w:t>
      </w:r>
      <w:r>
        <w:rPr>
          <w:rFonts w:cs="Times New Roman" w:hint="eastAsia"/>
          <w:iCs/>
          <w:color w:val="000000"/>
        </w:rPr>
        <w:t>”为每个立项课题提供对应的研究经费及科研软硬件平台支持，为申报团队提供创新项目选题指导，协助团队完成科研项目申请，并根据需求开展服务校方等工作。</w:t>
      </w:r>
    </w:p>
    <w:p w14:paraId="0B24EF83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 xml:space="preserve">2. </w:t>
      </w:r>
      <w:r>
        <w:rPr>
          <w:rFonts w:cs="Times New Roman" w:hint="eastAsia"/>
          <w:iCs/>
          <w:color w:val="000000"/>
        </w:rPr>
        <w:t>项目发起单位将辅助、联合申报院校申报新的科研课题，提供项目咨询服务和技术支持，辅助科研成果的快速产品化及解决方案的包装。</w:t>
      </w:r>
    </w:p>
    <w:p w14:paraId="55249292" w14:textId="77777777" w:rsidR="004571B4" w:rsidRDefault="00EC6F10">
      <w:pPr>
        <w:spacing w:line="480" w:lineRule="exact"/>
        <w:jc w:val="center"/>
        <w:rPr>
          <w:rFonts w:ascii="Times New Roman" w:hAnsi="Times New Roman" w:cs="Times New Roman"/>
          <w:b/>
          <w:iCs/>
        </w:rPr>
      </w:pPr>
      <w:bookmarkStart w:id="2" w:name="_GoBack"/>
      <w:bookmarkEnd w:id="2"/>
      <w:r>
        <w:rPr>
          <w:rFonts w:ascii="Times New Roman" w:hAnsi="Times New Roman" w:cs="Times New Roman" w:hint="eastAsia"/>
          <w:b/>
          <w:iCs/>
        </w:rPr>
        <w:t>表三</w:t>
      </w:r>
      <w:r>
        <w:rPr>
          <w:rFonts w:ascii="Times New Roman" w:hAnsi="Times New Roman" w:cs="Times New Roman" w:hint="eastAsia"/>
          <w:b/>
          <w:iCs/>
        </w:rPr>
        <w:t xml:space="preserve"> </w:t>
      </w:r>
      <w:r>
        <w:rPr>
          <w:rFonts w:ascii="Times New Roman" w:hAnsi="Times New Roman" w:cs="Times New Roman" w:hint="eastAsia"/>
          <w:b/>
          <w:iCs/>
        </w:rPr>
        <w:t>提供给课题研究的资源说明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6520"/>
      </w:tblGrid>
      <w:tr w:rsidR="004571B4" w14:paraId="3831F022" w14:textId="77777777">
        <w:trPr>
          <w:trHeight w:val="515"/>
          <w:jc w:val="center"/>
        </w:trPr>
        <w:tc>
          <w:tcPr>
            <w:tcW w:w="709" w:type="dxa"/>
            <w:shd w:val="clear" w:color="000000" w:fill="C0C0C0"/>
            <w:vAlign w:val="center"/>
          </w:tcPr>
          <w:p w14:paraId="6C7C8CD7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平</w:t>
            </w:r>
            <w:r>
              <w:rPr>
                <w:rFonts w:cs="Times New Roman" w:hint="eastAsia"/>
                <w:b/>
                <w:iCs/>
                <w:sz w:val="21"/>
                <w:szCs w:val="21"/>
              </w:rPr>
              <w:t>台编号</w:t>
            </w:r>
          </w:p>
        </w:tc>
        <w:tc>
          <w:tcPr>
            <w:tcW w:w="1985" w:type="dxa"/>
            <w:shd w:val="clear" w:color="000000" w:fill="C0C0C0"/>
            <w:vAlign w:val="center"/>
          </w:tcPr>
          <w:p w14:paraId="74EA6000" w14:textId="77777777" w:rsidR="004571B4" w:rsidRDefault="00EC6F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技术平台名称</w:t>
            </w:r>
          </w:p>
          <w:p w14:paraId="364B6C0C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及服务</w:t>
            </w:r>
          </w:p>
        </w:tc>
        <w:tc>
          <w:tcPr>
            <w:tcW w:w="6520" w:type="dxa"/>
            <w:shd w:val="clear" w:color="000000" w:fill="C0C0C0"/>
            <w:vAlign w:val="center"/>
          </w:tcPr>
          <w:p w14:paraId="7DC582C8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详细介绍</w:t>
            </w:r>
          </w:p>
        </w:tc>
      </w:tr>
      <w:tr w:rsidR="004571B4" w14:paraId="4C24475A" w14:textId="77777777">
        <w:trPr>
          <w:trHeight w:val="129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272F366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B2549F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机器人行业专用本体设备及开发套件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3BEFCE6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基于工业、服务机器人细分需求，提供专用机械设备（含伺服电机、滚阻丝杠）及配套开发套件；包含维护技术手册、驱动程序、基础开发案例，帮助课题组理解关键机械部件性能参数，开发适配机器人的控制与感知模块，提升机器人核心组件研发能力。</w:t>
            </w:r>
          </w:p>
        </w:tc>
      </w:tr>
      <w:tr w:rsidR="004571B4" w14:paraId="066D70CD" w14:textId="77777777">
        <w:trPr>
          <w:trHeight w:val="103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0104D45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59EBEC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机器人实训套件（灵巧手、伺服关节模组）及调试软件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655252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提供工业机器人实训套件（灵巧手、伺服关节模组）及配套调试软件；支持课题组进行机器人轨迹编程、多机协同模拟、故障模拟等实验，帮助理解工业机器人自动化控制原理，为技术研发与教学演示提供硬件支撑。</w:t>
            </w:r>
          </w:p>
        </w:tc>
      </w:tr>
      <w:tr w:rsidR="004571B4" w14:paraId="5B01F1D1" w14:textId="77777777">
        <w:trPr>
          <w:trHeight w:val="125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0AD509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A8E081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机器人场景化实训平台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6ABF95D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模拟教育、工业、家庭、医疗、商业场景的机器人实训环境，包含服务机器人本体、环境模拟组件（如家庭服务模型、医院病房场景、商场售货等模型）、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AIoT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交互设备（智能音箱、环境传感器）；支持课题组设计服务机器人交互实训项目，帮助高职学生掌握服务机器人操作。</w:t>
            </w:r>
          </w:p>
        </w:tc>
      </w:tr>
      <w:tr w:rsidR="004571B4" w14:paraId="3C3AA9F2" w14:textId="77777777">
        <w:trPr>
          <w:trHeight w:val="127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F8A6F9B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1BB0C8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特种机器人（无人机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/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四足机器人等）实训平台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A70903D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提供无人机（低空机器人）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/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四足机器人本体、地面控制站、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AIoT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监控模块（如低空区域摄像头、气象传感器）；支持地空协同操作、巡检安防、应急救援场景，模拟低空物流、环境监测、实现无人机自主飞行、数据回传、任务执行等实训，适配高职院校低空经济领域机器人教学需求。</w:t>
            </w:r>
          </w:p>
        </w:tc>
      </w:tr>
      <w:tr w:rsidR="004571B4" w14:paraId="2E0F7E48" w14:textId="77777777">
        <w:trPr>
          <w:trHeight w:val="153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3DB00B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9D6DEF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机器人综合实训教学精品课程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8B2A79A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针对机器人专业教学需求设计的课程体系，涵盖机器人原理、编程基础、场景应用（工业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/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商用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 xml:space="preserve"> / 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特种）等内容；配套课程教材、实验指导书、数字化资源，包含基础操作实验（如机器人编程入门、装调运维）、进阶创新实验（如机器人场景应用设计），满足本科院校理论教学与高职院校实操教学需求，激发学生学习兴趣与创新能力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。</w:t>
            </w:r>
          </w:p>
        </w:tc>
      </w:tr>
      <w:tr w:rsidR="004571B4" w14:paraId="599BACFA" w14:textId="77777777">
        <w:trPr>
          <w:trHeight w:val="142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BF847B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08624B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人工智能教学应用平台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A686F95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本平台依托人工智能、大数据、云计算等核心技术，构建覆盖“课程资源学习、课堂互动教学、自主学习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AI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互动、题库考试管理、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AI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教师分身、统计数据看板”全教学流程的智能教学生态。聚焦教师、学生两类核心用户，高效化的教学解决方案，助力教育数字化转型与教学质量提升。</w:t>
            </w:r>
          </w:p>
        </w:tc>
      </w:tr>
      <w:tr w:rsidR="004571B4" w14:paraId="42A3CE1A" w14:textId="77777777">
        <w:trPr>
          <w:trHeight w:val="153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E28E03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1F1783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机器人虚拟仿真实验平台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A0D1E9C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通过虚拟仿真技术模拟机器人真实应用环境（如工业生产线、服务场景、教学场景），支持机器人虚拟操作、故障模拟、方案验证等功能；可模拟多种机器人类型（工业、医疗、商用、服务、特种）的操作流程，降低实体设备损耗与安全风险，适配院校教学实训、技术科研等场景，提升实验效率与覆盖范围。</w:t>
            </w:r>
          </w:p>
        </w:tc>
      </w:tr>
    </w:tbl>
    <w:p w14:paraId="49C31097" w14:textId="77777777" w:rsidR="004571B4" w:rsidRDefault="00EC6F10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100" w:before="312" w:line="500" w:lineRule="exact"/>
        <w:ind w:firstLineChars="100" w:firstLine="280"/>
        <w:contextualSpacing w:val="0"/>
        <w:rPr>
          <w:color w:val="000000"/>
        </w:rPr>
      </w:pPr>
      <w:r>
        <w:rPr>
          <w:rFonts w:hint="eastAsia"/>
          <w:color w:val="000000"/>
        </w:rPr>
        <w:lastRenderedPageBreak/>
        <w:t>四、课题申报说明</w:t>
      </w:r>
    </w:p>
    <w:p w14:paraId="60EB67D1" w14:textId="77777777" w:rsidR="004571B4" w:rsidRDefault="00EC6F10">
      <w:pPr>
        <w:widowControl w:val="0"/>
        <w:adjustRightInd w:val="0"/>
        <w:snapToGrid w:val="0"/>
        <w:spacing w:line="500" w:lineRule="exact"/>
        <w:ind w:firstLineChars="200" w:firstLine="480"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 xml:space="preserve">1. </w:t>
      </w:r>
      <w:r>
        <w:rPr>
          <w:rFonts w:hint="eastAsia"/>
          <w:iCs/>
          <w:color w:val="000000"/>
        </w:rPr>
        <w:t>申请人须仔细阅读申请指南，按照指南详细填写申请书，填写不合要求的课题会按照格式不符合要求处理。</w:t>
      </w:r>
    </w:p>
    <w:p w14:paraId="0883A6F4" w14:textId="77777777" w:rsidR="004571B4" w:rsidRDefault="00EC6F10">
      <w:pPr>
        <w:widowControl w:val="0"/>
        <w:adjustRightInd w:val="0"/>
        <w:snapToGrid w:val="0"/>
        <w:spacing w:line="500" w:lineRule="exact"/>
        <w:ind w:firstLineChars="200" w:firstLine="480"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 xml:space="preserve">2. </w:t>
      </w:r>
      <w:r>
        <w:rPr>
          <w:rFonts w:hint="eastAsia"/>
          <w:iCs/>
          <w:color w:val="000000"/>
        </w:rPr>
        <w:t>请各课题申请人按要求填写申请书（申请书中手机和邮箱必须填写），加盖公章及签字后扫描上传至：</w:t>
      </w:r>
      <w:r>
        <w:rPr>
          <w:rFonts w:hint="eastAsia"/>
          <w:iCs/>
          <w:color w:val="000000"/>
        </w:rPr>
        <w:t>https://cxjj.cutech.edu.cn</w:t>
      </w:r>
      <w:r>
        <w:rPr>
          <w:rFonts w:hint="eastAsia"/>
          <w:iCs/>
          <w:color w:val="000000"/>
        </w:rPr>
        <w:t>；为方便评审，申请书扫描件请按以下命名规则命名：学校名称</w:t>
      </w:r>
      <w:r>
        <w:rPr>
          <w:rFonts w:hint="eastAsia"/>
          <w:iCs/>
          <w:color w:val="000000"/>
        </w:rPr>
        <w:t>+</w:t>
      </w:r>
      <w:r>
        <w:rPr>
          <w:rFonts w:hint="eastAsia"/>
          <w:iCs/>
          <w:color w:val="000000"/>
        </w:rPr>
        <w:t>申请人姓名。</w:t>
      </w:r>
    </w:p>
    <w:p w14:paraId="5A273C89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 xml:space="preserve">3. </w:t>
      </w:r>
      <w:r>
        <w:rPr>
          <w:rFonts w:hint="eastAsia"/>
          <w:iCs/>
          <w:color w:val="000000"/>
        </w:rPr>
        <w:t>书面材料一份，邮寄至：北京市海淀区中关村大街</w:t>
      </w:r>
      <w:r>
        <w:rPr>
          <w:rFonts w:hint="eastAsia"/>
          <w:iCs/>
          <w:color w:val="000000"/>
        </w:rPr>
        <w:t>35</w:t>
      </w:r>
      <w:r>
        <w:rPr>
          <w:rFonts w:hint="eastAsia"/>
          <w:iCs/>
          <w:color w:val="000000"/>
        </w:rPr>
        <w:t>号</w:t>
      </w:r>
      <w:r>
        <w:rPr>
          <w:rFonts w:hint="eastAsia"/>
          <w:iCs/>
          <w:color w:val="000000"/>
        </w:rPr>
        <w:t>803</w:t>
      </w:r>
      <w:r>
        <w:rPr>
          <w:rFonts w:hint="eastAsia"/>
          <w:iCs/>
          <w:color w:val="000000"/>
        </w:rPr>
        <w:t>室，教育部高等学校科学研究发展中心信息化研究发展处。</w:t>
      </w:r>
    </w:p>
    <w:p w14:paraId="69C63E43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 xml:space="preserve">4. </w:t>
      </w:r>
      <w:r>
        <w:rPr>
          <w:rFonts w:hint="eastAsia"/>
          <w:iCs/>
          <w:color w:val="000000"/>
        </w:rPr>
        <w:t>申请截止时间为</w:t>
      </w:r>
      <w:r>
        <w:rPr>
          <w:rFonts w:hint="eastAsia"/>
          <w:iCs/>
          <w:color w:val="000000"/>
        </w:rPr>
        <w:t>2026</w:t>
      </w:r>
      <w:r>
        <w:rPr>
          <w:rFonts w:hint="eastAsia"/>
          <w:iCs/>
          <w:color w:val="000000"/>
        </w:rPr>
        <w:t>年</w:t>
      </w:r>
      <w:r>
        <w:rPr>
          <w:rFonts w:hint="eastAsia"/>
          <w:iCs/>
          <w:color w:val="000000"/>
        </w:rPr>
        <w:t>5</w:t>
      </w:r>
      <w:r>
        <w:rPr>
          <w:rFonts w:hint="eastAsia"/>
          <w:iCs/>
          <w:color w:val="000000"/>
        </w:rPr>
        <w:t>月</w:t>
      </w:r>
      <w:r>
        <w:rPr>
          <w:rFonts w:hint="eastAsia"/>
          <w:iCs/>
          <w:color w:val="000000"/>
        </w:rPr>
        <w:t>30</w:t>
      </w:r>
      <w:r>
        <w:rPr>
          <w:rFonts w:hint="eastAsia"/>
          <w:iCs/>
          <w:color w:val="000000"/>
        </w:rPr>
        <w:t>日。</w:t>
      </w:r>
    </w:p>
    <w:p w14:paraId="68286FBD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 xml:space="preserve">5. </w:t>
      </w:r>
      <w:r>
        <w:rPr>
          <w:rFonts w:hint="eastAsia"/>
          <w:iCs/>
          <w:color w:val="000000"/>
        </w:rPr>
        <w:t>课题的计划执行时间为</w:t>
      </w:r>
      <w:r>
        <w:rPr>
          <w:rFonts w:hint="eastAsia"/>
          <w:iCs/>
          <w:color w:val="000000"/>
        </w:rPr>
        <w:t>2026</w:t>
      </w:r>
      <w:r>
        <w:rPr>
          <w:rFonts w:hint="eastAsia"/>
          <w:iCs/>
          <w:color w:val="000000"/>
        </w:rPr>
        <w:t>年</w:t>
      </w:r>
      <w:r>
        <w:rPr>
          <w:iCs/>
          <w:color w:val="000000"/>
        </w:rPr>
        <w:t>9</w:t>
      </w:r>
      <w:r>
        <w:rPr>
          <w:rFonts w:hint="eastAsia"/>
          <w:iCs/>
          <w:color w:val="000000"/>
        </w:rPr>
        <w:t>月</w:t>
      </w:r>
      <w:r>
        <w:rPr>
          <w:rFonts w:hint="eastAsia"/>
          <w:iCs/>
          <w:color w:val="000000"/>
        </w:rPr>
        <w:t>1</w:t>
      </w:r>
      <w:r>
        <w:rPr>
          <w:rFonts w:hint="eastAsia"/>
          <w:iCs/>
          <w:color w:val="000000"/>
        </w:rPr>
        <w:t>日～</w:t>
      </w:r>
      <w:r>
        <w:rPr>
          <w:rFonts w:hint="eastAsia"/>
          <w:iCs/>
          <w:color w:val="000000"/>
        </w:rPr>
        <w:t>2027</w:t>
      </w:r>
      <w:r>
        <w:rPr>
          <w:rFonts w:hint="eastAsia"/>
          <w:iCs/>
          <w:color w:val="000000"/>
        </w:rPr>
        <w:t>年</w:t>
      </w:r>
      <w:r>
        <w:rPr>
          <w:rFonts w:hint="eastAsia"/>
          <w:iCs/>
          <w:color w:val="000000"/>
        </w:rPr>
        <w:t>8</w:t>
      </w:r>
      <w:r>
        <w:rPr>
          <w:rFonts w:hint="eastAsia"/>
          <w:iCs/>
          <w:color w:val="000000"/>
        </w:rPr>
        <w:t>月</w:t>
      </w:r>
      <w:r>
        <w:rPr>
          <w:rFonts w:hint="eastAsia"/>
          <w:iCs/>
          <w:color w:val="000000"/>
        </w:rPr>
        <w:t>31</w:t>
      </w:r>
      <w:r>
        <w:rPr>
          <w:rFonts w:hint="eastAsia"/>
          <w:iCs/>
          <w:color w:val="000000"/>
        </w:rPr>
        <w:t>日，可根据课题复杂程度适度延长执行周期，根据课题实际情况协商。</w:t>
      </w:r>
    </w:p>
    <w:p w14:paraId="5E861AAE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 xml:space="preserve">6. </w:t>
      </w:r>
      <w:r>
        <w:rPr>
          <w:rFonts w:hint="eastAsia"/>
          <w:iCs/>
          <w:color w:val="000000"/>
        </w:rPr>
        <w:t>每位</w:t>
      </w:r>
      <w:r>
        <w:rPr>
          <w:rFonts w:hint="eastAsia"/>
          <w:iCs/>
          <w:color w:val="000000"/>
        </w:rPr>
        <w:t>申报人限报一项课题。</w:t>
      </w:r>
    </w:p>
    <w:p w14:paraId="1C463EFD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 xml:space="preserve">7. </w:t>
      </w:r>
      <w:r>
        <w:rPr>
          <w:rFonts w:hint="eastAsia"/>
          <w:iCs/>
          <w:color w:val="000000"/>
        </w:rPr>
        <w:t>课题选题列表上的选题方向都不限定课题数量，但如果存在内容重复的相似课题，专家将根据课题组技术积累、课题方案、课题支撑条件等要素择优选择资助课题。</w:t>
      </w:r>
    </w:p>
    <w:p w14:paraId="3DF50791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 xml:space="preserve">8. </w:t>
      </w:r>
      <w:r>
        <w:rPr>
          <w:rFonts w:hint="eastAsia"/>
          <w:iCs/>
          <w:color w:val="000000"/>
        </w:rPr>
        <w:t>如果以联合课题组的形式申请课题，需要列明不同学校单位的课题任务。</w:t>
      </w:r>
    </w:p>
    <w:p w14:paraId="587F73B4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 xml:space="preserve">9. </w:t>
      </w:r>
      <w:r>
        <w:rPr>
          <w:rFonts w:hint="eastAsia"/>
          <w:iCs/>
          <w:color w:val="000000"/>
        </w:rPr>
        <w:t>课题申请人无需向资助企业额外购买配套设备或软件。</w:t>
      </w:r>
    </w:p>
    <w:p w14:paraId="05B66C42" w14:textId="77777777" w:rsidR="004571B4" w:rsidRDefault="004571B4">
      <w:pPr>
        <w:pStyle w:val="a0"/>
        <w:spacing w:line="500" w:lineRule="exact"/>
        <w:rPr>
          <w:iCs/>
          <w:color w:val="000000"/>
        </w:rPr>
      </w:pPr>
    </w:p>
    <w:p w14:paraId="649B0755" w14:textId="77777777" w:rsidR="004571B4" w:rsidRDefault="00EC6F10">
      <w:pPr>
        <w:spacing w:line="500" w:lineRule="exact"/>
        <w:ind w:firstLineChars="200" w:firstLine="560"/>
        <w:contextualSpacing/>
        <w:jc w:val="both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五、联系人及联系方式</w:t>
      </w:r>
    </w:p>
    <w:p w14:paraId="02D313DF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教育部高等学校科学研究发展中心联系人：</w:t>
      </w:r>
    </w:p>
    <w:p w14:paraId="1646AC35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张</w:t>
      </w:r>
      <w:r>
        <w:rPr>
          <w:rFonts w:cs="Times New Roman" w:hint="eastAsia"/>
          <w:iCs/>
          <w:color w:val="000000"/>
        </w:rPr>
        <w:t xml:space="preserve">  </w:t>
      </w:r>
      <w:r>
        <w:rPr>
          <w:rFonts w:cs="Times New Roman" w:hint="eastAsia"/>
          <w:iCs/>
          <w:color w:val="000000"/>
        </w:rPr>
        <w:t>杰</w:t>
      </w:r>
      <w:r>
        <w:rPr>
          <w:rFonts w:cs="Times New Roman" w:hint="eastAsia"/>
          <w:iCs/>
          <w:color w:val="000000"/>
        </w:rPr>
        <w:t xml:space="preserve">    </w:t>
      </w:r>
      <w:r>
        <w:rPr>
          <w:rFonts w:cs="Times New Roman" w:hint="eastAsia"/>
          <w:iCs/>
          <w:color w:val="000000"/>
        </w:rPr>
        <w:t>电话：</w:t>
      </w:r>
      <w:r>
        <w:rPr>
          <w:rFonts w:cs="Times New Roman" w:hint="eastAsia"/>
          <w:iCs/>
          <w:color w:val="000000"/>
        </w:rPr>
        <w:t>010-62514689</w:t>
      </w:r>
    </w:p>
    <w:p w14:paraId="491E78EE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企业联系人：</w:t>
      </w:r>
    </w:p>
    <w:p w14:paraId="60FC3684" w14:textId="77777777" w:rsidR="004571B4" w:rsidRDefault="00EC6F10">
      <w:pPr>
        <w:pStyle w:val="a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赵老师</w:t>
      </w:r>
      <w:r>
        <w:rPr>
          <w:rFonts w:cs="Times New Roman" w:hint="eastAsia"/>
          <w:iCs/>
          <w:color w:val="000000"/>
        </w:rPr>
        <w:t xml:space="preserve">    </w:t>
      </w:r>
      <w:r>
        <w:rPr>
          <w:rFonts w:cs="Times New Roman" w:hint="eastAsia"/>
          <w:iCs/>
          <w:color w:val="000000"/>
        </w:rPr>
        <w:t>电话：</w:t>
      </w:r>
      <w:r>
        <w:rPr>
          <w:rFonts w:cs="Times New Roman" w:hint="eastAsia"/>
          <w:iCs/>
          <w:color w:val="000000"/>
        </w:rPr>
        <w:t>13761806565</w:t>
      </w:r>
    </w:p>
    <w:p w14:paraId="17C0B4FD" w14:textId="77777777" w:rsidR="004571B4" w:rsidRDefault="00EC6F10">
      <w:pPr>
        <w:pStyle w:val="a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朱老师</w:t>
      </w:r>
      <w:r>
        <w:rPr>
          <w:rFonts w:cs="Times New Roman" w:hint="eastAsia"/>
          <w:iCs/>
          <w:color w:val="000000"/>
        </w:rPr>
        <w:t xml:space="preserve">    </w:t>
      </w:r>
      <w:r>
        <w:rPr>
          <w:rFonts w:cs="Times New Roman" w:hint="eastAsia"/>
          <w:iCs/>
          <w:color w:val="000000"/>
        </w:rPr>
        <w:t>电话：</w:t>
      </w:r>
      <w:r>
        <w:rPr>
          <w:rFonts w:cs="Times New Roman" w:hint="eastAsia"/>
          <w:iCs/>
          <w:color w:val="000000"/>
        </w:rPr>
        <w:t>18516630894</w:t>
      </w:r>
    </w:p>
    <w:p w14:paraId="24ED6E9B" w14:textId="77777777" w:rsidR="004571B4" w:rsidRDefault="00EC6F10">
      <w:pPr>
        <w:pStyle w:val="a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胡老师</w:t>
      </w:r>
      <w:r>
        <w:rPr>
          <w:rFonts w:cs="Times New Roman" w:hint="eastAsia"/>
          <w:iCs/>
          <w:color w:val="000000"/>
        </w:rPr>
        <w:t xml:space="preserve">    </w:t>
      </w:r>
      <w:r>
        <w:rPr>
          <w:rFonts w:cs="Times New Roman" w:hint="eastAsia"/>
          <w:iCs/>
          <w:color w:val="000000"/>
        </w:rPr>
        <w:t>电话：</w:t>
      </w:r>
      <w:r>
        <w:rPr>
          <w:rFonts w:cs="Times New Roman" w:hint="eastAsia"/>
          <w:iCs/>
          <w:color w:val="000000"/>
        </w:rPr>
        <w:t>13645638306</w:t>
      </w:r>
    </w:p>
    <w:p w14:paraId="43875B1D" w14:textId="77777777" w:rsidR="004571B4" w:rsidRDefault="00EC6F10">
      <w:pPr>
        <w:pStyle w:val="a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曾老师</w:t>
      </w:r>
      <w:r>
        <w:rPr>
          <w:rFonts w:cs="Times New Roman" w:hint="eastAsia"/>
          <w:iCs/>
          <w:color w:val="000000"/>
        </w:rPr>
        <w:t xml:space="preserve">    </w:t>
      </w:r>
      <w:r>
        <w:rPr>
          <w:rFonts w:cs="Times New Roman" w:hint="eastAsia"/>
          <w:iCs/>
          <w:color w:val="000000"/>
        </w:rPr>
        <w:t>电话：</w:t>
      </w:r>
      <w:r>
        <w:rPr>
          <w:rFonts w:cs="Times New Roman" w:hint="eastAsia"/>
          <w:iCs/>
          <w:color w:val="000000"/>
        </w:rPr>
        <w:t>18258796569</w:t>
      </w:r>
    </w:p>
    <w:sectPr w:rsidR="00457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57606" w14:textId="77777777" w:rsidR="00EC6F10" w:rsidRDefault="00EC6F10"/>
  </w:endnote>
  <w:endnote w:type="continuationSeparator" w:id="0">
    <w:p w14:paraId="799A318C" w14:textId="77777777" w:rsidR="00EC6F10" w:rsidRDefault="00EC6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F07DB" w14:textId="77777777" w:rsidR="00EC6F10" w:rsidRDefault="00EC6F10"/>
  </w:footnote>
  <w:footnote w:type="continuationSeparator" w:id="0">
    <w:p w14:paraId="288E99C4" w14:textId="77777777" w:rsidR="00EC6F10" w:rsidRDefault="00EC6F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jODRmN2IyMjM4ZDFiNzU5Y2JjYTI1NWRlYjE2NGUifQ=="/>
  </w:docVars>
  <w:rsids>
    <w:rsidRoot w:val="00D72D25"/>
    <w:rsid w:val="00075F22"/>
    <w:rsid w:val="001C7179"/>
    <w:rsid w:val="004571B4"/>
    <w:rsid w:val="00472E7C"/>
    <w:rsid w:val="004D5C0F"/>
    <w:rsid w:val="005A1B35"/>
    <w:rsid w:val="00615EA1"/>
    <w:rsid w:val="00637FBA"/>
    <w:rsid w:val="008215AB"/>
    <w:rsid w:val="008B0A7B"/>
    <w:rsid w:val="009C512B"/>
    <w:rsid w:val="00A9190D"/>
    <w:rsid w:val="00B019D8"/>
    <w:rsid w:val="00CC004F"/>
    <w:rsid w:val="00D72D25"/>
    <w:rsid w:val="00EC6F10"/>
    <w:rsid w:val="00F44F67"/>
    <w:rsid w:val="01A6254E"/>
    <w:rsid w:val="01E427FA"/>
    <w:rsid w:val="02051ECE"/>
    <w:rsid w:val="02FB717A"/>
    <w:rsid w:val="043F7806"/>
    <w:rsid w:val="04A3120E"/>
    <w:rsid w:val="04CB2483"/>
    <w:rsid w:val="050F41BB"/>
    <w:rsid w:val="058F1702"/>
    <w:rsid w:val="062C13F4"/>
    <w:rsid w:val="067F2C7F"/>
    <w:rsid w:val="06B31E04"/>
    <w:rsid w:val="071E2D3E"/>
    <w:rsid w:val="072E6CF9"/>
    <w:rsid w:val="073C7668"/>
    <w:rsid w:val="0768045D"/>
    <w:rsid w:val="08121F97"/>
    <w:rsid w:val="082C148A"/>
    <w:rsid w:val="09BC3307"/>
    <w:rsid w:val="09BE63D9"/>
    <w:rsid w:val="0A0F5813"/>
    <w:rsid w:val="0B0859F4"/>
    <w:rsid w:val="0B1C4B75"/>
    <w:rsid w:val="0C063DA0"/>
    <w:rsid w:val="0C175925"/>
    <w:rsid w:val="0C4E6409"/>
    <w:rsid w:val="0C4F0ABC"/>
    <w:rsid w:val="0CD8573D"/>
    <w:rsid w:val="0D076B54"/>
    <w:rsid w:val="0D4A7900"/>
    <w:rsid w:val="0E08358A"/>
    <w:rsid w:val="0E990EFC"/>
    <w:rsid w:val="0EF06560"/>
    <w:rsid w:val="0F94341D"/>
    <w:rsid w:val="10DA4D6A"/>
    <w:rsid w:val="10E625B3"/>
    <w:rsid w:val="112B0914"/>
    <w:rsid w:val="113C3BE2"/>
    <w:rsid w:val="11DB15E7"/>
    <w:rsid w:val="12413ECC"/>
    <w:rsid w:val="12A7698D"/>
    <w:rsid w:val="131207F5"/>
    <w:rsid w:val="139B7FB4"/>
    <w:rsid w:val="145F51CC"/>
    <w:rsid w:val="14701354"/>
    <w:rsid w:val="15B43971"/>
    <w:rsid w:val="163B2879"/>
    <w:rsid w:val="16494404"/>
    <w:rsid w:val="166F1578"/>
    <w:rsid w:val="16B45CC1"/>
    <w:rsid w:val="17A0779F"/>
    <w:rsid w:val="17D77005"/>
    <w:rsid w:val="17FB137A"/>
    <w:rsid w:val="184E2D57"/>
    <w:rsid w:val="18865A59"/>
    <w:rsid w:val="18A17293"/>
    <w:rsid w:val="18A75415"/>
    <w:rsid w:val="193E101D"/>
    <w:rsid w:val="19722A75"/>
    <w:rsid w:val="1A3D7527"/>
    <w:rsid w:val="1ADE19FB"/>
    <w:rsid w:val="1C4560BD"/>
    <w:rsid w:val="1D291FE4"/>
    <w:rsid w:val="1EA57449"/>
    <w:rsid w:val="1F3256C4"/>
    <w:rsid w:val="1F4E4AA7"/>
    <w:rsid w:val="1F996D35"/>
    <w:rsid w:val="1FA15192"/>
    <w:rsid w:val="1FEB532F"/>
    <w:rsid w:val="1FFB5A71"/>
    <w:rsid w:val="1FFE67E5"/>
    <w:rsid w:val="204748C7"/>
    <w:rsid w:val="218E0668"/>
    <w:rsid w:val="22074DB5"/>
    <w:rsid w:val="22873A35"/>
    <w:rsid w:val="228B0D3A"/>
    <w:rsid w:val="22DC7E8D"/>
    <w:rsid w:val="23FE1AD5"/>
    <w:rsid w:val="246E2CC9"/>
    <w:rsid w:val="256B3402"/>
    <w:rsid w:val="25DE5664"/>
    <w:rsid w:val="26F7507E"/>
    <w:rsid w:val="28A430C0"/>
    <w:rsid w:val="29091087"/>
    <w:rsid w:val="2BC90EF1"/>
    <w:rsid w:val="2CA86D03"/>
    <w:rsid w:val="2ECB2EFB"/>
    <w:rsid w:val="2F9B1296"/>
    <w:rsid w:val="2F9E5F1A"/>
    <w:rsid w:val="30874C00"/>
    <w:rsid w:val="31D63BC7"/>
    <w:rsid w:val="32166341"/>
    <w:rsid w:val="323F1C36"/>
    <w:rsid w:val="3263271A"/>
    <w:rsid w:val="336575D4"/>
    <w:rsid w:val="33705E1F"/>
    <w:rsid w:val="33B444E3"/>
    <w:rsid w:val="33FF3046"/>
    <w:rsid w:val="34143EF1"/>
    <w:rsid w:val="346911EC"/>
    <w:rsid w:val="34727B2A"/>
    <w:rsid w:val="34CE1077"/>
    <w:rsid w:val="35492330"/>
    <w:rsid w:val="359202CF"/>
    <w:rsid w:val="36104C53"/>
    <w:rsid w:val="362D3AB8"/>
    <w:rsid w:val="36533A30"/>
    <w:rsid w:val="367C5B00"/>
    <w:rsid w:val="3770519F"/>
    <w:rsid w:val="377301AD"/>
    <w:rsid w:val="37BF7256"/>
    <w:rsid w:val="37C25F06"/>
    <w:rsid w:val="3862042D"/>
    <w:rsid w:val="392A7A57"/>
    <w:rsid w:val="39363667"/>
    <w:rsid w:val="39A85363"/>
    <w:rsid w:val="39BA6FFB"/>
    <w:rsid w:val="3D5B3B5C"/>
    <w:rsid w:val="3E675C0A"/>
    <w:rsid w:val="3EEFC785"/>
    <w:rsid w:val="3F5B2B9D"/>
    <w:rsid w:val="3FE97C82"/>
    <w:rsid w:val="414F2D38"/>
    <w:rsid w:val="42457E9C"/>
    <w:rsid w:val="4374370A"/>
    <w:rsid w:val="43987EF1"/>
    <w:rsid w:val="43FE3EE3"/>
    <w:rsid w:val="442125DA"/>
    <w:rsid w:val="454A6E82"/>
    <w:rsid w:val="45E217EA"/>
    <w:rsid w:val="45FB5A1D"/>
    <w:rsid w:val="462907DC"/>
    <w:rsid w:val="4651318A"/>
    <w:rsid w:val="4669507C"/>
    <w:rsid w:val="469A78E3"/>
    <w:rsid w:val="47021626"/>
    <w:rsid w:val="47460100"/>
    <w:rsid w:val="47684254"/>
    <w:rsid w:val="48682323"/>
    <w:rsid w:val="493911EC"/>
    <w:rsid w:val="4A5B5089"/>
    <w:rsid w:val="4AA76507"/>
    <w:rsid w:val="4B1D1A64"/>
    <w:rsid w:val="4B2C6678"/>
    <w:rsid w:val="4B5146DF"/>
    <w:rsid w:val="4B9C21C7"/>
    <w:rsid w:val="4C1F5FB4"/>
    <w:rsid w:val="4C667968"/>
    <w:rsid w:val="4D8031C4"/>
    <w:rsid w:val="4EFF5B7A"/>
    <w:rsid w:val="4F165675"/>
    <w:rsid w:val="4F7E2E61"/>
    <w:rsid w:val="5015592D"/>
    <w:rsid w:val="505F0607"/>
    <w:rsid w:val="50795EBC"/>
    <w:rsid w:val="50B9351F"/>
    <w:rsid w:val="510F0E6C"/>
    <w:rsid w:val="516528E4"/>
    <w:rsid w:val="516B799A"/>
    <w:rsid w:val="527F3531"/>
    <w:rsid w:val="52D12EEC"/>
    <w:rsid w:val="53D85EF2"/>
    <w:rsid w:val="53F252D8"/>
    <w:rsid w:val="53F954E5"/>
    <w:rsid w:val="54610180"/>
    <w:rsid w:val="5474401C"/>
    <w:rsid w:val="550725F1"/>
    <w:rsid w:val="55B65A3B"/>
    <w:rsid w:val="56710C54"/>
    <w:rsid w:val="56EE4453"/>
    <w:rsid w:val="57704111"/>
    <w:rsid w:val="57A44166"/>
    <w:rsid w:val="596268B2"/>
    <w:rsid w:val="5AA47EA3"/>
    <w:rsid w:val="5AF56A87"/>
    <w:rsid w:val="5AFA22EF"/>
    <w:rsid w:val="5B6C6CCB"/>
    <w:rsid w:val="5BC22E0D"/>
    <w:rsid w:val="5BC87F7F"/>
    <w:rsid w:val="5C107902"/>
    <w:rsid w:val="5C764137"/>
    <w:rsid w:val="5CEF3C87"/>
    <w:rsid w:val="5D8E583C"/>
    <w:rsid w:val="5E3D49CC"/>
    <w:rsid w:val="5E587687"/>
    <w:rsid w:val="5F3833E6"/>
    <w:rsid w:val="5F5A3835"/>
    <w:rsid w:val="5FB42EFB"/>
    <w:rsid w:val="60624BBE"/>
    <w:rsid w:val="608E59B3"/>
    <w:rsid w:val="61AB3FD4"/>
    <w:rsid w:val="62832BCA"/>
    <w:rsid w:val="62CD312A"/>
    <w:rsid w:val="62EE7F47"/>
    <w:rsid w:val="631055CE"/>
    <w:rsid w:val="6332481E"/>
    <w:rsid w:val="63A36518"/>
    <w:rsid w:val="64147E05"/>
    <w:rsid w:val="64593E09"/>
    <w:rsid w:val="64FE413D"/>
    <w:rsid w:val="65605D17"/>
    <w:rsid w:val="677728E1"/>
    <w:rsid w:val="6784100F"/>
    <w:rsid w:val="680A1785"/>
    <w:rsid w:val="68294213"/>
    <w:rsid w:val="692945A2"/>
    <w:rsid w:val="69562066"/>
    <w:rsid w:val="69B11D0C"/>
    <w:rsid w:val="6A576E16"/>
    <w:rsid w:val="6A6C44D1"/>
    <w:rsid w:val="6B032AFA"/>
    <w:rsid w:val="6BC94BF8"/>
    <w:rsid w:val="6C0703C8"/>
    <w:rsid w:val="6CED1CB3"/>
    <w:rsid w:val="6D0019E7"/>
    <w:rsid w:val="6D14701B"/>
    <w:rsid w:val="6DD8201C"/>
    <w:rsid w:val="6E684D47"/>
    <w:rsid w:val="6E6E15BC"/>
    <w:rsid w:val="6ED1406A"/>
    <w:rsid w:val="6F042819"/>
    <w:rsid w:val="70161521"/>
    <w:rsid w:val="703A6435"/>
    <w:rsid w:val="72054CDF"/>
    <w:rsid w:val="7266063B"/>
    <w:rsid w:val="73502E3D"/>
    <w:rsid w:val="73D31512"/>
    <w:rsid w:val="73E007D8"/>
    <w:rsid w:val="74297A2E"/>
    <w:rsid w:val="747A41C1"/>
    <w:rsid w:val="74C635F2"/>
    <w:rsid w:val="762F49F0"/>
    <w:rsid w:val="764206AB"/>
    <w:rsid w:val="764B4F6C"/>
    <w:rsid w:val="784C1F84"/>
    <w:rsid w:val="7AEF7302"/>
    <w:rsid w:val="7B1C5D28"/>
    <w:rsid w:val="7DAE29B8"/>
    <w:rsid w:val="7DB02B16"/>
    <w:rsid w:val="7DED4A63"/>
    <w:rsid w:val="7DEE6429"/>
    <w:rsid w:val="7E154064"/>
    <w:rsid w:val="7E5C3341"/>
    <w:rsid w:val="7E6D2359"/>
    <w:rsid w:val="7E870D3A"/>
    <w:rsid w:val="7EAE5DF7"/>
    <w:rsid w:val="7EF42A2E"/>
    <w:rsid w:val="7FA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BE3EC3-580F-4687-8A47-A2EF1344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pPr>
      <w:spacing w:before="120" w:after="360" w:line="480" w:lineRule="exact"/>
      <w:contextualSpacing/>
      <w:jc w:val="center"/>
      <w:outlineLvl w:val="0"/>
    </w:pPr>
    <w:rPr>
      <w:rFonts w:ascii="Times New Roman" w:eastAsia="微软雅黑" w:hAnsi="Times New Roman" w:cs="Times New Roman"/>
      <w:b/>
      <w:bCs/>
      <w:iCs/>
      <w:color w:val="0F243E"/>
      <w:sz w:val="32"/>
      <w:szCs w:val="22"/>
    </w:rPr>
  </w:style>
  <w:style w:type="paragraph" w:styleId="2">
    <w:name w:val="heading 2"/>
    <w:basedOn w:val="a"/>
    <w:next w:val="a"/>
    <w:unhideWhenUsed/>
    <w:qFormat/>
    <w:pPr>
      <w:numPr>
        <w:numId w:val="1"/>
      </w:numPr>
      <w:spacing w:beforeLines="50"/>
      <w:ind w:firstLine="0"/>
      <w:contextualSpacing/>
      <w:outlineLvl w:val="1"/>
    </w:pPr>
    <w:rPr>
      <w:rFonts w:ascii="Times New Roman" w:eastAsia="微软雅黑" w:hAnsi="Times New Roman" w:cs="Times New Roman"/>
      <w:b/>
      <w:bCs/>
      <w:iCs/>
      <w:color w:val="000000" w:themeColor="text1"/>
      <w:sz w:val="28"/>
      <w:szCs w:val="22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="420"/>
    </w:pPr>
  </w:style>
  <w:style w:type="paragraph" w:styleId="a4">
    <w:name w:val="annotation text"/>
    <w:basedOn w:val="a"/>
    <w:qFormat/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before="120" w:after="120" w:line="240" w:lineRule="atLeast"/>
      <w:ind w:firstLineChars="200" w:firstLine="200"/>
      <w:jc w:val="both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a8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 w:after="120" w:line="240" w:lineRule="atLeast"/>
      <w:ind w:firstLineChars="200" w:firstLine="200"/>
      <w:jc w:val="center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both"/>
    </w:pPr>
  </w:style>
  <w:style w:type="table" w:styleId="aa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Pr>
      <w:b/>
    </w:rPr>
  </w:style>
  <w:style w:type="paragraph" w:styleId="ac">
    <w:name w:val="List Paragraph"/>
    <w:basedOn w:val="a"/>
    <w:autoRedefine/>
    <w:uiPriority w:val="34"/>
    <w:qFormat/>
    <w:pPr>
      <w:spacing w:before="120" w:after="120"/>
      <w:ind w:left="720" w:firstLineChars="200" w:firstLine="200"/>
      <w:contextualSpacing/>
      <w:jc w:val="both"/>
    </w:pPr>
    <w:rPr>
      <w:rFonts w:ascii="Times New Roman" w:hAnsi="Times New Roman" w:cs="Times New Roman"/>
      <w:iCs/>
      <w:color w:val="000000" w:themeColor="text1"/>
      <w:sz w:val="21"/>
      <w:szCs w:val="20"/>
    </w:rPr>
  </w:style>
  <w:style w:type="character" w:customStyle="1" w:styleId="a6">
    <w:name w:val="批注框文本 字符"/>
    <w:basedOn w:val="a1"/>
    <w:link w:val="a5"/>
    <w:qFormat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陈小磊</dc:creator>
  <cp:lastModifiedBy>zhangjie</cp:lastModifiedBy>
  <cp:revision>2</cp:revision>
  <cp:lastPrinted>2025-12-19T05:40:00Z</cp:lastPrinted>
  <dcterms:created xsi:type="dcterms:W3CDTF">2025-12-24T04:02:00Z</dcterms:created>
  <dcterms:modified xsi:type="dcterms:W3CDTF">2025-12-24T04:02:00Z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DEA6BE55EC114F1581B132572562332B_13</vt:lpwstr>
  </property>
  <property fmtid="{D5CDD505-2E9C-101B-9397-08002B2CF9AE}" pid="4" name="KSOTemplateDocerSaveRecord">
    <vt:lpwstr>eyJoZGlkIjoiYTc4YzI3NmVlMDE0YmY3MWY3MDBlZGJlMGJmZGZkNTQiLCJ1c2VySWQiOiIyNjgwODIwMjcifQ==</vt:lpwstr>
  </property>
</Properties>
</file>