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7A8C7">
      <w:pPr>
        <w:jc w:val="center"/>
        <w:rPr>
          <w:rStyle w:val="6"/>
          <w:rFonts w:eastAsia="方正小标宋简体"/>
          <w:b w:val="0"/>
          <w:color w:val="auto"/>
          <w:sz w:val="36"/>
          <w:szCs w:val="36"/>
        </w:rPr>
      </w:pPr>
      <w:r>
        <w:rPr>
          <w:rStyle w:val="6"/>
          <w:rFonts w:hint="eastAsia" w:eastAsia="方正小标宋简体"/>
          <w:b w:val="0"/>
          <w:color w:val="auto"/>
          <w:sz w:val="36"/>
          <w:szCs w:val="36"/>
        </w:rPr>
        <w:t>关于“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面向水光储算场景的电力财务多跨计算与安全管控关键技术及应</w:t>
      </w:r>
      <w:r>
        <w:rPr>
          <w:rStyle w:val="6"/>
          <w:rFonts w:hint="eastAsia" w:eastAsia="方正小标宋简体"/>
          <w:b w:val="0"/>
          <w:color w:val="auto"/>
          <w:sz w:val="36"/>
          <w:szCs w:val="36"/>
        </w:rPr>
        <w:t>用”项目申报202</w:t>
      </w:r>
      <w:r>
        <w:rPr>
          <w:rStyle w:val="6"/>
          <w:rFonts w:hint="eastAsia" w:eastAsia="方正小标宋简体"/>
          <w:b w:val="0"/>
          <w:color w:val="auto"/>
          <w:sz w:val="36"/>
          <w:szCs w:val="36"/>
          <w:lang w:val="en-US" w:eastAsia="zh-CN"/>
        </w:rPr>
        <w:t>5</w:t>
      </w:r>
      <w:r>
        <w:rPr>
          <w:rStyle w:val="6"/>
          <w:rFonts w:hint="eastAsia" w:eastAsia="方正小标宋简体"/>
          <w:b w:val="0"/>
          <w:color w:val="auto"/>
          <w:sz w:val="36"/>
          <w:szCs w:val="36"/>
        </w:rPr>
        <w:t>年度</w:t>
      </w:r>
      <w:r>
        <w:rPr>
          <w:rStyle w:val="6"/>
          <w:rFonts w:hint="eastAsia" w:eastAsia="方正小标宋简体"/>
          <w:b w:val="0"/>
          <w:color w:val="auto"/>
          <w:sz w:val="36"/>
          <w:szCs w:val="36"/>
          <w:highlight w:val="none"/>
        </w:rPr>
        <w:t>浙江省科学技术奖</w:t>
      </w:r>
      <w:r>
        <w:rPr>
          <w:rStyle w:val="6"/>
          <w:rFonts w:hint="eastAsia" w:eastAsia="方正小标宋简体"/>
          <w:b w:val="0"/>
          <w:color w:val="auto"/>
          <w:sz w:val="36"/>
          <w:szCs w:val="36"/>
        </w:rPr>
        <w:t>的公示</w:t>
      </w:r>
    </w:p>
    <w:p w14:paraId="1BC0B12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1FDE9BB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浙江省科学技术奖励办法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》（省政府第396号令）的要求，现将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浙江大学参与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申报的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年度浙江省科学技术奖的“面向水光储算场景的电力财务多跨计算与安全管控关键技术及应用”项目予以公示。公示内容包括项目名称、项目简介、完成人、完成单位、拟申报等级等内容。</w:t>
      </w:r>
    </w:p>
    <w:p w14:paraId="6F41B75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公示期：202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68D11D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公示期内，任何单位或个人对公示项目内容有异议的，请向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反映，并提供必要的证明材料。为便于核实查证，确保实事求是、客观公正地处理异议，提出异议的单位或者个人应当表明真实身份，并提供联系方式。凡匿名异议和超出期限的异议，不予受理。特此公示。</w:t>
      </w:r>
    </w:p>
    <w:p w14:paraId="0AC983E2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特此公示。 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6BB43EAE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</w:t>
      </w:r>
    </w:p>
    <w:p w14:paraId="3B9FEE69">
      <w:pPr>
        <w:wordWrap/>
        <w:spacing w:line="360" w:lineRule="auto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潘锴锴  </w:t>
      </w:r>
    </w:p>
    <w:p w14:paraId="4542FF17">
      <w:pPr>
        <w:wordWrap/>
        <w:spacing w:line="360" w:lineRule="auto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15267093709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CDB41DF">
      <w:pPr>
        <w:jc w:val="center"/>
        <w:rPr>
          <w:rStyle w:val="6"/>
          <w:rFonts w:eastAsia="方正小标宋简体"/>
          <w:b w:val="0"/>
          <w:color w:val="auto"/>
          <w:sz w:val="36"/>
          <w:szCs w:val="36"/>
        </w:rPr>
      </w:pPr>
    </w:p>
    <w:p w14:paraId="72662743">
      <w:pPr>
        <w:pStyle w:val="2"/>
        <w:rPr>
          <w:rStyle w:val="6"/>
          <w:rFonts w:eastAsia="方正小标宋简体"/>
          <w:b w:val="0"/>
          <w:color w:val="auto"/>
          <w:sz w:val="36"/>
          <w:szCs w:val="36"/>
        </w:rPr>
      </w:pPr>
    </w:p>
    <w:p w14:paraId="1D727FAD">
      <w:pPr>
        <w:pStyle w:val="2"/>
        <w:rPr>
          <w:rStyle w:val="6"/>
          <w:rFonts w:eastAsia="方正小标宋简体"/>
          <w:b w:val="0"/>
          <w:color w:val="auto"/>
          <w:sz w:val="36"/>
          <w:szCs w:val="36"/>
        </w:rPr>
      </w:pPr>
    </w:p>
    <w:p w14:paraId="47BF280C">
      <w:pPr>
        <w:pStyle w:val="2"/>
        <w:rPr>
          <w:rStyle w:val="6"/>
          <w:rFonts w:eastAsia="方正小标宋简体"/>
          <w:b w:val="0"/>
          <w:color w:val="auto"/>
          <w:sz w:val="36"/>
          <w:szCs w:val="36"/>
        </w:rPr>
      </w:pPr>
    </w:p>
    <w:p w14:paraId="2B0B6640">
      <w:pPr>
        <w:jc w:val="center"/>
        <w:rPr>
          <w:rStyle w:val="6"/>
          <w:rFonts w:eastAsia="方正小标宋简体"/>
          <w:bCs w:val="0"/>
          <w:color w:val="auto"/>
          <w:sz w:val="36"/>
          <w:szCs w:val="36"/>
        </w:rPr>
      </w:pPr>
      <w:r>
        <w:rPr>
          <w:rStyle w:val="6"/>
          <w:rFonts w:eastAsia="方正小标宋简体"/>
          <w:b w:val="0"/>
          <w:color w:val="auto"/>
          <w:sz w:val="36"/>
          <w:szCs w:val="36"/>
        </w:rPr>
        <w:t>浙江省</w:t>
      </w:r>
      <w:r>
        <w:rPr>
          <w:rStyle w:val="6"/>
          <w:rFonts w:eastAsia="方正小标宋简体"/>
          <w:b w:val="0"/>
          <w:color w:val="auto"/>
          <w:sz w:val="36"/>
          <w:szCs w:val="36"/>
          <w:highlight w:val="none"/>
        </w:rPr>
        <w:t>科学技术奖</w:t>
      </w:r>
      <w:r>
        <w:rPr>
          <w:rStyle w:val="6"/>
          <w:rFonts w:eastAsia="方正小标宋简体"/>
          <w:b w:val="0"/>
          <w:color w:val="auto"/>
          <w:sz w:val="36"/>
          <w:szCs w:val="36"/>
        </w:rPr>
        <w:t>公示信息表</w:t>
      </w:r>
    </w:p>
    <w:p w14:paraId="6A34B0DA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>
        <w:rPr>
          <w:rFonts w:eastAsia="仿宋_GB2312"/>
          <w:sz w:val="28"/>
          <w:szCs w:val="24"/>
          <w:highlight w:val="none"/>
        </w:rPr>
        <w:t>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45A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5C3201BA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24310477">
            <w:pPr>
              <w:pStyle w:val="2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面向水光储算场景的电力财务多跨计算与安全管控关键技术及应用</w:t>
            </w:r>
          </w:p>
        </w:tc>
      </w:tr>
      <w:tr w14:paraId="567D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5973E922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0D3F0119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6"/>
                <w:rFonts w:hint="eastAsia" w:eastAsia="仿宋_GB2312" w:cs="Times New Roman"/>
                <w:b w:val="0"/>
                <w:color w:val="auto"/>
                <w:sz w:val="28"/>
                <w:lang w:val="en-US" w:eastAsia="zh-CN"/>
              </w:rPr>
              <w:t>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lang w:val="en-US" w:eastAsia="zh-CN"/>
              </w:rPr>
              <w:t>等奖</w:t>
            </w:r>
          </w:p>
        </w:tc>
      </w:tr>
      <w:tr w14:paraId="7ACBA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vAlign w:val="center"/>
          </w:tcPr>
          <w:p w14:paraId="26CCBBD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提名书</w:t>
            </w:r>
          </w:p>
          <w:p w14:paraId="5C753DA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27FD49A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主要知识产权和标准规范目录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eastAsia="zh-CN"/>
              </w:rPr>
              <w:t>：</w:t>
            </w:r>
          </w:p>
          <w:p w14:paraId="0E0B9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（1）中国发明专利，一种园区用电负荷优化调度方法、装置、设备及介质，ZL202311156064.6；</w:t>
            </w:r>
          </w:p>
          <w:p w14:paraId="692E5B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（2）中国发明专利，一种财务数据全链路监测方法及系统，ZL202411026496.X；</w:t>
            </w:r>
          </w:p>
          <w:p w14:paraId="4BF31F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（3）中国发明专利，一种模糊测试输入生成方法、装置、终端及介质，ZL202410246301.6；</w:t>
            </w:r>
          </w:p>
          <w:p w14:paraId="415F9D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（4）中国发明专利，基于改进的蜘蛛集群的数据服务资源优化调度方法，ZL202010370504.8；</w:t>
            </w:r>
          </w:p>
          <w:p w14:paraId="1F8D8D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（5）中国发明专利，一种基于KNN联邦蒸馏学习和Seq2Seq的短期电力负荷预测方法，ZL202510746351.5；</w:t>
            </w:r>
          </w:p>
          <w:p w14:paraId="379262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（6）中国发明专利，基于区块链的密钥管理方法及系统，ZL202010960367.3；</w:t>
            </w:r>
          </w:p>
          <w:p w14:paraId="1AD361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（7）中国发明专利，一种主链-侧链的监管方法及系统、设备和存储介质，ZL202010422104.7；</w:t>
            </w:r>
          </w:p>
          <w:p w14:paraId="3C2E67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8）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中国发明专利，基于电费智能结算的数据处理方法及处理设备，ZL202310678365.9；</w:t>
            </w:r>
          </w:p>
          <w:p w14:paraId="4F960B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）国际标准，IEEE Standard for Blockchain-Based Green Power Identification Applications，IEEE Std 3224-2023；</w:t>
            </w:r>
          </w:p>
          <w:p w14:paraId="098A49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）国际标准，IEEE Standard for Blockchain Interoperability—Cross Chain Transaction Consistency Protocol，IEEE Std 3221.01-2025；</w:t>
            </w:r>
          </w:p>
          <w:p w14:paraId="3B5864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（1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）国际标准，IEEE Standard for the Reference Architecture of Blockchain as a Service，IEEE Std 3231.01-2025；</w:t>
            </w:r>
          </w:p>
          <w:p w14:paraId="0FE98C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（1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）国际标准，IEEE Standard for Blockchain Service Capability Evaluation，IEEE Std 3230.03-2025；</w:t>
            </w:r>
          </w:p>
          <w:p w14:paraId="3F4D37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代表性论文专著目录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  <w:p w14:paraId="2632A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（1）J Xu，W Zhang，</w:t>
            </w:r>
            <w:r>
              <w:rPr>
                <w:rFonts w:hint="default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et al."CPIRI: Channel permutation-invariant relational interaction for multivariate time series forecasting." ICLR 2026 (2026)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.</w:t>
            </w:r>
          </w:p>
          <w:p w14:paraId="45CBB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Zhang, Wenyu, et al. "A Multitask Graph Convolutional Network With Attention-Based Seasonal-Trend Decomposition for Short-Term Load Forecasting." IEEE Transactions on Power Systems 40(2025):3222-3233.</w:t>
            </w:r>
          </w:p>
          <w:p w14:paraId="25613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（3）Pan, Kaikai, et al. "Real-Time Estimation and Defense of PV Inverter Sensor Attacks With Hardware Implementation." IEEE Transactions on Industrial Electronics 72(2025):3228-3232.</w:t>
            </w:r>
          </w:p>
          <w:p w14:paraId="5EF35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（4）Wang, Zhiyun, et al. "Sensor Attacks on Grid-Tie Photovoltaic Inverters: Synthetic Analysis and Real-Time Robust Detection." IEEE Transactions on Industrial Informatics 21(2025):820-831.</w:t>
            </w:r>
          </w:p>
          <w:p w14:paraId="1E2583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（5）Qiu, Yilei, et al. "MSGCN-ISTL: A multi-scaled self-attention-enhanced graph convolutional network with improved STL decomposition for probabilistic load forecasting." Expert Systems With Applications 238(2024):121737.</w:t>
            </w:r>
          </w:p>
        </w:tc>
      </w:tr>
      <w:tr w14:paraId="28C65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42C621E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CD0FDE0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姜波涛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高级会计师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丽水供电公司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2F081F11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杨  阳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高级会计师、高级经济师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丽水供电公司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516190FD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吕晓英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高级会计师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丽水供电公司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27328296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潘锴锴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6AB083C3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谢裕清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信息通信分公司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08E4901F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张文宇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二级教授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浙江财经大学信息技术与人工智能学院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40F27FC8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傅  悦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会计师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国网浙江省电力有限公司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6423403E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邱炜伟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正高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杭州趣链科技股份有限公司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4DEDA5AD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吴  盛</w:t>
            </w:r>
            <w:r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高</w:t>
            </w:r>
            <w:bookmarkStart w:id="0" w:name="_GoBack"/>
            <w:bookmarkEnd w:id="0"/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级会计师</w:t>
            </w:r>
            <w:r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丽水供电公司</w:t>
            </w:r>
            <w:r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  <w:t>；</w:t>
            </w:r>
          </w:p>
        </w:tc>
      </w:tr>
      <w:tr w14:paraId="06D16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2B58608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1519BB0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丽水供电公司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4CF6C93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信息通信分公司；</w:t>
            </w:r>
          </w:p>
          <w:p w14:paraId="48FBF7A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1628AB4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浙江财经大学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022DA38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杭州趣链科技股份有限公司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575A804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朗新科技集团股份有限公司。</w:t>
            </w:r>
          </w:p>
        </w:tc>
      </w:tr>
      <w:tr w14:paraId="7010F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2F872C6D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53B70360">
            <w:pPr>
              <w:contextualSpacing/>
              <w:jc w:val="center"/>
              <w:rPr>
                <w:rStyle w:val="6"/>
                <w:rFonts w:hint="default" w:ascii="Times New Roman" w:hAnsi="Times New Roman" w:cs="Times New Roman"/>
                <w:b w:val="0"/>
                <w:color w:val="auto"/>
                <w:lang w:val="en-US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丽水市人民政府</w:t>
            </w:r>
          </w:p>
        </w:tc>
      </w:tr>
      <w:tr w14:paraId="1AE99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269" w:type="dxa"/>
            <w:vAlign w:val="center"/>
          </w:tcPr>
          <w:p w14:paraId="24CAF450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0C0B1D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textAlignment w:val="auto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经审查，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该项目聚焦新能源快速发展背景下电力财务管理方式转型需求，围绕光水储算等新能源场景中数据来源复杂、资金预测难度高、绿色资产认证和结算协同不足等关键问题，开展了系统性技术攻关。成果将多跨数据融合、安全可信接入、资金智能预测、区块链溯源和多主体协同结算贯通起来，形成了面向新能源电力财务业务的新型协同决策技术体系，对提升电力财务数字化、智能化和可信化水平具有重要支撑作用。</w:t>
            </w:r>
          </w:p>
          <w:p w14:paraId="1379F6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textAlignment w:val="auto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在数据治理方面，研发了多源电力终端跨域安全检测与互验证技术，构建了面向高维异构数据的本体建模、语义映射和融合计算方法，提升了新能源业务数据接入、治理和共享的安全性与一致性。在资金预测方面，融合新能源血缘、气象、历史发电量和算力中心用电等多类因素，建立多时间尺度预测框架和多算法协同机制，实现了由发电量预测向购销资金预测的延伸，增强了复杂市场环境下资金测算的精准性和适应性。在可信溯源与结算方面，提出基于区块链和多源交叉认证的新能源电力可信标识方法，构建联盟链记账、智能合约履约、多智能体审核和RPA 协同结算流程，实现了绿电溯源、收益核算、链上存证和跨主体结算的闭环联动。</w:t>
            </w:r>
          </w:p>
          <w:p w14:paraId="3D159D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color w:val="auto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成果总体达到国际领先水平，已在国网浙江省电力有限公司丽水供电公司、朗新科技、邦道科技等单位应用，经济、社会和推广应用价值显著。该项目创新成果突出、应用成效显著、材料真实完整，同意推荐申报。</w:t>
            </w:r>
          </w:p>
        </w:tc>
      </w:tr>
    </w:tbl>
    <w:p w14:paraId="34A3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8E9612E-0460-47F5-BF7E-509959519D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4DC5AB0-22C1-4AC4-A63F-3152F3A9F2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51BD"/>
    <w:rsid w:val="010855B5"/>
    <w:rsid w:val="01A13B46"/>
    <w:rsid w:val="06DC2725"/>
    <w:rsid w:val="0B1372EE"/>
    <w:rsid w:val="0B1A00CC"/>
    <w:rsid w:val="0B2E2C5C"/>
    <w:rsid w:val="0B7B72E4"/>
    <w:rsid w:val="0B9E444D"/>
    <w:rsid w:val="0CA227B7"/>
    <w:rsid w:val="0E0F1655"/>
    <w:rsid w:val="14B56520"/>
    <w:rsid w:val="167257FF"/>
    <w:rsid w:val="16CA7A94"/>
    <w:rsid w:val="17092996"/>
    <w:rsid w:val="174B07DE"/>
    <w:rsid w:val="1A630BF2"/>
    <w:rsid w:val="20396874"/>
    <w:rsid w:val="208A6731"/>
    <w:rsid w:val="210E39CB"/>
    <w:rsid w:val="23646196"/>
    <w:rsid w:val="27474D97"/>
    <w:rsid w:val="27C1166D"/>
    <w:rsid w:val="2A464398"/>
    <w:rsid w:val="2A7D2C80"/>
    <w:rsid w:val="2C880575"/>
    <w:rsid w:val="2CEA65D6"/>
    <w:rsid w:val="2E5642BC"/>
    <w:rsid w:val="32951856"/>
    <w:rsid w:val="35890092"/>
    <w:rsid w:val="367B2F6F"/>
    <w:rsid w:val="36893449"/>
    <w:rsid w:val="38926634"/>
    <w:rsid w:val="3917531F"/>
    <w:rsid w:val="4170218F"/>
    <w:rsid w:val="41EB0EB0"/>
    <w:rsid w:val="43D95CE0"/>
    <w:rsid w:val="46E618FC"/>
    <w:rsid w:val="48362FE3"/>
    <w:rsid w:val="50B80BA8"/>
    <w:rsid w:val="53310EBC"/>
    <w:rsid w:val="598F535C"/>
    <w:rsid w:val="5A26763E"/>
    <w:rsid w:val="607F5537"/>
    <w:rsid w:val="637600C4"/>
    <w:rsid w:val="63E37C26"/>
    <w:rsid w:val="6884245F"/>
    <w:rsid w:val="6DE34F29"/>
    <w:rsid w:val="7085558D"/>
    <w:rsid w:val="77057B79"/>
    <w:rsid w:val="79E87EE3"/>
    <w:rsid w:val="7B242FBE"/>
    <w:rsid w:val="7BD6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afterLines="0" w:afterAutospacing="0" w:line="240" w:lineRule="auto"/>
    </w:pPr>
    <w:rPr>
      <w:rFonts w:asciiTheme="minorAscii" w:hAnsiTheme="minorAscii" w:eastAsiaTheme="minorEastAsia" w:cstheme="minorBidi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1843</Words>
  <Characters>3006</Characters>
  <Paragraphs>56</Paragraphs>
  <TotalTime>0</TotalTime>
  <ScaleCrop>false</ScaleCrop>
  <LinksUpToDate>false</LinksUpToDate>
  <CharactersWithSpaces>3207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2026-06-10T06:25:00Z</dcterms:created>
  <dc:creator>HP</dc:creator>
  <cp:lastModifiedBy>Herr Chou</cp:lastModifiedBy>
  <dcterms:modified xsi:type="dcterms:W3CDTF">2026-06-18T06:59:23Z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eyJoZGlkIjoiMDY5NmFjMmM4ZTljMGJiZDAxN2JmYTc0NGI0NmFiNDgiLCJ1c2VySWQiOiIzNzYzODE2NzcifQ==</vt:lpwstr>
  </property>
  <property fmtid="{D5CDD505-2E9C-101B-9397-08002B2CF9AE}" pid="4" name="ICV">
    <vt:lpwstr>70932AAA2CAF4AC4A85EF39CF7AF1FA5_13</vt:lpwstr>
  </property>
</Properties>
</file>