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2C5E54">
      <w:pPr>
        <w:pStyle w:val="6"/>
        <w:spacing w:line="560" w:lineRule="exact"/>
        <w:ind w:firstLine="640"/>
        <w:rPr>
          <w:rFonts w:ascii="Times New Roman" w:eastAsia="仿宋_GB2312"/>
          <w:sz w:val="32"/>
          <w:szCs w:val="32"/>
        </w:rPr>
      </w:pPr>
    </w:p>
    <w:p w14:paraId="215447AE">
      <w:pPr>
        <w:jc w:val="center"/>
        <w:rPr>
          <w:rFonts w:eastAsia="仿宋_GB2312"/>
          <w:sz w:val="24"/>
          <w:szCs w:val="32"/>
        </w:rPr>
      </w:pPr>
    </w:p>
    <w:p w14:paraId="0BF5050C">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7B66F060">
      <w:pPr>
        <w:spacing w:line="440" w:lineRule="exact"/>
        <w:rPr>
          <w:rFonts w:eastAsia="仿宋_GB2312"/>
          <w:sz w:val="28"/>
          <w:szCs w:val="24"/>
        </w:rPr>
      </w:pPr>
      <w:r>
        <w:rPr>
          <w:rFonts w:eastAsia="仿宋_GB2312"/>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474C6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57361E47">
            <w:pPr>
              <w:jc w:val="center"/>
              <w:rPr>
                <w:rStyle w:val="36"/>
                <w:rFonts w:eastAsia="仿宋_GB2312"/>
                <w:b w:val="0"/>
                <w:color w:val="auto"/>
                <w:sz w:val="28"/>
              </w:rPr>
            </w:pPr>
            <w:r>
              <w:rPr>
                <w:rStyle w:val="36"/>
                <w:rFonts w:eastAsia="仿宋_GB2312"/>
                <w:b w:val="0"/>
                <w:bCs w:val="0"/>
                <w:color w:val="auto"/>
                <w:sz w:val="28"/>
              </w:rPr>
              <w:t>成果名称</w:t>
            </w:r>
          </w:p>
        </w:tc>
        <w:tc>
          <w:tcPr>
            <w:tcW w:w="6237" w:type="dxa"/>
            <w:vAlign w:val="center"/>
          </w:tcPr>
          <w:p w14:paraId="364719FD">
            <w:pPr>
              <w:jc w:val="center"/>
              <w:rPr>
                <w:rStyle w:val="36"/>
                <w:rFonts w:eastAsia="仿宋_GB2312"/>
                <w:b w:val="0"/>
                <w:color w:val="auto"/>
                <w:sz w:val="28"/>
              </w:rPr>
            </w:pPr>
            <w:r>
              <w:rPr>
                <w:rFonts w:hint="eastAsia" w:eastAsia="仿宋_GB2312"/>
                <w:bCs/>
                <w:sz w:val="24"/>
                <w:szCs w:val="24"/>
                <w:lang w:val="en-US" w:eastAsia="zh-CN"/>
              </w:rPr>
              <w:t>源荷强不确定性下受端电网保供与新能源消纳调控关键技术及应用</w:t>
            </w:r>
          </w:p>
        </w:tc>
      </w:tr>
      <w:tr w14:paraId="6B4CB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269" w:type="dxa"/>
            <w:vAlign w:val="center"/>
          </w:tcPr>
          <w:p w14:paraId="42D6EEC8">
            <w:pPr>
              <w:jc w:val="center"/>
              <w:rPr>
                <w:rStyle w:val="36"/>
                <w:rFonts w:eastAsia="仿宋_GB2312"/>
                <w:b w:val="0"/>
                <w:color w:val="auto"/>
                <w:sz w:val="28"/>
              </w:rPr>
            </w:pPr>
            <w:r>
              <w:rPr>
                <w:rStyle w:val="36"/>
                <w:rFonts w:eastAsia="仿宋_GB2312"/>
                <w:b w:val="0"/>
                <w:bCs w:val="0"/>
                <w:color w:val="auto"/>
                <w:sz w:val="28"/>
              </w:rPr>
              <w:t>提名等级</w:t>
            </w:r>
          </w:p>
        </w:tc>
        <w:tc>
          <w:tcPr>
            <w:tcW w:w="6237" w:type="dxa"/>
            <w:vAlign w:val="center"/>
          </w:tcPr>
          <w:p w14:paraId="508C3FD0">
            <w:pPr>
              <w:jc w:val="center"/>
              <w:rPr>
                <w:rStyle w:val="36"/>
                <w:rFonts w:hint="eastAsia" w:eastAsia="仿宋_GB2312"/>
                <w:b w:val="0"/>
                <w:color w:val="auto"/>
                <w:sz w:val="28"/>
                <w:lang w:val="en-US" w:eastAsia="zh-CN"/>
              </w:rPr>
            </w:pPr>
            <w:r>
              <w:rPr>
                <w:rFonts w:hint="eastAsia" w:eastAsia="仿宋_GB2312"/>
                <w:bCs/>
                <w:sz w:val="24"/>
                <w:szCs w:val="24"/>
                <w:lang w:val="en-US" w:eastAsia="zh-CN"/>
              </w:rPr>
              <w:t>二等奖</w:t>
            </w:r>
          </w:p>
        </w:tc>
      </w:tr>
      <w:tr w14:paraId="529A0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269" w:type="dxa"/>
            <w:vAlign w:val="center"/>
          </w:tcPr>
          <w:p w14:paraId="363AA6F3">
            <w:pPr>
              <w:spacing w:line="440" w:lineRule="exact"/>
              <w:jc w:val="center"/>
              <w:rPr>
                <w:rFonts w:eastAsia="仿宋_GB2312"/>
                <w:bCs/>
                <w:sz w:val="28"/>
                <w:szCs w:val="24"/>
              </w:rPr>
            </w:pPr>
            <w:r>
              <w:rPr>
                <w:rFonts w:eastAsia="仿宋_GB2312"/>
                <w:bCs/>
                <w:sz w:val="28"/>
                <w:szCs w:val="24"/>
              </w:rPr>
              <w:t>提名书</w:t>
            </w:r>
          </w:p>
          <w:p w14:paraId="2EE69BD4">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14:paraId="4E6B06EE">
            <w:pPr>
              <w:spacing w:line="440" w:lineRule="exact"/>
              <w:jc w:val="left"/>
              <w:rPr>
                <w:rFonts w:hint="eastAsia" w:eastAsia="仿宋_GB2312"/>
                <w:bCs/>
                <w:sz w:val="24"/>
                <w:szCs w:val="24"/>
                <w:lang w:val="en-US" w:eastAsia="zh-CN"/>
              </w:rPr>
            </w:pPr>
            <w:r>
              <w:rPr>
                <w:rFonts w:hint="eastAsia" w:eastAsia="仿宋_GB2312"/>
                <w:b/>
                <w:bCs w:val="0"/>
                <w:sz w:val="24"/>
                <w:szCs w:val="24"/>
                <w:lang w:val="en-US" w:eastAsia="zh-CN"/>
              </w:rPr>
              <w:t>发明专利</w:t>
            </w:r>
            <w:r>
              <w:rPr>
                <w:rFonts w:hint="eastAsia" w:eastAsia="仿宋_GB2312"/>
                <w:bCs/>
                <w:sz w:val="24"/>
                <w:szCs w:val="24"/>
                <w:lang w:val="en-US" w:eastAsia="zh-CN"/>
              </w:rPr>
              <w:t>：</w:t>
            </w:r>
          </w:p>
          <w:p w14:paraId="484B33A5">
            <w:pPr>
              <w:numPr>
                <w:ilvl w:val="0"/>
                <w:numId w:val="1"/>
              </w:numPr>
              <w:spacing w:line="440" w:lineRule="exact"/>
              <w:ind w:left="425" w:leftChars="0" w:hanging="425" w:firstLineChars="0"/>
              <w:jc w:val="left"/>
              <w:rPr>
                <w:rFonts w:hint="eastAsia" w:eastAsia="仿宋_GB2312"/>
                <w:bCs/>
                <w:sz w:val="24"/>
                <w:szCs w:val="24"/>
                <w:lang w:val="en-US" w:eastAsia="zh-CN"/>
              </w:rPr>
            </w:pPr>
            <w:r>
              <w:rPr>
                <w:rFonts w:hint="eastAsia" w:eastAsia="仿宋_GB2312"/>
                <w:bCs/>
                <w:sz w:val="24"/>
                <w:szCs w:val="24"/>
                <w:lang w:val="en-US" w:eastAsia="zh-CN"/>
              </w:rPr>
              <w:t xml:space="preserve">ZL202210230736.2 </w:t>
            </w:r>
            <w:r>
              <w:rPr>
                <w:rFonts w:eastAsia="仿宋_GB2312"/>
                <w:bCs/>
                <w:sz w:val="24"/>
                <w:szCs w:val="24"/>
              </w:rPr>
              <w:t>基于深度学习的新能源场站不良数据辨识与修正方法</w:t>
            </w:r>
          </w:p>
          <w:p w14:paraId="08457356">
            <w:pPr>
              <w:numPr>
                <w:ilvl w:val="0"/>
                <w:numId w:val="1"/>
              </w:numPr>
              <w:spacing w:line="440" w:lineRule="exact"/>
              <w:ind w:left="425" w:leftChars="0" w:hanging="425" w:firstLineChars="0"/>
              <w:jc w:val="left"/>
              <w:rPr>
                <w:rFonts w:hint="default" w:eastAsia="仿宋_GB2312"/>
                <w:bCs/>
                <w:sz w:val="24"/>
                <w:szCs w:val="24"/>
                <w:lang w:val="en-US" w:eastAsia="zh-CN"/>
              </w:rPr>
            </w:pPr>
            <w:r>
              <w:rPr>
                <w:rFonts w:hint="eastAsia"/>
                <w:sz w:val="24"/>
                <w:szCs w:val="24"/>
                <w:lang w:val="en-US" w:eastAsia="zh-CN"/>
              </w:rPr>
              <w:t xml:space="preserve">ZL202310351152.5 </w:t>
            </w:r>
            <w:r>
              <w:rPr>
                <w:rFonts w:eastAsia="仿宋_GB2312"/>
                <w:bCs/>
                <w:sz w:val="24"/>
                <w:szCs w:val="24"/>
              </w:rPr>
              <w:t>光伏集群功率预测方法、装置、设备及介质</w:t>
            </w:r>
          </w:p>
          <w:p w14:paraId="4B3FC15A">
            <w:pPr>
              <w:numPr>
                <w:ilvl w:val="0"/>
                <w:numId w:val="1"/>
              </w:numPr>
              <w:spacing w:line="440" w:lineRule="exact"/>
              <w:ind w:left="425" w:leftChars="0" w:hanging="425" w:firstLineChars="0"/>
              <w:jc w:val="left"/>
              <w:rPr>
                <w:rFonts w:hint="default" w:eastAsia="仿宋_GB2312"/>
                <w:bCs/>
                <w:sz w:val="24"/>
                <w:szCs w:val="24"/>
                <w:lang w:val="en-US" w:eastAsia="zh-CN"/>
              </w:rPr>
            </w:pPr>
            <w:r>
              <w:rPr>
                <w:rFonts w:hint="eastAsia"/>
                <w:sz w:val="24"/>
                <w:szCs w:val="24"/>
                <w:lang w:val="en-US" w:eastAsia="zh-CN"/>
              </w:rPr>
              <w:t xml:space="preserve">ZL202411340550.8 </w:t>
            </w:r>
            <w:r>
              <w:rPr>
                <w:rFonts w:eastAsia="仿宋_GB2312"/>
                <w:bCs/>
                <w:sz w:val="24"/>
                <w:szCs w:val="24"/>
              </w:rPr>
              <w:t>一种基于区域画像的电力负荷预测方法及系统</w:t>
            </w:r>
          </w:p>
          <w:p w14:paraId="5B268430">
            <w:pPr>
              <w:numPr>
                <w:ilvl w:val="0"/>
                <w:numId w:val="1"/>
              </w:numPr>
              <w:spacing w:line="440" w:lineRule="exact"/>
              <w:ind w:left="425" w:leftChars="0" w:hanging="425" w:firstLineChars="0"/>
              <w:jc w:val="left"/>
              <w:rPr>
                <w:rFonts w:hint="default" w:eastAsia="仿宋_GB2312"/>
                <w:bCs/>
                <w:sz w:val="24"/>
                <w:szCs w:val="24"/>
                <w:lang w:val="en-US" w:eastAsia="zh-CN"/>
              </w:rPr>
            </w:pPr>
            <w:r>
              <w:rPr>
                <w:rFonts w:hint="eastAsia"/>
                <w:sz w:val="24"/>
                <w:szCs w:val="24"/>
                <w:lang w:val="en-US" w:eastAsia="zh-CN"/>
              </w:rPr>
              <w:t xml:space="preserve">ZL202111404196.7 </w:t>
            </w:r>
            <w:r>
              <w:rPr>
                <w:rFonts w:eastAsia="仿宋_GB2312"/>
                <w:bCs/>
                <w:sz w:val="24"/>
                <w:szCs w:val="24"/>
              </w:rPr>
              <w:t>光伏参与电力平衡可用率设置方法</w:t>
            </w:r>
          </w:p>
          <w:p w14:paraId="2C948BE6">
            <w:pPr>
              <w:numPr>
                <w:ilvl w:val="0"/>
                <w:numId w:val="1"/>
              </w:numPr>
              <w:spacing w:line="440" w:lineRule="exact"/>
              <w:ind w:left="425" w:leftChars="0" w:hanging="425" w:firstLineChars="0"/>
              <w:jc w:val="left"/>
              <w:rPr>
                <w:rFonts w:hint="default" w:eastAsia="仿宋_GB2312"/>
                <w:bCs/>
                <w:sz w:val="24"/>
                <w:szCs w:val="24"/>
                <w:lang w:val="en-US" w:eastAsia="zh-CN"/>
              </w:rPr>
            </w:pPr>
            <w:r>
              <w:rPr>
                <w:rFonts w:hint="eastAsia"/>
                <w:sz w:val="24"/>
                <w:szCs w:val="24"/>
                <w:lang w:val="en-US" w:eastAsia="zh-CN"/>
              </w:rPr>
              <w:t xml:space="preserve">ZL202410544239.9 </w:t>
            </w:r>
            <w:r>
              <w:rPr>
                <w:rFonts w:eastAsia="仿宋_GB2312"/>
                <w:bCs/>
                <w:sz w:val="24"/>
                <w:szCs w:val="24"/>
              </w:rPr>
              <w:t>一种受端电网省间现货购电仿真方法、系统、设备及介质</w:t>
            </w:r>
          </w:p>
          <w:p w14:paraId="7AABC9D8">
            <w:pPr>
              <w:spacing w:line="440" w:lineRule="exact"/>
              <w:jc w:val="left"/>
              <w:rPr>
                <w:rFonts w:hint="eastAsia" w:eastAsia="仿宋_GB2312"/>
                <w:bCs/>
                <w:sz w:val="24"/>
                <w:szCs w:val="24"/>
                <w:lang w:eastAsia="zh-CN"/>
              </w:rPr>
            </w:pPr>
            <w:r>
              <w:rPr>
                <w:rFonts w:eastAsia="仿宋_GB2312"/>
                <w:b/>
                <w:bCs w:val="0"/>
                <w:sz w:val="24"/>
                <w:szCs w:val="24"/>
              </w:rPr>
              <w:t>计算机软件著作</w:t>
            </w:r>
            <w:r>
              <w:rPr>
                <w:rFonts w:hint="eastAsia" w:eastAsia="仿宋_GB2312"/>
                <w:bCs/>
                <w:sz w:val="24"/>
                <w:szCs w:val="24"/>
                <w:lang w:eastAsia="zh-CN"/>
              </w:rPr>
              <w:t>：</w:t>
            </w:r>
          </w:p>
          <w:p w14:paraId="6DEE650B">
            <w:pPr>
              <w:numPr>
                <w:ilvl w:val="0"/>
                <w:numId w:val="2"/>
              </w:numPr>
              <w:spacing w:line="440" w:lineRule="exact"/>
              <w:ind w:left="425" w:leftChars="0" w:hanging="425" w:firstLineChars="0"/>
              <w:jc w:val="left"/>
              <w:rPr>
                <w:rFonts w:hint="eastAsia" w:eastAsia="仿宋_GB2312"/>
                <w:bCs/>
                <w:sz w:val="24"/>
                <w:szCs w:val="24"/>
                <w:lang w:val="en-US" w:eastAsia="zh-CN"/>
              </w:rPr>
            </w:pPr>
            <w:r>
              <w:rPr>
                <w:rFonts w:hint="eastAsia" w:eastAsia="仿宋_GB2312"/>
                <w:bCs/>
                <w:sz w:val="24"/>
                <w:szCs w:val="24"/>
                <w:lang w:val="en-US" w:eastAsia="zh-CN"/>
              </w:rPr>
              <w:t>《</w:t>
            </w:r>
            <w:r>
              <w:rPr>
                <w:rFonts w:eastAsia="仿宋_GB2312"/>
                <w:bCs/>
                <w:sz w:val="24"/>
                <w:szCs w:val="24"/>
              </w:rPr>
              <w:t>省级电网光伏功率概率预测系统 V1.0</w:t>
            </w:r>
            <w:r>
              <w:rPr>
                <w:rFonts w:hint="eastAsia" w:eastAsia="仿宋_GB2312"/>
                <w:bCs/>
                <w:sz w:val="24"/>
                <w:szCs w:val="24"/>
                <w:lang w:val="en-US" w:eastAsia="zh-CN"/>
              </w:rPr>
              <w:t>》</w:t>
            </w:r>
          </w:p>
          <w:p w14:paraId="0D431482">
            <w:pPr>
              <w:numPr>
                <w:ilvl w:val="0"/>
                <w:numId w:val="0"/>
              </w:numPr>
              <w:spacing w:line="440" w:lineRule="exact"/>
              <w:ind w:leftChars="0"/>
              <w:jc w:val="left"/>
              <w:rPr>
                <w:rFonts w:hint="eastAsia" w:eastAsia="仿宋_GB2312"/>
                <w:bCs/>
                <w:sz w:val="24"/>
                <w:szCs w:val="24"/>
                <w:lang w:val="en-US" w:eastAsia="zh-CN"/>
              </w:rPr>
            </w:pPr>
            <w:r>
              <w:rPr>
                <w:rFonts w:hint="eastAsia" w:eastAsia="仿宋_GB2312"/>
                <w:b/>
                <w:bCs w:val="0"/>
                <w:sz w:val="24"/>
                <w:szCs w:val="24"/>
                <w:lang w:val="en-US" w:eastAsia="zh-CN"/>
              </w:rPr>
              <w:t>论文专著</w:t>
            </w:r>
            <w:r>
              <w:rPr>
                <w:rFonts w:hint="eastAsia" w:eastAsia="仿宋_GB2312"/>
                <w:bCs/>
                <w:sz w:val="24"/>
                <w:szCs w:val="24"/>
                <w:lang w:val="en-US" w:eastAsia="zh-CN"/>
              </w:rPr>
              <w:t>：</w:t>
            </w:r>
          </w:p>
          <w:p w14:paraId="6632A208">
            <w:pPr>
              <w:numPr>
                <w:ilvl w:val="0"/>
                <w:numId w:val="3"/>
              </w:numPr>
              <w:spacing w:line="440" w:lineRule="exact"/>
              <w:ind w:left="425" w:leftChars="0" w:hanging="425" w:firstLineChars="0"/>
              <w:jc w:val="left"/>
              <w:rPr>
                <w:rFonts w:hint="eastAsia" w:eastAsia="仿宋_GB2312"/>
                <w:bCs/>
                <w:sz w:val="24"/>
                <w:szCs w:val="24"/>
                <w:lang w:val="en-US" w:eastAsia="zh-CN"/>
              </w:rPr>
            </w:pPr>
            <w:r>
              <w:rPr>
                <w:rFonts w:hint="eastAsia" w:eastAsia="仿宋_GB2312"/>
                <w:bCs/>
                <w:sz w:val="24"/>
                <w:szCs w:val="24"/>
                <w:lang w:val="en-US" w:eastAsia="zh-CN"/>
              </w:rPr>
              <w:t>《</w:t>
            </w:r>
            <w:r>
              <w:rPr>
                <w:rFonts w:eastAsia="仿宋_GB2312"/>
                <w:bCs/>
                <w:sz w:val="24"/>
                <w:szCs w:val="24"/>
              </w:rPr>
              <w:t>LightGBM-Integrated PV Power Prediction Based onMulti-Resolution Similarity</w:t>
            </w:r>
            <w:r>
              <w:rPr>
                <w:rFonts w:hint="eastAsia" w:eastAsia="仿宋_GB2312"/>
                <w:bCs/>
                <w:sz w:val="24"/>
                <w:szCs w:val="24"/>
                <w:lang w:val="en-US" w:eastAsia="zh-CN"/>
              </w:rPr>
              <w:t>》</w:t>
            </w:r>
          </w:p>
          <w:p w14:paraId="6CEC11B3">
            <w:pPr>
              <w:numPr>
                <w:ilvl w:val="0"/>
                <w:numId w:val="3"/>
              </w:numPr>
              <w:spacing w:line="440" w:lineRule="exact"/>
              <w:ind w:left="425" w:leftChars="0" w:hanging="425" w:firstLineChars="0"/>
              <w:jc w:val="left"/>
              <w:rPr>
                <w:rFonts w:hint="eastAsia" w:eastAsia="仿宋_GB2312"/>
                <w:bCs/>
                <w:sz w:val="24"/>
                <w:szCs w:val="24"/>
                <w:lang w:val="en-US" w:eastAsia="zh-CN"/>
              </w:rPr>
            </w:pPr>
            <w:r>
              <w:rPr>
                <w:rFonts w:hint="eastAsia" w:eastAsia="仿宋_GB2312"/>
                <w:bCs/>
                <w:sz w:val="24"/>
                <w:szCs w:val="24"/>
                <w:lang w:val="en-US" w:eastAsia="zh-CN"/>
              </w:rPr>
              <w:t>《</w:t>
            </w:r>
            <w:r>
              <w:rPr>
                <w:rFonts w:eastAsia="仿宋_GB2312"/>
                <w:bCs/>
                <w:sz w:val="24"/>
                <w:szCs w:val="24"/>
              </w:rPr>
              <w:t>Natural Gas–Electricity Price Linkage Analysis Method Based on Benefit–Cost and Attention–VECM Model</w:t>
            </w:r>
            <w:r>
              <w:rPr>
                <w:rFonts w:hint="eastAsia" w:eastAsia="仿宋_GB2312"/>
                <w:bCs/>
                <w:sz w:val="24"/>
                <w:szCs w:val="24"/>
                <w:lang w:val="en-US" w:eastAsia="zh-CN"/>
              </w:rPr>
              <w:t>》</w:t>
            </w:r>
          </w:p>
          <w:p w14:paraId="354BDEC9">
            <w:pPr>
              <w:numPr>
                <w:ilvl w:val="0"/>
                <w:numId w:val="3"/>
              </w:numPr>
              <w:spacing w:line="440" w:lineRule="exact"/>
              <w:ind w:left="425" w:leftChars="0" w:hanging="425" w:firstLineChars="0"/>
              <w:jc w:val="left"/>
              <w:rPr>
                <w:rFonts w:hint="eastAsia" w:eastAsia="仿宋_GB2312"/>
                <w:bCs/>
                <w:sz w:val="24"/>
                <w:szCs w:val="24"/>
                <w:lang w:val="en-US" w:eastAsia="zh-CN"/>
              </w:rPr>
            </w:pPr>
            <w:r>
              <w:rPr>
                <w:rFonts w:hint="eastAsia" w:eastAsia="仿宋_GB2312"/>
                <w:bCs/>
                <w:sz w:val="24"/>
                <w:szCs w:val="24"/>
                <w:lang w:val="en-US" w:eastAsia="zh-CN"/>
              </w:rPr>
              <w:t>《</w:t>
            </w:r>
            <w:r>
              <w:rPr>
                <w:rFonts w:eastAsia="仿宋_GB2312"/>
                <w:bCs/>
                <w:sz w:val="24"/>
                <w:szCs w:val="24"/>
              </w:rPr>
              <w:t>考虑天然气柔性供应约束的气-电协同优化调度策略</w:t>
            </w:r>
            <w:r>
              <w:rPr>
                <w:rFonts w:hint="eastAsia" w:eastAsia="仿宋_GB2312"/>
                <w:bCs/>
                <w:sz w:val="24"/>
                <w:szCs w:val="24"/>
                <w:lang w:val="en-US" w:eastAsia="zh-CN"/>
              </w:rPr>
              <w:t>》</w:t>
            </w:r>
          </w:p>
          <w:p w14:paraId="1B5683CA">
            <w:pPr>
              <w:numPr>
                <w:ilvl w:val="0"/>
                <w:numId w:val="0"/>
              </w:numPr>
              <w:spacing w:line="440" w:lineRule="exact"/>
              <w:ind w:leftChars="0"/>
              <w:jc w:val="left"/>
              <w:rPr>
                <w:rFonts w:hint="eastAsia" w:eastAsia="仿宋_GB2312"/>
                <w:bCs/>
                <w:sz w:val="24"/>
                <w:szCs w:val="24"/>
                <w:lang w:val="en-US" w:eastAsia="zh-CN"/>
              </w:rPr>
            </w:pPr>
            <w:r>
              <w:rPr>
                <w:rFonts w:hint="eastAsia" w:eastAsia="仿宋_GB2312"/>
                <w:b/>
                <w:bCs w:val="0"/>
                <w:sz w:val="24"/>
                <w:szCs w:val="24"/>
                <w:lang w:val="en-US" w:eastAsia="zh-CN"/>
              </w:rPr>
              <w:t>制定标准</w:t>
            </w:r>
            <w:r>
              <w:rPr>
                <w:rFonts w:hint="eastAsia" w:eastAsia="仿宋_GB2312"/>
                <w:bCs/>
                <w:sz w:val="24"/>
                <w:szCs w:val="24"/>
                <w:lang w:val="en-US" w:eastAsia="zh-CN"/>
              </w:rPr>
              <w:t>：</w:t>
            </w:r>
          </w:p>
          <w:p w14:paraId="1C6008D0">
            <w:pPr>
              <w:numPr>
                <w:ilvl w:val="0"/>
                <w:numId w:val="4"/>
              </w:numPr>
              <w:spacing w:line="440" w:lineRule="exact"/>
              <w:ind w:left="425" w:leftChars="0" w:hanging="425" w:firstLineChars="0"/>
              <w:jc w:val="left"/>
              <w:rPr>
                <w:rFonts w:hint="default" w:eastAsia="仿宋_GB2312"/>
                <w:bCs/>
                <w:sz w:val="24"/>
                <w:szCs w:val="24"/>
                <w:lang w:val="en-US" w:eastAsia="zh-CN"/>
              </w:rPr>
            </w:pPr>
            <w:r>
              <w:rPr>
                <w:rFonts w:hint="eastAsia" w:eastAsia="仿宋_GB2312"/>
                <w:bCs/>
                <w:sz w:val="24"/>
                <w:szCs w:val="24"/>
                <w:lang w:val="en-US" w:eastAsia="zh-CN"/>
              </w:rPr>
              <w:t>《GB/T 45905.4-2025 电力现货市场运营 第4部分:负荷预测》</w:t>
            </w:r>
          </w:p>
        </w:tc>
      </w:tr>
      <w:tr w14:paraId="3C373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312D7F41">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color="auto" w:sz="4" w:space="0"/>
            </w:tcBorders>
            <w:vAlign w:val="center"/>
          </w:tcPr>
          <w:p w14:paraId="4167C8FD">
            <w:pPr>
              <w:spacing w:line="440" w:lineRule="exact"/>
              <w:rPr>
                <w:rFonts w:hint="eastAsia" w:eastAsia="仿宋_GB2312"/>
                <w:bCs/>
                <w:sz w:val="24"/>
                <w:szCs w:val="24"/>
                <w:lang w:val="en-US" w:eastAsia="zh-CN"/>
              </w:rPr>
            </w:pPr>
            <w:r>
              <w:rPr>
                <w:rFonts w:hint="eastAsia" w:eastAsia="仿宋_GB2312"/>
                <w:bCs/>
                <w:sz w:val="24"/>
                <w:szCs w:val="24"/>
                <w:lang w:val="en-US" w:eastAsia="zh-CN"/>
              </w:rPr>
              <w:t>陈文进</w:t>
            </w:r>
            <w:r>
              <w:rPr>
                <w:rFonts w:eastAsia="仿宋_GB2312"/>
                <w:bCs/>
                <w:sz w:val="24"/>
                <w:szCs w:val="24"/>
              </w:rPr>
              <w:t>，</w:t>
            </w:r>
            <w:r>
              <w:rPr>
                <w:rFonts w:hint="eastAsia" w:eastAsia="仿宋_GB2312"/>
                <w:bCs/>
                <w:sz w:val="24"/>
                <w:szCs w:val="24"/>
                <w:lang w:val="en-US" w:eastAsia="zh-CN"/>
              </w:rPr>
              <w:t>排名1，正高级工程师，</w:t>
            </w:r>
            <w:r>
              <w:rPr>
                <w:rFonts w:hint="default" w:eastAsia="仿宋_GB2312"/>
                <w:bCs/>
                <w:sz w:val="24"/>
                <w:szCs w:val="24"/>
                <w:lang w:val="en-US" w:eastAsia="zh-CN"/>
              </w:rPr>
              <w:t>国网浙江省电力有限公司</w:t>
            </w:r>
            <w:r>
              <w:rPr>
                <w:rFonts w:hint="eastAsia" w:eastAsia="仿宋_GB2312"/>
                <w:bCs/>
                <w:sz w:val="24"/>
                <w:szCs w:val="24"/>
                <w:lang w:val="en-US" w:eastAsia="zh-CN"/>
              </w:rPr>
              <w:t>；</w:t>
            </w:r>
          </w:p>
          <w:p w14:paraId="119FF7AF">
            <w:pPr>
              <w:spacing w:line="440" w:lineRule="exact"/>
              <w:rPr>
                <w:rFonts w:hint="eastAsia" w:eastAsia="仿宋_GB2312"/>
                <w:bCs/>
                <w:sz w:val="24"/>
                <w:szCs w:val="24"/>
                <w:lang w:val="en-US" w:eastAsia="zh-CN"/>
              </w:rPr>
            </w:pPr>
            <w:r>
              <w:rPr>
                <w:rFonts w:hint="eastAsia" w:eastAsia="仿宋_GB2312"/>
                <w:bCs/>
                <w:sz w:val="24"/>
                <w:szCs w:val="24"/>
                <w:lang w:val="en-US" w:eastAsia="zh-CN"/>
              </w:rPr>
              <w:t>彭琰，排名2，工程师，</w:t>
            </w:r>
            <w:r>
              <w:rPr>
                <w:rFonts w:hint="default" w:eastAsia="仿宋_GB2312"/>
                <w:bCs/>
                <w:sz w:val="24"/>
                <w:szCs w:val="24"/>
                <w:lang w:val="en-US" w:eastAsia="zh-CN"/>
              </w:rPr>
              <w:t>国网浙江省电力有限公司</w:t>
            </w:r>
            <w:r>
              <w:rPr>
                <w:rFonts w:hint="eastAsia" w:eastAsia="仿宋_GB2312"/>
                <w:bCs/>
                <w:sz w:val="24"/>
                <w:szCs w:val="24"/>
                <w:lang w:val="en-US" w:eastAsia="zh-CN"/>
              </w:rPr>
              <w:t>电力科学研究院；</w:t>
            </w:r>
          </w:p>
          <w:p w14:paraId="2B9C123E">
            <w:pPr>
              <w:spacing w:line="440" w:lineRule="exact"/>
              <w:rPr>
                <w:rFonts w:hint="eastAsia" w:eastAsia="仿宋_GB2312"/>
                <w:bCs/>
                <w:sz w:val="24"/>
                <w:szCs w:val="24"/>
                <w:lang w:val="en-US" w:eastAsia="zh-CN"/>
              </w:rPr>
            </w:pPr>
            <w:r>
              <w:rPr>
                <w:rFonts w:hint="eastAsia" w:eastAsia="仿宋_GB2312"/>
                <w:bCs/>
                <w:sz w:val="24"/>
                <w:szCs w:val="24"/>
                <w:lang w:val="en-US" w:eastAsia="zh-CN"/>
              </w:rPr>
              <w:t>张思，排名3，高级工程师，国网浙江省电力有限公司；</w:t>
            </w:r>
          </w:p>
          <w:p w14:paraId="0ED08B19">
            <w:pPr>
              <w:spacing w:line="440" w:lineRule="exact"/>
              <w:rPr>
                <w:rFonts w:hint="eastAsia" w:eastAsia="仿宋_GB2312"/>
                <w:bCs/>
                <w:sz w:val="24"/>
                <w:szCs w:val="24"/>
                <w:lang w:val="en-US" w:eastAsia="zh-CN"/>
              </w:rPr>
            </w:pPr>
            <w:r>
              <w:rPr>
                <w:rFonts w:hint="eastAsia" w:eastAsia="仿宋_GB2312"/>
                <w:bCs/>
                <w:sz w:val="24"/>
                <w:szCs w:val="24"/>
                <w:lang w:val="en-US" w:eastAsia="zh-CN"/>
              </w:rPr>
              <w:t>黄浩，排名4，高级工程师，</w:t>
            </w:r>
            <w:r>
              <w:rPr>
                <w:rFonts w:hint="default" w:eastAsia="仿宋_GB2312"/>
                <w:bCs/>
                <w:sz w:val="24"/>
                <w:szCs w:val="24"/>
                <w:lang w:val="en-US" w:eastAsia="zh-CN"/>
              </w:rPr>
              <w:t>国网浙江省电力有限公司</w:t>
            </w:r>
            <w:r>
              <w:rPr>
                <w:rFonts w:hint="eastAsia" w:eastAsia="仿宋_GB2312"/>
                <w:bCs/>
                <w:sz w:val="24"/>
                <w:szCs w:val="24"/>
                <w:lang w:val="en-US" w:eastAsia="zh-CN"/>
              </w:rPr>
              <w:t>舟山供电公司；</w:t>
            </w:r>
          </w:p>
          <w:p w14:paraId="35BA8386">
            <w:pPr>
              <w:spacing w:line="440" w:lineRule="exact"/>
              <w:rPr>
                <w:rFonts w:hint="eastAsia" w:eastAsia="仿宋_GB2312"/>
                <w:bCs/>
                <w:sz w:val="24"/>
                <w:szCs w:val="24"/>
                <w:lang w:val="en-US" w:eastAsia="zh-CN"/>
              </w:rPr>
            </w:pPr>
            <w:r>
              <w:rPr>
                <w:rFonts w:hint="eastAsia" w:eastAsia="仿宋_GB2312"/>
                <w:bCs/>
                <w:sz w:val="24"/>
                <w:szCs w:val="24"/>
                <w:lang w:val="en-US" w:eastAsia="zh-CN"/>
              </w:rPr>
              <w:t>甘雯，排名5，高级工程师，</w:t>
            </w:r>
            <w:r>
              <w:rPr>
                <w:rFonts w:hint="default" w:eastAsia="仿宋_GB2312"/>
                <w:bCs/>
                <w:sz w:val="24"/>
                <w:szCs w:val="24"/>
                <w:lang w:val="en-US" w:eastAsia="zh-CN"/>
              </w:rPr>
              <w:t>国网浙江省电力有限公司</w:t>
            </w:r>
            <w:r>
              <w:rPr>
                <w:rFonts w:hint="eastAsia" w:eastAsia="仿宋_GB2312"/>
                <w:bCs/>
                <w:sz w:val="24"/>
                <w:szCs w:val="24"/>
                <w:lang w:val="en-US" w:eastAsia="zh-CN"/>
              </w:rPr>
              <w:t>湖州供电公司；</w:t>
            </w:r>
          </w:p>
          <w:p w14:paraId="7F676E9B">
            <w:pPr>
              <w:spacing w:line="440" w:lineRule="exact"/>
              <w:rPr>
                <w:rFonts w:hint="eastAsia" w:eastAsia="仿宋_GB2312"/>
                <w:bCs/>
                <w:sz w:val="24"/>
                <w:szCs w:val="24"/>
                <w:lang w:val="en-US" w:eastAsia="zh-CN"/>
              </w:rPr>
            </w:pPr>
            <w:r>
              <w:rPr>
                <w:rFonts w:hint="eastAsia" w:eastAsia="仿宋_GB2312"/>
                <w:bCs/>
                <w:sz w:val="24"/>
                <w:szCs w:val="24"/>
                <w:lang w:val="en-US" w:eastAsia="zh-CN"/>
              </w:rPr>
              <w:t>张俊，排名6，高级工程师，国网浙江省电力有限公司；</w:t>
            </w:r>
          </w:p>
          <w:p w14:paraId="5EEA4CD3">
            <w:pPr>
              <w:spacing w:line="440" w:lineRule="exact"/>
              <w:rPr>
                <w:rFonts w:hint="eastAsia" w:eastAsia="仿宋_GB2312"/>
                <w:bCs/>
                <w:sz w:val="24"/>
                <w:szCs w:val="24"/>
                <w:lang w:val="en-US" w:eastAsia="zh-CN"/>
              </w:rPr>
            </w:pPr>
            <w:r>
              <w:rPr>
                <w:rFonts w:hint="eastAsia" w:eastAsia="仿宋_GB2312"/>
                <w:bCs/>
                <w:sz w:val="24"/>
                <w:szCs w:val="24"/>
                <w:lang w:val="en-US" w:eastAsia="zh-CN"/>
              </w:rPr>
              <w:t>杨滢，排名7，高级工程师，</w:t>
            </w:r>
            <w:r>
              <w:rPr>
                <w:rFonts w:hint="default" w:eastAsia="仿宋_GB2312"/>
                <w:bCs/>
                <w:sz w:val="24"/>
                <w:szCs w:val="24"/>
                <w:lang w:val="en-US" w:eastAsia="zh-CN"/>
              </w:rPr>
              <w:t>国网浙江省电力有限公司</w:t>
            </w:r>
            <w:r>
              <w:rPr>
                <w:rFonts w:hint="eastAsia" w:eastAsia="仿宋_GB2312"/>
                <w:bCs/>
                <w:sz w:val="24"/>
                <w:szCs w:val="24"/>
                <w:lang w:val="en-US" w:eastAsia="zh-CN"/>
              </w:rPr>
              <w:t>电力科学研究院；</w:t>
            </w:r>
          </w:p>
          <w:p w14:paraId="06550BE0">
            <w:pPr>
              <w:spacing w:line="440" w:lineRule="exact"/>
              <w:rPr>
                <w:rFonts w:hint="eastAsia" w:eastAsia="仿宋_GB2312"/>
                <w:bCs/>
                <w:sz w:val="24"/>
                <w:szCs w:val="24"/>
                <w:lang w:val="en-US" w:eastAsia="zh-CN"/>
              </w:rPr>
            </w:pPr>
            <w:r>
              <w:rPr>
                <w:rFonts w:hint="eastAsia" w:eastAsia="仿宋_GB2312"/>
                <w:bCs/>
                <w:sz w:val="24"/>
                <w:szCs w:val="24"/>
                <w:lang w:val="en-US" w:eastAsia="zh-CN"/>
              </w:rPr>
              <w:t>吴易寒，排名8，助理工程师，</w:t>
            </w:r>
            <w:r>
              <w:rPr>
                <w:rFonts w:hint="default" w:eastAsia="仿宋_GB2312"/>
                <w:bCs/>
                <w:sz w:val="24"/>
                <w:szCs w:val="24"/>
                <w:lang w:val="en-US" w:eastAsia="zh-CN"/>
              </w:rPr>
              <w:t>国网浙江省电力有限公司</w:t>
            </w:r>
            <w:r>
              <w:rPr>
                <w:rFonts w:hint="eastAsia" w:eastAsia="仿宋_GB2312"/>
                <w:bCs/>
                <w:sz w:val="24"/>
                <w:szCs w:val="24"/>
                <w:lang w:val="en-US" w:eastAsia="zh-CN"/>
              </w:rPr>
              <w:t>电力科学研究院；</w:t>
            </w:r>
          </w:p>
          <w:p w14:paraId="05458FEF">
            <w:pPr>
              <w:spacing w:line="440" w:lineRule="exact"/>
              <w:rPr>
                <w:rFonts w:eastAsia="仿宋_GB2312"/>
                <w:bCs/>
                <w:sz w:val="24"/>
                <w:szCs w:val="24"/>
              </w:rPr>
            </w:pPr>
            <w:r>
              <w:rPr>
                <w:rFonts w:hint="eastAsia" w:eastAsia="仿宋_GB2312"/>
                <w:bCs/>
                <w:sz w:val="24"/>
                <w:szCs w:val="24"/>
                <w:lang w:val="en-US" w:eastAsia="zh-CN"/>
              </w:rPr>
              <w:t>万灿，排名9，研究员，浙江大学。</w:t>
            </w:r>
            <w:bookmarkStart w:id="0" w:name="_GoBack"/>
            <w:bookmarkEnd w:id="0"/>
          </w:p>
        </w:tc>
      </w:tr>
      <w:tr w14:paraId="4A565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86" w:hRule="atLeast"/>
        </w:trPr>
        <w:tc>
          <w:tcPr>
            <w:tcW w:w="2269" w:type="dxa"/>
            <w:tcBorders>
              <w:right w:val="single" w:color="auto" w:sz="4" w:space="0"/>
            </w:tcBorders>
            <w:vAlign w:val="center"/>
          </w:tcPr>
          <w:p w14:paraId="6AE6FB93">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color="auto" w:sz="4" w:space="0"/>
            </w:tcBorders>
            <w:vAlign w:val="center"/>
          </w:tcPr>
          <w:p w14:paraId="5702E6E5">
            <w:pPr>
              <w:spacing w:line="440" w:lineRule="exact"/>
              <w:rPr>
                <w:rFonts w:hint="eastAsia" w:eastAsia="仿宋_GB2312"/>
                <w:bCs/>
                <w:sz w:val="24"/>
                <w:szCs w:val="24"/>
                <w:lang w:val="en-US" w:eastAsia="zh-CN"/>
              </w:rPr>
            </w:pPr>
            <w:r>
              <w:rPr>
                <w:rFonts w:hint="eastAsia" w:eastAsia="仿宋_GB2312"/>
                <w:bCs/>
                <w:sz w:val="24"/>
                <w:szCs w:val="24"/>
                <w:lang w:val="en-US" w:eastAsia="zh-CN"/>
              </w:rPr>
              <w:t>1.国网浙江省电力有限公司电力科学研究院；</w:t>
            </w:r>
          </w:p>
          <w:p w14:paraId="3007CD0B">
            <w:pPr>
              <w:spacing w:line="440" w:lineRule="exact"/>
              <w:rPr>
                <w:rFonts w:hint="eastAsia" w:eastAsia="仿宋_GB2312"/>
                <w:bCs/>
                <w:sz w:val="24"/>
                <w:szCs w:val="24"/>
                <w:lang w:val="en-US" w:eastAsia="zh-CN"/>
              </w:rPr>
            </w:pPr>
            <w:r>
              <w:rPr>
                <w:rFonts w:hint="eastAsia" w:eastAsia="仿宋_GB2312"/>
                <w:bCs/>
                <w:sz w:val="24"/>
                <w:szCs w:val="24"/>
                <w:lang w:val="en-US" w:eastAsia="zh-CN"/>
              </w:rPr>
              <w:t>2.国网浙江省电力有限公司；</w:t>
            </w:r>
          </w:p>
          <w:p w14:paraId="3FF269B2">
            <w:pPr>
              <w:spacing w:line="440" w:lineRule="exact"/>
              <w:rPr>
                <w:rFonts w:hint="eastAsia" w:eastAsia="仿宋_GB2312"/>
                <w:bCs/>
                <w:sz w:val="24"/>
                <w:szCs w:val="24"/>
                <w:lang w:val="en-US" w:eastAsia="zh-CN"/>
              </w:rPr>
            </w:pPr>
            <w:r>
              <w:rPr>
                <w:rFonts w:hint="eastAsia" w:eastAsia="仿宋_GB2312"/>
                <w:bCs/>
                <w:sz w:val="24"/>
                <w:szCs w:val="24"/>
                <w:lang w:val="en-US" w:eastAsia="zh-CN"/>
              </w:rPr>
              <w:t>3.</w:t>
            </w:r>
            <w:r>
              <w:rPr>
                <w:rFonts w:hint="default" w:eastAsia="仿宋_GB2312"/>
                <w:bCs/>
                <w:sz w:val="24"/>
                <w:szCs w:val="24"/>
                <w:lang w:val="en-US" w:eastAsia="zh-CN"/>
              </w:rPr>
              <w:t>国网浙江省电力有限公司湖州供电公司</w:t>
            </w:r>
            <w:r>
              <w:rPr>
                <w:rFonts w:hint="eastAsia" w:eastAsia="仿宋_GB2312"/>
                <w:bCs/>
                <w:sz w:val="24"/>
                <w:szCs w:val="24"/>
                <w:lang w:val="en-US" w:eastAsia="zh-CN"/>
              </w:rPr>
              <w:t>；</w:t>
            </w:r>
          </w:p>
          <w:p w14:paraId="6C6980D0">
            <w:pPr>
              <w:spacing w:line="440" w:lineRule="exact"/>
              <w:rPr>
                <w:rFonts w:hint="eastAsia" w:eastAsia="仿宋_GB2312"/>
                <w:bCs/>
                <w:sz w:val="24"/>
                <w:szCs w:val="24"/>
                <w:lang w:val="en-US" w:eastAsia="zh-CN"/>
              </w:rPr>
            </w:pPr>
            <w:r>
              <w:rPr>
                <w:rFonts w:hint="eastAsia" w:eastAsia="仿宋_GB2312"/>
                <w:bCs/>
                <w:sz w:val="24"/>
                <w:szCs w:val="24"/>
                <w:lang w:val="en-US" w:eastAsia="zh-CN"/>
              </w:rPr>
              <w:t>4.</w:t>
            </w:r>
            <w:r>
              <w:rPr>
                <w:rFonts w:hint="default" w:eastAsia="仿宋_GB2312"/>
                <w:bCs/>
                <w:sz w:val="24"/>
                <w:szCs w:val="24"/>
                <w:lang w:val="en-US" w:eastAsia="zh-CN"/>
              </w:rPr>
              <w:t>国网浙江省电力有限公司</w:t>
            </w:r>
            <w:r>
              <w:rPr>
                <w:rFonts w:hint="eastAsia" w:eastAsia="仿宋_GB2312"/>
                <w:bCs/>
                <w:sz w:val="24"/>
                <w:szCs w:val="24"/>
                <w:lang w:val="en-US" w:eastAsia="zh-CN"/>
              </w:rPr>
              <w:t>舟山</w:t>
            </w:r>
            <w:r>
              <w:rPr>
                <w:rFonts w:hint="default" w:eastAsia="仿宋_GB2312"/>
                <w:bCs/>
                <w:sz w:val="24"/>
                <w:szCs w:val="24"/>
                <w:lang w:val="en-US" w:eastAsia="zh-CN"/>
              </w:rPr>
              <w:t>供电公司</w:t>
            </w:r>
            <w:r>
              <w:rPr>
                <w:rFonts w:hint="eastAsia" w:eastAsia="仿宋_GB2312"/>
                <w:bCs/>
                <w:sz w:val="24"/>
                <w:szCs w:val="24"/>
                <w:lang w:val="en-US" w:eastAsia="zh-CN"/>
              </w:rPr>
              <w:t>；</w:t>
            </w:r>
          </w:p>
          <w:p w14:paraId="6BA2652F">
            <w:pPr>
              <w:spacing w:line="440" w:lineRule="exact"/>
              <w:rPr>
                <w:rFonts w:hint="default" w:eastAsia="仿宋_GB2312"/>
                <w:bCs/>
                <w:sz w:val="24"/>
                <w:szCs w:val="24"/>
                <w:lang w:val="en-US" w:eastAsia="zh-CN"/>
              </w:rPr>
            </w:pPr>
            <w:r>
              <w:rPr>
                <w:rFonts w:hint="eastAsia" w:eastAsia="仿宋_GB2312"/>
                <w:bCs/>
                <w:sz w:val="24"/>
                <w:szCs w:val="24"/>
                <w:lang w:val="en-US" w:eastAsia="zh-CN"/>
              </w:rPr>
              <w:t>5.</w:t>
            </w:r>
            <w:r>
              <w:rPr>
                <w:rFonts w:hint="default" w:eastAsia="仿宋_GB2312"/>
                <w:bCs/>
                <w:sz w:val="24"/>
                <w:szCs w:val="24"/>
                <w:lang w:val="en-US" w:eastAsia="zh-CN"/>
              </w:rPr>
              <w:t>国网浙江省电力有限公司</w:t>
            </w:r>
            <w:r>
              <w:rPr>
                <w:rFonts w:hint="eastAsia" w:eastAsia="仿宋_GB2312"/>
                <w:bCs/>
                <w:sz w:val="24"/>
                <w:szCs w:val="24"/>
                <w:lang w:val="en-US" w:eastAsia="zh-CN"/>
              </w:rPr>
              <w:t>嘉兴</w:t>
            </w:r>
            <w:r>
              <w:rPr>
                <w:rFonts w:hint="default" w:eastAsia="仿宋_GB2312"/>
                <w:bCs/>
                <w:sz w:val="24"/>
                <w:szCs w:val="24"/>
                <w:lang w:val="en-US" w:eastAsia="zh-CN"/>
              </w:rPr>
              <w:t>供电公司</w:t>
            </w:r>
            <w:r>
              <w:rPr>
                <w:rFonts w:hint="eastAsia" w:eastAsia="仿宋_GB2312"/>
                <w:bCs/>
                <w:sz w:val="24"/>
                <w:szCs w:val="24"/>
                <w:lang w:val="en-US" w:eastAsia="zh-CN"/>
              </w:rPr>
              <w:t xml:space="preserve">； </w:t>
            </w:r>
          </w:p>
          <w:p w14:paraId="2012F95E">
            <w:pPr>
              <w:spacing w:line="440" w:lineRule="exact"/>
              <w:rPr>
                <w:rFonts w:eastAsia="仿宋"/>
                <w:bCs/>
                <w:sz w:val="24"/>
                <w:szCs w:val="24"/>
              </w:rPr>
            </w:pPr>
            <w:r>
              <w:rPr>
                <w:rFonts w:hint="eastAsia" w:eastAsia="仿宋_GB2312"/>
                <w:bCs/>
                <w:sz w:val="24"/>
                <w:szCs w:val="24"/>
                <w:lang w:val="en-US" w:eastAsia="zh-CN"/>
              </w:rPr>
              <w:t>6.浙江大学。</w:t>
            </w:r>
          </w:p>
        </w:tc>
      </w:tr>
      <w:tr w14:paraId="12B1F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2A300FD1">
            <w:pPr>
              <w:jc w:val="center"/>
              <w:rPr>
                <w:rStyle w:val="36"/>
                <w:rFonts w:eastAsia="仿宋_GB2312"/>
                <w:b w:val="0"/>
                <w:color w:val="auto"/>
                <w:sz w:val="28"/>
                <w:szCs w:val="28"/>
              </w:rPr>
            </w:pPr>
            <w:r>
              <w:rPr>
                <w:rStyle w:val="36"/>
                <w:rFonts w:eastAsia="仿宋_GB2312"/>
                <w:b w:val="0"/>
                <w:color w:val="auto"/>
                <w:sz w:val="28"/>
                <w:szCs w:val="28"/>
              </w:rPr>
              <w:t>提名单位</w:t>
            </w:r>
          </w:p>
        </w:tc>
        <w:tc>
          <w:tcPr>
            <w:tcW w:w="6237" w:type="dxa"/>
            <w:vAlign w:val="center"/>
          </w:tcPr>
          <w:p w14:paraId="04765E0B">
            <w:pPr>
              <w:spacing w:line="440" w:lineRule="exact"/>
              <w:jc w:val="center"/>
              <w:rPr>
                <w:rStyle w:val="36"/>
                <w:rFonts w:hint="default" w:eastAsia="宋体"/>
                <w:b w:val="0"/>
                <w:color w:val="auto"/>
                <w:lang w:val="en-US" w:eastAsia="zh-CN"/>
              </w:rPr>
            </w:pPr>
            <w:r>
              <w:rPr>
                <w:rFonts w:hint="eastAsia" w:eastAsia="仿宋_GB2312"/>
                <w:bCs/>
                <w:sz w:val="24"/>
                <w:szCs w:val="24"/>
                <w:lang w:val="en-US" w:eastAsia="zh-CN"/>
              </w:rPr>
              <w:t>浙江省电力学会</w:t>
            </w:r>
          </w:p>
        </w:tc>
      </w:tr>
      <w:tr w14:paraId="2D15E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9" w:hRule="atLeast"/>
        </w:trPr>
        <w:tc>
          <w:tcPr>
            <w:tcW w:w="2269" w:type="dxa"/>
            <w:vAlign w:val="center"/>
          </w:tcPr>
          <w:p w14:paraId="5471701E">
            <w:pPr>
              <w:jc w:val="center"/>
              <w:rPr>
                <w:rStyle w:val="36"/>
                <w:rFonts w:eastAsia="仿宋_GB2312"/>
                <w:b w:val="0"/>
                <w:color w:val="auto"/>
                <w:sz w:val="28"/>
                <w:szCs w:val="28"/>
              </w:rPr>
            </w:pPr>
            <w:r>
              <w:rPr>
                <w:rStyle w:val="36"/>
                <w:rFonts w:eastAsia="仿宋_GB2312"/>
                <w:b w:val="0"/>
                <w:color w:val="auto"/>
                <w:sz w:val="28"/>
                <w:szCs w:val="28"/>
              </w:rPr>
              <w:t>提名意见</w:t>
            </w:r>
          </w:p>
        </w:tc>
        <w:tc>
          <w:tcPr>
            <w:tcW w:w="6237" w:type="dxa"/>
            <w:vAlign w:val="center"/>
          </w:tcPr>
          <w:p w14:paraId="245E8230">
            <w:pPr>
              <w:spacing w:line="440" w:lineRule="exact"/>
              <w:ind w:firstLine="480" w:firstLineChars="200"/>
              <w:rPr>
                <w:rFonts w:hint="eastAsia" w:eastAsia="仿宋_GB2312"/>
                <w:bCs/>
                <w:sz w:val="24"/>
                <w:szCs w:val="24"/>
                <w:lang w:val="en-US" w:eastAsia="zh-CN"/>
              </w:rPr>
            </w:pPr>
            <w:r>
              <w:rPr>
                <w:rFonts w:hint="eastAsia" w:eastAsia="仿宋_GB2312"/>
                <w:bCs/>
                <w:sz w:val="24"/>
                <w:szCs w:val="24"/>
                <w:lang w:val="en-US" w:eastAsia="zh-CN"/>
              </w:rPr>
              <w:t>该项目针对以浙江电网为代表的受端电网在新能源大规模增长后带来的电力保供和新能源消纳双向压力，在源荷预测、受端电网保供与新能源消纳提升领域取得关键技术突破，填补技术空白。</w:t>
            </w:r>
          </w:p>
          <w:p w14:paraId="6C6F755A">
            <w:pPr>
              <w:spacing w:line="440" w:lineRule="exact"/>
              <w:ind w:firstLine="480" w:firstLineChars="200"/>
              <w:rPr>
                <w:rFonts w:hint="eastAsia" w:eastAsia="仿宋_GB2312"/>
                <w:bCs/>
                <w:sz w:val="24"/>
                <w:szCs w:val="24"/>
                <w:lang w:val="en-US" w:eastAsia="zh-CN"/>
              </w:rPr>
            </w:pPr>
            <w:r>
              <w:rPr>
                <w:rFonts w:hint="eastAsia" w:eastAsia="仿宋_GB2312"/>
                <w:bCs/>
                <w:sz w:val="24"/>
                <w:szCs w:val="24"/>
                <w:lang w:val="en-US" w:eastAsia="zh-CN"/>
              </w:rPr>
              <w:t>项目发明了基于混合人工智能模型的源荷预测技术，实现了大容量新能源及复杂负荷高精度预测；首创了源荷强不确定性下受端电网电力保供技术，实现了源荷强不确定性下受端电网稳定保供；攻克了多层级多形态电网新能源消纳能力提升技术，实现了多层级多形态电网新能源消纳能力提升。</w:t>
            </w:r>
          </w:p>
          <w:p w14:paraId="45C02417">
            <w:pPr>
              <w:spacing w:line="440" w:lineRule="exact"/>
              <w:ind w:firstLine="480" w:firstLineChars="200"/>
              <w:rPr>
                <w:rFonts w:hint="eastAsia" w:eastAsia="仿宋_GB2312"/>
                <w:bCs/>
                <w:sz w:val="24"/>
                <w:szCs w:val="24"/>
                <w:lang w:val="en-US" w:eastAsia="zh-CN"/>
              </w:rPr>
            </w:pPr>
            <w:r>
              <w:rPr>
                <w:rFonts w:hint="eastAsia" w:eastAsia="仿宋_GB2312"/>
                <w:bCs/>
                <w:sz w:val="24"/>
                <w:szCs w:val="24"/>
                <w:lang w:val="en-US" w:eastAsia="zh-CN"/>
              </w:rPr>
              <w:t>依托项目成果研发了浙江电网新能源及负荷预测平台、电网备用量化评估系统、新能源在线消纳评估系统以及新能源电站功率预测调控装置等成套产品。项目成果已在浙江、河南省电力调度控制中心及多个地市供电公司和工业园区推广应用，并被多家设备厂家集成应用，提升源荷预测精度，支撑新能源高比例消纳。项目关键技术处于国际领先水平，该成果获授权国内发明专利21项，发表论文31篇，软著4项，制定国、行、企标6项。</w:t>
            </w:r>
          </w:p>
          <w:p w14:paraId="7529F0D7">
            <w:pPr>
              <w:spacing w:line="440" w:lineRule="exact"/>
              <w:ind w:firstLine="482" w:firstLineChars="200"/>
              <w:rPr>
                <w:rStyle w:val="36"/>
                <w:b w:val="0"/>
                <w:color w:val="auto"/>
              </w:rPr>
            </w:pPr>
            <w:r>
              <w:rPr>
                <w:rFonts w:hint="eastAsia" w:eastAsia="仿宋_GB2312"/>
                <w:b/>
                <w:bCs w:val="0"/>
                <w:sz w:val="24"/>
                <w:szCs w:val="24"/>
                <w:lang w:val="en-US" w:eastAsia="zh-CN"/>
              </w:rPr>
              <w:t>同意提名2025年度浙江省科学技术进步奖二等奖。</w:t>
            </w:r>
          </w:p>
        </w:tc>
      </w:tr>
    </w:tbl>
    <w:p w14:paraId="0D9DDE87">
      <w:pPr>
        <w:adjustRightInd w:val="0"/>
        <w:snapToGrid w:val="0"/>
        <w:spacing w:line="560" w:lineRule="exact"/>
        <w:rPr>
          <w:rFonts w:eastAsia="仿宋_GB2312"/>
          <w:sz w:val="32"/>
          <w:szCs w:val="32"/>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234552-6C18-452C-95D5-B0F0764D246C}"/>
  </w:font>
  <w:font w:name="Arial">
    <w:panose1 w:val="020B0604020202020204"/>
    <w:charset w:val="01"/>
    <w:family w:val="swiss"/>
    <w:pitch w:val="default"/>
    <w:sig w:usb0="E0002EFF" w:usb1="C000785B" w:usb2="00000009" w:usb3="00000000" w:csb0="400001FF" w:csb1="FFFF0000"/>
    <w:embedRegular r:id="rId2" w:fontKey="{CF9C749D-7F7F-4822-A1EC-9C3D25E5661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C1D011D-DB34-4EDA-B496-C5B4B0DEAE0F}"/>
  </w:font>
  <w:font w:name="Symbol">
    <w:panose1 w:val="05050102010706020507"/>
    <w:charset w:val="02"/>
    <w:family w:val="roman"/>
    <w:pitch w:val="default"/>
    <w:sig w:usb0="00000000" w:usb1="00000000" w:usb2="00000000" w:usb3="00000000" w:csb0="80000000" w:csb1="00000000"/>
    <w:embedRegular r:id="rId4" w:fontKey="{CE57F645-1274-4AB5-9223-4526FBC2D84B}"/>
  </w:font>
  <w:font w:name="Calibri">
    <w:panose1 w:val="020F0502020204030204"/>
    <w:charset w:val="00"/>
    <w:family w:val="swiss"/>
    <w:pitch w:val="default"/>
    <w:sig w:usb0="E0002EFF" w:usb1="C000247B" w:usb2="00000009" w:usb3="00000000" w:csb0="200001FF" w:csb1="00000000"/>
    <w:embedRegular r:id="rId5" w:fontKey="{D2F787BD-E9DC-45AD-BFEC-53797C0F6A5D}"/>
  </w:font>
  <w:font w:name="Cambria">
    <w:panose1 w:val="02040503050406030204"/>
    <w:charset w:val="00"/>
    <w:family w:val="roman"/>
    <w:pitch w:val="default"/>
    <w:sig w:usb0="E00006FF" w:usb1="420024FF" w:usb2="02000000" w:usb3="00000000" w:csb0="2000019F" w:csb1="00000000"/>
    <w:embedRegular r:id="rId6" w:fontKey="{31781357-C2D7-4349-89A3-262F0A2DD30B}"/>
  </w:font>
  <w:font w:name="仿宋_GB2312">
    <w:panose1 w:val="02010609030101010101"/>
    <w:charset w:val="86"/>
    <w:family w:val="modern"/>
    <w:pitch w:val="default"/>
    <w:sig w:usb0="00000001" w:usb1="080E0000" w:usb2="00000000" w:usb3="00000000" w:csb0="00040000" w:csb1="00000000"/>
    <w:embedRegular r:id="rId7" w:fontKey="{EF5255F6-82DD-4BD5-B71B-09EDBDC006A3}"/>
  </w:font>
  <w:font w:name="方正仿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8" w:fontKey="{B2074A4A-9460-4B9D-B1B0-97E028410001}"/>
  </w:font>
  <w:font w:name="仿宋">
    <w:panose1 w:val="02010609060101010101"/>
    <w:charset w:val="86"/>
    <w:family w:val="modern"/>
    <w:pitch w:val="default"/>
    <w:sig w:usb0="800002BF" w:usb1="38CF7CFA" w:usb2="00000016" w:usb3="00000000" w:csb0="00040001" w:csb1="00000000"/>
    <w:embedRegular r:id="rId9" w:fontKey="{344E0EE6-2FE5-4842-BA03-1DCE0CA2F196}"/>
  </w:font>
  <w:font w:name="WPSEMBED6">
    <w:panose1 w:val="03000509000000000000"/>
    <w:charset w:val="86"/>
    <w:family w:val="auto"/>
    <w:pitch w:val="default"/>
    <w:sig w:usb0="00000001" w:usb1="080E0000" w:usb2="00000000" w:usb3="00000000" w:csb0="00040000" w:csb1="00000000"/>
  </w:font>
  <w:font w:name="WPSEMBED5">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2E64DD30">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A16F5">
    <w:pPr>
      <w:ind w:left="420" w:hanging="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6C58F6"/>
    <w:multiLevelType w:val="singleLevel"/>
    <w:tmpl w:val="C06C58F6"/>
    <w:lvl w:ilvl="0" w:tentative="0">
      <w:start w:val="1"/>
      <w:numFmt w:val="decimal"/>
      <w:lvlText w:val="%1."/>
      <w:lvlJc w:val="left"/>
      <w:pPr>
        <w:ind w:left="425" w:hanging="425"/>
      </w:pPr>
      <w:rPr>
        <w:rFonts w:hint="default"/>
      </w:rPr>
    </w:lvl>
  </w:abstractNum>
  <w:abstractNum w:abstractNumId="1">
    <w:nsid w:val="FC406DF0"/>
    <w:multiLevelType w:val="singleLevel"/>
    <w:tmpl w:val="FC406DF0"/>
    <w:lvl w:ilvl="0" w:tentative="0">
      <w:start w:val="1"/>
      <w:numFmt w:val="decimal"/>
      <w:lvlText w:val="%1."/>
      <w:lvlJc w:val="left"/>
      <w:pPr>
        <w:ind w:left="425" w:hanging="425"/>
      </w:pPr>
      <w:rPr>
        <w:rFonts w:hint="default"/>
      </w:rPr>
    </w:lvl>
  </w:abstractNum>
  <w:abstractNum w:abstractNumId="2">
    <w:nsid w:val="FF5C8E3A"/>
    <w:multiLevelType w:val="singleLevel"/>
    <w:tmpl w:val="FF5C8E3A"/>
    <w:lvl w:ilvl="0" w:tentative="0">
      <w:start w:val="1"/>
      <w:numFmt w:val="decimal"/>
      <w:lvlText w:val="%1."/>
      <w:lvlJc w:val="left"/>
      <w:pPr>
        <w:ind w:left="425" w:hanging="425"/>
      </w:pPr>
      <w:rPr>
        <w:rFonts w:hint="default"/>
      </w:rPr>
    </w:lvl>
  </w:abstractNum>
  <w:abstractNum w:abstractNumId="3">
    <w:nsid w:val="012D8681"/>
    <w:multiLevelType w:val="singleLevel"/>
    <w:tmpl w:val="012D8681"/>
    <w:lvl w:ilvl="0" w:tentative="0">
      <w:start w:val="1"/>
      <w:numFmt w:val="decimal"/>
      <w:lvlText w:val="%1."/>
      <w:lvlJc w:val="left"/>
      <w:pPr>
        <w:ind w:left="425" w:hanging="425"/>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2B33FD8"/>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7F0BAA"/>
    <w:rsid w:val="0BB30987"/>
    <w:rsid w:val="0BC510AD"/>
    <w:rsid w:val="0C76193E"/>
    <w:rsid w:val="0DCA1AB9"/>
    <w:rsid w:val="0DF07EE3"/>
    <w:rsid w:val="0E643518"/>
    <w:rsid w:val="0F102792"/>
    <w:rsid w:val="0F8B118C"/>
    <w:rsid w:val="10344DD0"/>
    <w:rsid w:val="10633DCE"/>
    <w:rsid w:val="107B4D5D"/>
    <w:rsid w:val="10DD4EBB"/>
    <w:rsid w:val="12683329"/>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BD20669"/>
    <w:rsid w:val="1C30572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360262"/>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1C7C25"/>
    <w:rsid w:val="2F276578"/>
    <w:rsid w:val="2FF62EC1"/>
    <w:rsid w:val="2FFC7DCE"/>
    <w:rsid w:val="31D6516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1D43CB"/>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015AC8"/>
    <w:rsid w:val="48B76D8F"/>
    <w:rsid w:val="49DD2383"/>
    <w:rsid w:val="4C1F3EFD"/>
    <w:rsid w:val="4CA639F1"/>
    <w:rsid w:val="4CE34B9C"/>
    <w:rsid w:val="4CF1675B"/>
    <w:rsid w:val="4D1116A2"/>
    <w:rsid w:val="4D38031C"/>
    <w:rsid w:val="4EAD471B"/>
    <w:rsid w:val="50EF43CF"/>
    <w:rsid w:val="51D20399"/>
    <w:rsid w:val="535E0F14"/>
    <w:rsid w:val="53D31D87"/>
    <w:rsid w:val="557E53F1"/>
    <w:rsid w:val="56226E9B"/>
    <w:rsid w:val="56BA6636"/>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1C931DD"/>
    <w:rsid w:val="63123A52"/>
    <w:rsid w:val="631877B6"/>
    <w:rsid w:val="633640E0"/>
    <w:rsid w:val="63441F36"/>
    <w:rsid w:val="63AF55F1"/>
    <w:rsid w:val="641941AB"/>
    <w:rsid w:val="649E0E16"/>
    <w:rsid w:val="64C701D0"/>
    <w:rsid w:val="65501489"/>
    <w:rsid w:val="65683634"/>
    <w:rsid w:val="657E0B48"/>
    <w:rsid w:val="66264D37"/>
    <w:rsid w:val="662B15AE"/>
    <w:rsid w:val="67FA3CBD"/>
    <w:rsid w:val="67FF5FF1"/>
    <w:rsid w:val="68695072"/>
    <w:rsid w:val="686F3A8E"/>
    <w:rsid w:val="688D6DBF"/>
    <w:rsid w:val="691B00F9"/>
    <w:rsid w:val="69BE70C4"/>
    <w:rsid w:val="69F831FA"/>
    <w:rsid w:val="6A2A1384"/>
    <w:rsid w:val="6AFEE48C"/>
    <w:rsid w:val="6B5E0AAF"/>
    <w:rsid w:val="6BD31768"/>
    <w:rsid w:val="6D103417"/>
    <w:rsid w:val="6D342528"/>
    <w:rsid w:val="6D73A7A8"/>
    <w:rsid w:val="6DED540B"/>
    <w:rsid w:val="6EC205F2"/>
    <w:rsid w:val="6EDF3110"/>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CDC05D8"/>
    <w:rsid w:val="7DA61B5B"/>
    <w:rsid w:val="7DF77DD2"/>
    <w:rsid w:val="7DFFA53F"/>
    <w:rsid w:val="7E461224"/>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rFonts w:ascii="Times New Roman" w:hAnsi="Times New Roman" w:eastAsia="宋体" w:cs="Times New Roman"/>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页眉 Char"/>
    <w:basedOn w:val="18"/>
    <w:link w:val="10"/>
    <w:qFormat/>
    <w:uiPriority w:val="0"/>
    <w:rPr>
      <w:sz w:val="18"/>
      <w:szCs w:val="18"/>
    </w:rPr>
  </w:style>
  <w:style w:type="character" w:customStyle="1" w:styleId="26">
    <w:name w:val="页脚 Char"/>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Char"/>
    <w:basedOn w:val="18"/>
    <w:link w:val="8"/>
    <w:semiHidden/>
    <w:qFormat/>
    <w:uiPriority w:val="99"/>
    <w:rPr>
      <w:rFonts w:ascii="Times New Roman" w:hAnsi="Times New Roman" w:eastAsia="宋体" w:cs="Times New Roman"/>
      <w:sz w:val="18"/>
      <w:szCs w:val="18"/>
    </w:rPr>
  </w:style>
  <w:style w:type="character" w:customStyle="1" w:styleId="29">
    <w:name w:val="批注文字 Char"/>
    <w:basedOn w:val="18"/>
    <w:link w:val="4"/>
    <w:semiHidden/>
    <w:qFormat/>
    <w:uiPriority w:val="99"/>
    <w:rPr>
      <w:rFonts w:ascii="Times New Roman" w:hAnsi="Times New Roman" w:eastAsia="宋体" w:cs="Times New Roman"/>
      <w:szCs w:val="20"/>
    </w:rPr>
  </w:style>
  <w:style w:type="character" w:customStyle="1" w:styleId="30">
    <w:name w:val="纯文本 Char"/>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Char"/>
    <w:basedOn w:val="18"/>
    <w:link w:val="7"/>
    <w:qFormat/>
    <w:uiPriority w:val="0"/>
    <w:rPr>
      <w:rFonts w:ascii="Times New Roman" w:hAnsi="Times New Roman" w:eastAsia="宋体" w:cs="Times New Roman"/>
      <w:b/>
      <w:bCs/>
      <w:sz w:val="28"/>
      <w:szCs w:val="24"/>
    </w:rPr>
  </w:style>
  <w:style w:type="character" w:customStyle="1" w:styleId="34">
    <w:name w:val="标题 Char"/>
    <w:basedOn w:val="18"/>
    <w:link w:val="14"/>
    <w:qFormat/>
    <w:uiPriority w:val="0"/>
    <w:rPr>
      <w:rFonts w:ascii="Cambria" w:hAnsi="Cambria" w:eastAsia="黑体" w:cs="Times New Roman"/>
      <w:b/>
      <w:bCs/>
      <w:sz w:val="52"/>
      <w:szCs w:val="32"/>
    </w:rPr>
  </w:style>
  <w:style w:type="character" w:customStyle="1" w:styleId="35">
    <w:name w:val="批注主题 Char"/>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2048</Words>
  <Characters>3837</Characters>
  <Lines>366</Lines>
  <Paragraphs>103</Paragraphs>
  <TotalTime>4</TotalTime>
  <ScaleCrop>false</ScaleCrop>
  <LinksUpToDate>false</LinksUpToDate>
  <CharactersWithSpaces>4079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2022-01-26T08:15:00Z</dcterms:created>
  <dc:creator>胡胜链</dc:creator>
  <cp:lastModifiedBy>那我就叫.风萧萧.好了</cp:lastModifiedBy>
  <cp:lastPrinted>2022-01-28T09:53:00Z</cp:lastPrinted>
  <dcterms:modified xsi:type="dcterms:W3CDTF">2026-06-15T02:43:24Z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8F42544EC2E84414B6CA910B32644B7B_13</vt:lpwstr>
  </property>
  <property fmtid="{D5CDD505-2E9C-101B-9397-08002B2CF9AE}" pid="4" name="KSOTemplateDocerSaveRecord">
    <vt:lpwstr>eyJoZGlkIjoiNmM3NjU0NzVlMjg4M2E4MGI1MDhjYjFjOTBjOWFiYmYiLCJ1c2VySWQiOiIxMzk3MTc3MDU0In0=</vt:lpwstr>
  </property>
</Properties>
</file>