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C40DB" w14:textId="77777777" w:rsidR="00A225CE" w:rsidRDefault="00581146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14:paraId="0E20D9B8" w14:textId="77777777" w:rsidR="00A225CE" w:rsidRDefault="00581146">
      <w:pPr>
        <w:spacing w:line="440" w:lineRule="exact"/>
        <w:rPr>
          <w:rFonts w:ascii="仿宋_GB2312" w:eastAsia="仿宋_GB2312" w:hAnsi="仿宋" w:cs="仿宋"/>
          <w:color w:val="00000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000000" w:themeColor="text1"/>
          <w:sz w:val="28"/>
          <w:szCs w:val="24"/>
        </w:rPr>
        <w:t>提名奖项：科学技术进步奖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74"/>
        <w:gridCol w:w="6432"/>
      </w:tblGrid>
      <w:tr w:rsidR="00A225CE" w14:paraId="177194BE" w14:textId="77777777">
        <w:trPr>
          <w:trHeight w:val="647"/>
        </w:trPr>
        <w:tc>
          <w:tcPr>
            <w:tcW w:w="2074" w:type="dxa"/>
            <w:vAlign w:val="center"/>
          </w:tcPr>
          <w:p w14:paraId="1D4D1840" w14:textId="77777777" w:rsidR="00A225CE" w:rsidRDefault="00581146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432" w:type="dxa"/>
            <w:vAlign w:val="center"/>
          </w:tcPr>
          <w:p w14:paraId="31A80FC4" w14:textId="77777777" w:rsidR="00A225CE" w:rsidRDefault="00581146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Fonts w:eastAsia="仿宋_GB2312" w:hint="eastAsia"/>
                <w:sz w:val="24"/>
                <w:szCs w:val="24"/>
              </w:rPr>
              <w:t>头</w:t>
            </w:r>
            <w:proofErr w:type="gramStart"/>
            <w:r>
              <w:rPr>
                <w:rFonts w:eastAsia="仿宋_GB2312" w:hint="eastAsia"/>
                <w:sz w:val="24"/>
                <w:szCs w:val="24"/>
              </w:rPr>
              <w:t>孢</w:t>
            </w:r>
            <w:proofErr w:type="gramEnd"/>
            <w:r>
              <w:rPr>
                <w:rFonts w:eastAsia="仿宋_GB2312" w:hint="eastAsia"/>
                <w:sz w:val="24"/>
                <w:szCs w:val="24"/>
              </w:rPr>
              <w:t>类抗生素绿色合成技术研发及产业化应用</w:t>
            </w:r>
          </w:p>
        </w:tc>
      </w:tr>
      <w:tr w:rsidR="00A225CE" w14:paraId="6929C0E7" w14:textId="77777777">
        <w:trPr>
          <w:trHeight w:val="561"/>
        </w:trPr>
        <w:tc>
          <w:tcPr>
            <w:tcW w:w="2074" w:type="dxa"/>
            <w:vAlign w:val="center"/>
          </w:tcPr>
          <w:p w14:paraId="7B63FBE3" w14:textId="77777777" w:rsidR="00A225CE" w:rsidRDefault="00581146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432" w:type="dxa"/>
            <w:vAlign w:val="center"/>
          </w:tcPr>
          <w:p w14:paraId="45C31C84" w14:textId="77777777" w:rsidR="00A225CE" w:rsidRDefault="00581146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Fonts w:eastAsia="仿宋_GB2312" w:hint="eastAsia"/>
                <w:sz w:val="24"/>
                <w:szCs w:val="24"/>
              </w:rPr>
              <w:t>一</w:t>
            </w:r>
            <w:r>
              <w:rPr>
                <w:rFonts w:eastAsia="仿宋_GB2312"/>
                <w:sz w:val="24"/>
                <w:szCs w:val="24"/>
              </w:rPr>
              <w:t>等奖</w:t>
            </w:r>
          </w:p>
        </w:tc>
      </w:tr>
      <w:tr w:rsidR="00A225CE" w14:paraId="001161F8" w14:textId="77777777">
        <w:trPr>
          <w:trHeight w:val="2461"/>
        </w:trPr>
        <w:tc>
          <w:tcPr>
            <w:tcW w:w="2074" w:type="dxa"/>
            <w:vAlign w:val="center"/>
          </w:tcPr>
          <w:p w14:paraId="01DA4CAB" w14:textId="77777777" w:rsidR="00A225CE" w:rsidRDefault="00581146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提名书</w:t>
            </w:r>
          </w:p>
          <w:p w14:paraId="2EBBDB11" w14:textId="77777777" w:rsidR="00A225CE" w:rsidRDefault="00581146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相关内容</w:t>
            </w:r>
          </w:p>
        </w:tc>
        <w:tc>
          <w:tcPr>
            <w:tcW w:w="6432" w:type="dxa"/>
            <w:vAlign w:val="center"/>
          </w:tcPr>
          <w:p w14:paraId="77CFF5B0" w14:textId="77777777" w:rsidR="00A225CE" w:rsidRDefault="00581146">
            <w:pPr>
              <w:spacing w:line="440" w:lineRule="exact"/>
              <w:jc w:val="left"/>
              <w:rPr>
                <w:rFonts w:ascii="仿宋_GB2312" w:eastAsia="仿宋_GB2312" w:hAnsi="仿宋" w:cs="仿宋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4"/>
                <w:szCs w:val="24"/>
              </w:rPr>
              <w:t>详见附件。</w:t>
            </w:r>
          </w:p>
        </w:tc>
      </w:tr>
      <w:tr w:rsidR="00A225CE" w14:paraId="6AF72A24" w14:textId="77777777">
        <w:trPr>
          <w:trHeight w:val="1958"/>
        </w:trPr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35E8127A" w14:textId="77777777" w:rsidR="00A225CE" w:rsidRDefault="00581146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00000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主要完成人</w:t>
            </w:r>
          </w:p>
        </w:tc>
        <w:tc>
          <w:tcPr>
            <w:tcW w:w="6432" w:type="dxa"/>
            <w:tcBorders>
              <w:left w:val="single" w:sz="4" w:space="0" w:color="auto"/>
            </w:tcBorders>
            <w:vAlign w:val="center"/>
          </w:tcPr>
          <w:p w14:paraId="003A88F3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沈永淼，排名</w:t>
            </w:r>
            <w:r>
              <w:rPr>
                <w:rFonts w:eastAsia="仿宋" w:hint="eastAsia"/>
                <w:bCs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sz w:val="24"/>
                <w:szCs w:val="24"/>
              </w:rPr>
              <w:t>，教授，浙江理工大学嵊州创新研究院有限公司；</w:t>
            </w:r>
          </w:p>
          <w:p w14:paraId="32780495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方南平，排名</w:t>
            </w:r>
            <w:r>
              <w:rPr>
                <w:rFonts w:eastAsia="仿宋" w:hint="eastAsia"/>
                <w:bCs/>
                <w:sz w:val="24"/>
                <w:szCs w:val="24"/>
              </w:rPr>
              <w:t>2</w:t>
            </w:r>
            <w:r>
              <w:rPr>
                <w:rFonts w:eastAsia="仿宋" w:hint="eastAsia"/>
                <w:bCs/>
                <w:sz w:val="24"/>
                <w:szCs w:val="24"/>
              </w:rPr>
              <w:t>，高级工程师，浙江昂利康制药股份有限公司；</w:t>
            </w:r>
          </w:p>
          <w:p w14:paraId="688FA98D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池骋，排名</w:t>
            </w:r>
            <w:r>
              <w:rPr>
                <w:rFonts w:eastAsia="仿宋" w:hint="eastAsia"/>
                <w:bCs/>
                <w:sz w:val="24"/>
                <w:szCs w:val="24"/>
              </w:rPr>
              <w:t>3</w:t>
            </w:r>
            <w:r>
              <w:rPr>
                <w:rFonts w:eastAsia="仿宋" w:hint="eastAsia"/>
                <w:bCs/>
                <w:sz w:val="24"/>
                <w:szCs w:val="24"/>
              </w:rPr>
              <w:t>，无，浙江东邦药业有限公司；</w:t>
            </w:r>
          </w:p>
          <w:p w14:paraId="5E86F36C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张志军，排名</w:t>
            </w:r>
            <w:r>
              <w:rPr>
                <w:rFonts w:eastAsia="仿宋" w:hint="eastAsia"/>
                <w:bCs/>
                <w:sz w:val="24"/>
                <w:szCs w:val="24"/>
              </w:rPr>
              <w:t>4</w:t>
            </w:r>
            <w:r>
              <w:rPr>
                <w:rFonts w:eastAsia="仿宋" w:hint="eastAsia"/>
                <w:bCs/>
                <w:sz w:val="24"/>
                <w:szCs w:val="24"/>
              </w:rPr>
              <w:t>，副教授，浙江理工大学；</w:t>
            </w:r>
          </w:p>
          <w:p w14:paraId="7A044F65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徐成苗，排名</w:t>
            </w:r>
            <w:r>
              <w:rPr>
                <w:rFonts w:eastAsia="仿宋" w:hint="eastAsia"/>
                <w:bCs/>
                <w:sz w:val="24"/>
                <w:szCs w:val="24"/>
              </w:rPr>
              <w:t>5</w:t>
            </w:r>
            <w:r>
              <w:rPr>
                <w:rFonts w:eastAsia="仿宋" w:hint="eastAsia"/>
                <w:bCs/>
                <w:sz w:val="24"/>
                <w:szCs w:val="24"/>
              </w:rPr>
              <w:t>，高级工程师，浙江昂利康制药股份有限公司；</w:t>
            </w:r>
          </w:p>
          <w:p w14:paraId="5E2E937D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池正明，排名</w:t>
            </w:r>
            <w:r>
              <w:rPr>
                <w:rFonts w:eastAsia="仿宋" w:hint="eastAsia"/>
                <w:bCs/>
                <w:sz w:val="24"/>
                <w:szCs w:val="24"/>
              </w:rPr>
              <w:t>6</w:t>
            </w:r>
            <w:r>
              <w:rPr>
                <w:rFonts w:eastAsia="仿宋" w:hint="eastAsia"/>
                <w:bCs/>
                <w:sz w:val="24"/>
                <w:szCs w:val="24"/>
              </w:rPr>
              <w:t>，高级经济师，浙江东邦药业有限公司；</w:t>
            </w:r>
          </w:p>
          <w:p w14:paraId="2DF1AB41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张凯，排名</w:t>
            </w:r>
            <w:r>
              <w:rPr>
                <w:rFonts w:eastAsia="仿宋" w:hint="eastAsia"/>
                <w:bCs/>
                <w:sz w:val="24"/>
                <w:szCs w:val="24"/>
              </w:rPr>
              <w:t>7</w:t>
            </w:r>
            <w:r>
              <w:rPr>
                <w:rFonts w:eastAsia="仿宋" w:hint="eastAsia"/>
                <w:bCs/>
                <w:sz w:val="24"/>
                <w:szCs w:val="24"/>
              </w:rPr>
              <w:t>，副教授，浙江理工大学；</w:t>
            </w:r>
          </w:p>
          <w:p w14:paraId="3FE17C63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郝莉，排名</w:t>
            </w:r>
            <w:r>
              <w:rPr>
                <w:rFonts w:eastAsia="仿宋" w:hint="eastAsia"/>
                <w:bCs/>
                <w:sz w:val="24"/>
                <w:szCs w:val="24"/>
              </w:rPr>
              <w:t>8</w:t>
            </w:r>
            <w:r>
              <w:rPr>
                <w:rFonts w:eastAsia="仿宋" w:hint="eastAsia"/>
                <w:bCs/>
                <w:sz w:val="24"/>
                <w:szCs w:val="24"/>
              </w:rPr>
              <w:t>，高级工程师，浙江理工大学嵊州创新研究院有限公司；</w:t>
            </w:r>
          </w:p>
          <w:p w14:paraId="66EDDE87" w14:textId="77777777" w:rsidR="00A225CE" w:rsidRDefault="00581146">
            <w:pPr>
              <w:spacing w:line="288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卢荣桂，</w:t>
            </w:r>
            <w:r>
              <w:rPr>
                <w:rFonts w:eastAsia="仿宋" w:hint="eastAsia"/>
                <w:bCs/>
                <w:sz w:val="24"/>
                <w:szCs w:val="24"/>
              </w:rPr>
              <w:t>排名第</w:t>
            </w:r>
            <w:r>
              <w:rPr>
                <w:rFonts w:eastAsia="仿宋" w:hint="eastAsia"/>
                <w:bCs/>
                <w:sz w:val="24"/>
                <w:szCs w:val="24"/>
              </w:rPr>
              <w:t>9</w:t>
            </w:r>
            <w:r>
              <w:rPr>
                <w:rFonts w:eastAsia="仿宋" w:hint="eastAsia"/>
                <w:bCs/>
                <w:sz w:val="24"/>
                <w:szCs w:val="24"/>
              </w:rPr>
              <w:t>，</w:t>
            </w:r>
            <w:r>
              <w:rPr>
                <w:rFonts w:eastAsia="仿宋_GB2312" w:hint="eastAsia"/>
                <w:sz w:val="24"/>
                <w:szCs w:val="24"/>
              </w:rPr>
              <w:t>高级工程师，浙江东邦药业有限公司；</w:t>
            </w:r>
          </w:p>
          <w:p w14:paraId="66F2CA34" w14:textId="77777777" w:rsidR="00A225CE" w:rsidRDefault="00581146">
            <w:pPr>
              <w:spacing w:line="288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罗金文，排名第</w:t>
            </w:r>
            <w:r>
              <w:rPr>
                <w:rFonts w:eastAsia="仿宋" w:hint="eastAsia"/>
                <w:bCs/>
                <w:sz w:val="24"/>
                <w:szCs w:val="24"/>
              </w:rPr>
              <w:t>10</w:t>
            </w:r>
            <w:r>
              <w:rPr>
                <w:rFonts w:eastAsia="仿宋" w:hint="eastAsia"/>
                <w:bCs/>
                <w:sz w:val="24"/>
                <w:szCs w:val="24"/>
              </w:rPr>
              <w:t>，高级药剂师，浙江昂利康制药股份有限公司；</w:t>
            </w:r>
          </w:p>
          <w:p w14:paraId="1E4F27FD" w14:textId="77777777" w:rsidR="00A225CE" w:rsidRDefault="00581146">
            <w:pPr>
              <w:spacing w:line="288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陈剑，排名第</w:t>
            </w:r>
            <w:r>
              <w:rPr>
                <w:rFonts w:eastAsia="仿宋_GB2312" w:hint="eastAsia"/>
                <w:sz w:val="24"/>
                <w:szCs w:val="24"/>
              </w:rPr>
              <w:t>11</w:t>
            </w:r>
            <w:r>
              <w:rPr>
                <w:rFonts w:eastAsia="仿宋_GB2312" w:hint="eastAsia"/>
                <w:sz w:val="24"/>
                <w:szCs w:val="24"/>
              </w:rPr>
              <w:t>，主任技师，浙江大学；</w:t>
            </w:r>
          </w:p>
          <w:p w14:paraId="1CF3BA3C" w14:textId="77777777" w:rsidR="00A225CE" w:rsidRDefault="00581146">
            <w:pPr>
              <w:spacing w:line="288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杜二洪，排名第</w:t>
            </w:r>
            <w:r>
              <w:rPr>
                <w:rFonts w:eastAsia="仿宋_GB2312" w:hint="eastAsia"/>
                <w:sz w:val="24"/>
                <w:szCs w:val="24"/>
              </w:rPr>
              <w:t>12</w:t>
            </w:r>
            <w:r>
              <w:rPr>
                <w:rFonts w:eastAsia="仿宋_GB2312" w:hint="eastAsia"/>
                <w:sz w:val="24"/>
                <w:szCs w:val="24"/>
              </w:rPr>
              <w:t>，高级工程师，浙江昂利康制药股份有限公司；</w:t>
            </w:r>
          </w:p>
          <w:p w14:paraId="4C510D98" w14:textId="015EBA52" w:rsidR="00A225CE" w:rsidRDefault="00581146">
            <w:pPr>
              <w:spacing w:line="288" w:lineRule="auto"/>
              <w:rPr>
                <w:rFonts w:ascii="仿宋_GB2312" w:eastAsia="仿宋_GB2312" w:hAnsi="仿宋" w:cs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李日</w:t>
            </w:r>
            <w:r w:rsidR="00B76AFF">
              <w:rPr>
                <w:rFonts w:eastAsia="仿宋_GB2312" w:hint="eastAsia"/>
                <w:sz w:val="24"/>
                <w:szCs w:val="24"/>
              </w:rPr>
              <w:t>生</w:t>
            </w:r>
            <w:r>
              <w:rPr>
                <w:rFonts w:eastAsia="仿宋_GB2312" w:hint="eastAsia"/>
                <w:sz w:val="24"/>
                <w:szCs w:val="24"/>
              </w:rPr>
              <w:t>，排名</w:t>
            </w:r>
            <w:r>
              <w:rPr>
                <w:rFonts w:eastAsia="仿宋_GB2312" w:hint="eastAsia"/>
                <w:sz w:val="24"/>
                <w:szCs w:val="24"/>
              </w:rPr>
              <w:t>13</w:t>
            </w:r>
            <w:r>
              <w:rPr>
                <w:rFonts w:eastAsia="仿宋_GB2312" w:hint="eastAsia"/>
                <w:sz w:val="24"/>
                <w:szCs w:val="24"/>
              </w:rPr>
              <w:t>，高级工程师，浙江东邦药业有限公司</w:t>
            </w:r>
            <w:r>
              <w:rPr>
                <w:rFonts w:eastAsia="仿宋" w:hint="eastAsia"/>
                <w:bCs/>
                <w:sz w:val="24"/>
                <w:szCs w:val="24"/>
              </w:rPr>
              <w:t>。</w:t>
            </w:r>
          </w:p>
        </w:tc>
      </w:tr>
      <w:tr w:rsidR="00A225CE" w14:paraId="13AD6D0C" w14:textId="77777777">
        <w:trPr>
          <w:trHeight w:val="1986"/>
        </w:trPr>
        <w:tc>
          <w:tcPr>
            <w:tcW w:w="2074" w:type="dxa"/>
            <w:tcBorders>
              <w:right w:val="single" w:sz="4" w:space="0" w:color="auto"/>
            </w:tcBorders>
            <w:vAlign w:val="center"/>
          </w:tcPr>
          <w:p w14:paraId="2718912E" w14:textId="77777777" w:rsidR="00A225CE" w:rsidRDefault="00581146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bookmarkStart w:id="0" w:name="OLE_LINK43"/>
            <w:r>
              <w:rPr>
                <w:rFonts w:ascii="仿宋_GB2312" w:eastAsia="仿宋_GB2312" w:hAnsi="仿宋" w:cs="仿宋" w:hint="eastAsia"/>
                <w:bCs/>
                <w:color w:val="000000" w:themeColor="text1"/>
                <w:sz w:val="28"/>
                <w:szCs w:val="24"/>
              </w:rPr>
              <w:t>主要完成单位</w:t>
            </w:r>
          </w:p>
        </w:tc>
        <w:tc>
          <w:tcPr>
            <w:tcW w:w="6432" w:type="dxa"/>
            <w:tcBorders>
              <w:left w:val="single" w:sz="4" w:space="0" w:color="auto"/>
            </w:tcBorders>
            <w:vAlign w:val="center"/>
          </w:tcPr>
          <w:p w14:paraId="52F93A8B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 xml:space="preserve">1. </w:t>
            </w:r>
            <w:r>
              <w:rPr>
                <w:rFonts w:eastAsia="仿宋" w:hint="eastAsia"/>
                <w:bCs/>
                <w:sz w:val="24"/>
                <w:szCs w:val="24"/>
              </w:rPr>
              <w:t>浙江理工大学嵊州创新研究院有限公司；</w:t>
            </w:r>
          </w:p>
          <w:p w14:paraId="6D1468B8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 xml:space="preserve">2. </w:t>
            </w:r>
            <w:r>
              <w:rPr>
                <w:rFonts w:eastAsia="仿宋" w:hint="eastAsia"/>
                <w:bCs/>
                <w:sz w:val="24"/>
                <w:szCs w:val="24"/>
              </w:rPr>
              <w:t>浙江昂利康制药股份有限公司；</w:t>
            </w:r>
          </w:p>
          <w:p w14:paraId="327C259A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 xml:space="preserve">3. </w:t>
            </w:r>
            <w:r>
              <w:rPr>
                <w:rFonts w:eastAsia="仿宋" w:hint="eastAsia"/>
                <w:bCs/>
                <w:sz w:val="24"/>
                <w:szCs w:val="24"/>
              </w:rPr>
              <w:t>浙江东邦药业有限公司；</w:t>
            </w:r>
          </w:p>
          <w:p w14:paraId="6EEB34E8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 xml:space="preserve">4. </w:t>
            </w:r>
            <w:bookmarkStart w:id="1" w:name="OLE_LINK1"/>
            <w:r>
              <w:rPr>
                <w:rFonts w:eastAsia="仿宋" w:hint="eastAsia"/>
                <w:bCs/>
                <w:sz w:val="24"/>
                <w:szCs w:val="24"/>
              </w:rPr>
              <w:t>浙江理工大学</w:t>
            </w:r>
            <w:bookmarkEnd w:id="1"/>
            <w:r>
              <w:rPr>
                <w:rFonts w:eastAsia="仿宋" w:hint="eastAsia"/>
                <w:bCs/>
                <w:sz w:val="24"/>
                <w:szCs w:val="24"/>
              </w:rPr>
              <w:t>；</w:t>
            </w:r>
          </w:p>
          <w:p w14:paraId="1E1F220B" w14:textId="77777777" w:rsidR="00A225CE" w:rsidRDefault="00581146">
            <w:pPr>
              <w:spacing w:line="288" w:lineRule="auto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 xml:space="preserve">5. </w:t>
            </w:r>
            <w:r>
              <w:rPr>
                <w:rFonts w:eastAsia="仿宋" w:hint="eastAsia"/>
                <w:bCs/>
                <w:sz w:val="24"/>
                <w:szCs w:val="24"/>
              </w:rPr>
              <w:t>浙江大学。</w:t>
            </w:r>
          </w:p>
        </w:tc>
      </w:tr>
      <w:bookmarkEnd w:id="0"/>
      <w:tr w:rsidR="00A225CE" w14:paraId="2F78703C" w14:textId="77777777">
        <w:trPr>
          <w:trHeight w:val="692"/>
        </w:trPr>
        <w:tc>
          <w:tcPr>
            <w:tcW w:w="2074" w:type="dxa"/>
            <w:vAlign w:val="center"/>
          </w:tcPr>
          <w:p w14:paraId="7F3D111D" w14:textId="77777777" w:rsidR="00A225CE" w:rsidRDefault="00581146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提名单位</w:t>
            </w:r>
          </w:p>
        </w:tc>
        <w:tc>
          <w:tcPr>
            <w:tcW w:w="6432" w:type="dxa"/>
            <w:vAlign w:val="center"/>
          </w:tcPr>
          <w:p w14:paraId="64C688BC" w14:textId="77777777" w:rsidR="00A225CE" w:rsidRDefault="00581146">
            <w:pPr>
              <w:contextualSpacing/>
              <w:jc w:val="center"/>
              <w:rPr>
                <w:rStyle w:val="title1"/>
                <w:b w:val="0"/>
                <w:color w:val="000000"/>
              </w:rPr>
            </w:pPr>
            <w:r>
              <w:rPr>
                <w:rFonts w:eastAsia="仿宋" w:hint="eastAsia"/>
                <w:sz w:val="24"/>
                <w:szCs w:val="24"/>
              </w:rPr>
              <w:t>嵊州市人民政府</w:t>
            </w:r>
          </w:p>
        </w:tc>
      </w:tr>
      <w:tr w:rsidR="00A225CE" w14:paraId="73BF0C4A" w14:textId="77777777">
        <w:trPr>
          <w:trHeight w:val="3683"/>
        </w:trPr>
        <w:tc>
          <w:tcPr>
            <w:tcW w:w="2074" w:type="dxa"/>
            <w:vAlign w:val="center"/>
          </w:tcPr>
          <w:p w14:paraId="3A7682C4" w14:textId="77777777" w:rsidR="00A225CE" w:rsidRDefault="00581146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432" w:type="dxa"/>
            <w:vAlign w:val="center"/>
          </w:tcPr>
          <w:p w14:paraId="6D6D9E8F" w14:textId="77777777" w:rsidR="00A225CE" w:rsidRDefault="00581146">
            <w:pPr>
              <w:spacing w:line="288" w:lineRule="auto"/>
              <w:ind w:firstLineChars="200" w:firstLine="48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我单位认真审阅了该项目全部申报材料，确认内容真实有效，符合填报要求。该项目针对我国头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孢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类抗生素产业长期存在的生产工艺高污染、高端成品制剂短缺、核心技术受制于人等发展瓶颈问题，在系列省级、国家级重大科技专项支持下，通过产学研深度融合，系统攻克了“关键中间体</w:t>
            </w:r>
            <w:r>
              <w:rPr>
                <w:rFonts w:eastAsia="仿宋" w:hint="eastAsia"/>
                <w:bCs/>
                <w:sz w:val="24"/>
                <w:szCs w:val="24"/>
              </w:rPr>
              <w:t>-</w:t>
            </w:r>
            <w:r>
              <w:rPr>
                <w:rFonts w:eastAsia="仿宋" w:hint="eastAsia"/>
                <w:bCs/>
                <w:sz w:val="24"/>
                <w:szCs w:val="24"/>
              </w:rPr>
              <w:t>原料药</w:t>
            </w:r>
            <w:r>
              <w:rPr>
                <w:rFonts w:eastAsia="仿宋" w:hint="eastAsia"/>
                <w:bCs/>
                <w:sz w:val="24"/>
                <w:szCs w:val="24"/>
              </w:rPr>
              <w:t>-</w:t>
            </w:r>
            <w:r>
              <w:rPr>
                <w:rFonts w:eastAsia="仿宋" w:hint="eastAsia"/>
                <w:bCs/>
                <w:sz w:val="24"/>
                <w:szCs w:val="24"/>
              </w:rPr>
              <w:t>高端制剂”的全产业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链关键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技术难题，取得了重大创新成果。</w:t>
            </w:r>
          </w:p>
          <w:p w14:paraId="6C85C07E" w14:textId="77777777" w:rsidR="00A225CE" w:rsidRDefault="00581146">
            <w:pPr>
              <w:spacing w:line="288" w:lineRule="auto"/>
              <w:ind w:firstLineChars="200" w:firstLine="48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项目开发了头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孢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氨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苄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、头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孢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克洛以及头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孢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克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肟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等原料药的绿色合成技术，包括中间体“一锅法”合成、</w:t>
            </w:r>
            <w:r>
              <w:rPr>
                <w:rFonts w:eastAsia="仿宋" w:hint="eastAsia"/>
                <w:bCs/>
                <w:sz w:val="24"/>
                <w:szCs w:val="24"/>
              </w:rPr>
              <w:t>7-ADCA</w:t>
            </w:r>
            <w:r>
              <w:rPr>
                <w:rFonts w:eastAsia="仿宋" w:hint="eastAsia"/>
                <w:bCs/>
                <w:sz w:val="24"/>
                <w:szCs w:val="24"/>
              </w:rPr>
              <w:t>酶法回收与循环利用等技术；创制了具有超高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比酶活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的青霉素</w:t>
            </w:r>
            <w:r>
              <w:rPr>
                <w:rFonts w:eastAsia="仿宋" w:hint="eastAsia"/>
                <w:bCs/>
                <w:sz w:val="24"/>
                <w:szCs w:val="24"/>
              </w:rPr>
              <w:t>G</w:t>
            </w:r>
            <w:r>
              <w:rPr>
                <w:rFonts w:eastAsia="仿宋" w:hint="eastAsia"/>
                <w:bCs/>
                <w:sz w:val="24"/>
                <w:szCs w:val="24"/>
              </w:rPr>
              <w:t>酰化酶催化剂，发展了酶法脱保护清洁合成新技术，降低了三废排放；开发了头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孢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克洛缓释制剂及成套低成本淀粉基植物胶囊制备工艺，提高了药物利用度。核心技术已获中国发明专利</w:t>
            </w:r>
            <w:r>
              <w:rPr>
                <w:rFonts w:eastAsia="仿宋" w:hint="eastAsia"/>
                <w:bCs/>
                <w:sz w:val="24"/>
                <w:szCs w:val="24"/>
              </w:rPr>
              <w:t>23</w:t>
            </w:r>
            <w:r>
              <w:rPr>
                <w:rFonts w:eastAsia="仿宋" w:hint="eastAsia"/>
                <w:bCs/>
                <w:sz w:val="24"/>
                <w:szCs w:val="24"/>
              </w:rPr>
              <w:t>件，实用新型专利</w:t>
            </w:r>
            <w:r>
              <w:rPr>
                <w:rFonts w:eastAsia="仿宋" w:hint="eastAsia"/>
                <w:bCs/>
                <w:sz w:val="24"/>
                <w:szCs w:val="24"/>
              </w:rPr>
              <w:t>1</w:t>
            </w:r>
            <w:r>
              <w:rPr>
                <w:rFonts w:eastAsia="仿宋" w:hint="eastAsia"/>
                <w:bCs/>
                <w:sz w:val="24"/>
                <w:szCs w:val="24"/>
              </w:rPr>
              <w:t>件，发表论文</w:t>
            </w:r>
            <w:r>
              <w:rPr>
                <w:rFonts w:eastAsia="仿宋" w:hint="eastAsia"/>
                <w:bCs/>
                <w:sz w:val="24"/>
                <w:szCs w:val="24"/>
              </w:rPr>
              <w:t>16</w:t>
            </w:r>
            <w:r>
              <w:rPr>
                <w:rFonts w:eastAsia="仿宋" w:hint="eastAsia"/>
                <w:bCs/>
                <w:sz w:val="24"/>
                <w:szCs w:val="24"/>
              </w:rPr>
              <w:t>篇，获药品注册批文</w:t>
            </w:r>
            <w:r>
              <w:rPr>
                <w:rFonts w:eastAsia="仿宋" w:hint="eastAsia"/>
                <w:bCs/>
                <w:sz w:val="24"/>
                <w:szCs w:val="24"/>
              </w:rPr>
              <w:t>16</w:t>
            </w:r>
            <w:r>
              <w:rPr>
                <w:rFonts w:eastAsia="仿宋" w:hint="eastAsia"/>
                <w:bCs/>
                <w:sz w:val="24"/>
                <w:szCs w:val="24"/>
              </w:rPr>
              <w:t>件。项目总体技术达到国际先进水平。</w:t>
            </w:r>
          </w:p>
          <w:p w14:paraId="67CC58B1" w14:textId="77777777" w:rsidR="00A225CE" w:rsidRDefault="00581146">
            <w:pPr>
              <w:spacing w:line="288" w:lineRule="auto"/>
              <w:ind w:firstLineChars="200" w:firstLine="480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项目成果已在浙江昂利康制药股份有限公司、浙江东邦药业有限公司等企业成功转化，建成了千吨级中间体与原料药生产线、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千万盒级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成品制剂生产线，超过</w:t>
            </w:r>
            <w:r>
              <w:rPr>
                <w:rFonts w:eastAsia="仿宋" w:hint="eastAsia"/>
                <w:bCs/>
                <w:sz w:val="24"/>
                <w:szCs w:val="24"/>
              </w:rPr>
              <w:t>7</w:t>
            </w:r>
            <w:r>
              <w:rPr>
                <w:rFonts w:eastAsia="仿宋" w:hint="eastAsia"/>
                <w:bCs/>
                <w:sz w:val="24"/>
                <w:szCs w:val="24"/>
              </w:rPr>
              <w:t>个产品全国产量领先，其中两个产品国内市场占有率超过</w:t>
            </w:r>
            <w:r>
              <w:rPr>
                <w:rFonts w:eastAsia="仿宋" w:hint="eastAsia"/>
                <w:bCs/>
                <w:sz w:val="24"/>
                <w:szCs w:val="24"/>
              </w:rPr>
              <w:t>50%</w:t>
            </w:r>
            <w:r>
              <w:rPr>
                <w:rFonts w:eastAsia="仿宋" w:hint="eastAsia"/>
                <w:bCs/>
                <w:sz w:val="24"/>
                <w:szCs w:val="24"/>
              </w:rPr>
              <w:t>。完成单位近三年累计新增销售额超</w:t>
            </w:r>
            <w:r>
              <w:rPr>
                <w:rFonts w:eastAsia="仿宋" w:hint="eastAsia"/>
                <w:bCs/>
                <w:sz w:val="24"/>
                <w:szCs w:val="24"/>
              </w:rPr>
              <w:t>44.8</w:t>
            </w:r>
            <w:r>
              <w:rPr>
                <w:rFonts w:eastAsia="仿宋" w:hint="eastAsia"/>
                <w:bCs/>
                <w:sz w:val="24"/>
                <w:szCs w:val="24"/>
              </w:rPr>
              <w:t>亿元，经济与社会效益显著。该成果为保障我国基本药物供应链安全、推动浙江乃至全国制药行业</w:t>
            </w:r>
            <w:proofErr w:type="gramStart"/>
            <w:r>
              <w:rPr>
                <w:rFonts w:eastAsia="仿宋" w:hint="eastAsia"/>
                <w:bCs/>
                <w:sz w:val="24"/>
                <w:szCs w:val="24"/>
              </w:rPr>
              <w:t>践行</w:t>
            </w:r>
            <w:proofErr w:type="gramEnd"/>
            <w:r>
              <w:rPr>
                <w:rFonts w:eastAsia="仿宋" w:hint="eastAsia"/>
                <w:bCs/>
                <w:sz w:val="24"/>
                <w:szCs w:val="24"/>
              </w:rPr>
              <w:t>绿色制造和高质量发展提供了重要技术支撑。</w:t>
            </w:r>
          </w:p>
          <w:p w14:paraId="78C8C43E" w14:textId="77777777" w:rsidR="00A225CE" w:rsidRDefault="00581146">
            <w:pPr>
              <w:spacing w:line="288" w:lineRule="auto"/>
              <w:ind w:firstLineChars="200" w:firstLine="480"/>
              <w:rPr>
                <w:rStyle w:val="title1"/>
                <w:rFonts w:ascii="仿宋_GB2312" w:eastAsia="仿宋_GB2312" w:hAnsi="仿宋" w:cs="仿宋"/>
                <w:b w:val="0"/>
                <w:bCs w:val="0"/>
                <w:color w:val="000000" w:themeColor="text1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对照科技进步奖授奖条件，提名该成果为省科学技术进步奖一等奖。</w:t>
            </w:r>
          </w:p>
        </w:tc>
      </w:tr>
    </w:tbl>
    <w:p w14:paraId="0347714A" w14:textId="77777777" w:rsidR="00A225CE" w:rsidRDefault="00A225CE"/>
    <w:p w14:paraId="66D1E7D7" w14:textId="77777777" w:rsidR="00A225CE" w:rsidRDefault="00581146">
      <w:pPr>
        <w:widowControl/>
        <w:jc w:val="left"/>
      </w:pPr>
      <w:r>
        <w:br w:type="page"/>
      </w:r>
    </w:p>
    <w:p w14:paraId="1DB819A6" w14:textId="77777777" w:rsidR="00A225CE" w:rsidRDefault="00A225CE">
      <w:pPr>
        <w:pStyle w:val="a3"/>
        <w:jc w:val="left"/>
        <w:rPr>
          <w:rFonts w:ascii="方正黑体简体" w:eastAsia="方正黑体简体" w:hAnsi="宋体"/>
          <w:color w:val="000000" w:themeColor="text1"/>
          <w:sz w:val="32"/>
          <w:szCs w:val="22"/>
        </w:rPr>
        <w:sectPr w:rsidR="00A225CE">
          <w:pgSz w:w="11906" w:h="16838"/>
          <w:pgMar w:top="1440" w:right="1276" w:bottom="1440" w:left="1797" w:header="709" w:footer="709" w:gutter="0"/>
          <w:cols w:space="708"/>
          <w:docGrid w:linePitch="360"/>
        </w:sectPr>
      </w:pPr>
    </w:p>
    <w:p w14:paraId="3ABCA70F" w14:textId="77777777" w:rsidR="00A225CE" w:rsidRDefault="00581146">
      <w:pPr>
        <w:pStyle w:val="a3"/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r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>附件1：                       主要知识产权和标准规范目录</w:t>
      </w:r>
    </w:p>
    <w:tbl>
      <w:tblPr>
        <w:tblW w:w="14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2629"/>
        <w:gridCol w:w="978"/>
        <w:gridCol w:w="1317"/>
        <w:gridCol w:w="1257"/>
        <w:gridCol w:w="1465"/>
        <w:gridCol w:w="2035"/>
        <w:gridCol w:w="1737"/>
        <w:gridCol w:w="1778"/>
      </w:tblGrid>
      <w:tr w:rsidR="00A225CE" w14:paraId="7AE2AAFD" w14:textId="77777777">
        <w:trPr>
          <w:trHeight w:val="122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B54D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知识产权</w:t>
            </w:r>
          </w:p>
          <w:p w14:paraId="2975366C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（标准规范）类别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92FF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知识产权（标准规范）具体名称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F83C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国家</w:t>
            </w:r>
          </w:p>
          <w:p w14:paraId="2543E719" w14:textId="77777777" w:rsidR="00A225CE" w:rsidRDefault="00581146">
            <w:pPr>
              <w:jc w:val="center"/>
              <w:rPr>
                <w:rFonts w:eastAsia="仿宋_GB2312"/>
                <w:bCs/>
                <w:snapToGrid w:val="0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bCs/>
                <w:snapToGrid w:val="0"/>
                <w:color w:val="000000" w:themeColor="text1"/>
                <w:sz w:val="24"/>
                <w:szCs w:val="21"/>
              </w:rPr>
              <w:t>（地区）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0A1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授权号</w:t>
            </w:r>
          </w:p>
          <w:p w14:paraId="1E58E35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（标准规范编号）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AAB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授权</w:t>
            </w:r>
          </w:p>
          <w:p w14:paraId="7C759FB4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（标准发布）</w:t>
            </w:r>
          </w:p>
          <w:p w14:paraId="477CB793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日期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4D8F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证书编号（标准规范批准发布部门）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218B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权利人（标准规范起草单位）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ACFB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发明人（标准规范起草人）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3111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发明专利（标准规范）有效状态</w:t>
            </w:r>
          </w:p>
        </w:tc>
      </w:tr>
      <w:tr w:rsidR="00A225CE" w14:paraId="58BBA16E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6989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8F4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一种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7-ADCA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回收方法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FFE8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4B6D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" w:hint="eastAsia"/>
                <w:bCs/>
                <w:sz w:val="24"/>
                <w:szCs w:val="24"/>
              </w:rPr>
              <w:t>ZL202111004849.2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E98A" w14:textId="77777777" w:rsidR="00A225CE" w:rsidRDefault="00A225C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</w:p>
          <w:p w14:paraId="5D388FB8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2023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05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02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76C1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5935844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90B3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浙江昂利康制药有限公司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A231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杜二洪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宋迎权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郑国荣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方金凤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徐成苗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求满金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何丽胡敏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5E7E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A225CE" w14:paraId="2FB3C13E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A8BD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C2D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头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孢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克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肟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的制备方法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B4E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EFAD4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ZL200810120071.X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422C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2012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02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15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83CD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909837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2603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浙江昂利康制药有限公司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396C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程先波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胡立蓬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叶树祥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徐成苗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马海岭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D980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A225CE" w14:paraId="473C910E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4C7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742F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3-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氯头孢菌素衍生物及其合成方法与在头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孢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克洛制备中的应用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0A4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885A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ZL201110448936.7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0A3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2014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07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09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DBD1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1436235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E060" w14:textId="0EBE7EFF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浙江东邦药业有限公司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C206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王海平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池骋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池正明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许关煜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69D3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A225CE" w14:paraId="60ABCF79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B46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62F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一种青霉素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G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酰化酶</w:t>
            </w:r>
            <w:proofErr w:type="spell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AxPGA</w:t>
            </w:r>
            <w:proofErr w:type="spell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突变体及表达质粒、基因工程菌和应用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C7C5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C31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ZL202510073625.9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6A26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2025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10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10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900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8348783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9A5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浙江昂利康制药股份有限公司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;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浙江昂利康锦和生物技术有限公司；浙江理工大学嵊州创新研究院有限公司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D909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罗金文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郭靖宁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沈永淼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彭凤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苏淼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宋迎权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徐成苗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王孟强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杜二洪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魏林萍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何丽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裘柯丽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厉云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沈彩云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A74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A225CE" w14:paraId="36608FE6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3BFDC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B179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一种头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孢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类中间体青霉素亚砜的制备方法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FE9AD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C6CAE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ZL201310459281.2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063C" w14:textId="77777777" w:rsidR="00A225CE" w:rsidRDefault="00A225CE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</w:p>
          <w:p w14:paraId="5A0CBCB7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2014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08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27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740B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1471487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85F6C" w14:textId="4478937B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浙江昂利康制药有限公司</w:t>
            </w:r>
            <w:r w:rsidR="00083CF3">
              <w:rPr>
                <w:rFonts w:eastAsia="仿宋_GB2312" w:hint="eastAsia"/>
                <w:color w:val="000000" w:themeColor="text1"/>
                <w:sz w:val="24"/>
                <w:szCs w:val="21"/>
              </w:rPr>
              <w:t>;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江苏悦新药业有限公司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42C87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甘勇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李斌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张云鹏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徐成苗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马海岭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杨国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lastRenderedPageBreak/>
              <w:t>栋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楼挺华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方南平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F69F2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lastRenderedPageBreak/>
              <w:t>有效</w:t>
            </w:r>
          </w:p>
        </w:tc>
      </w:tr>
      <w:tr w:rsidR="00A225CE" w14:paraId="450FD39C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C1C6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lastRenderedPageBreak/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783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一种氧头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孢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类化合物的制备方法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8423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8B83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ZL201210358059.9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DD17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2015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03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11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5F79F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1603208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CC25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浙江东邦药业有限公司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A75C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黄伟平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池正明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卢峻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李日生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池瀛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虞正烨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FDEEA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A225CE" w14:paraId="593CF6C6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B36CC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F080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一种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3-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羟基头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孢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化合物的制备方法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035A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8DB30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ZL200910097087.8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0223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2012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07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04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7591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985859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CF772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浙江东邦药业有限公司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35DE5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池正明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;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南宫润叶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;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张云华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6423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A225CE" w14:paraId="0DA73394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91E9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0F3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头</w:t>
            </w: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孢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克洛缓释组合物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BD7B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CD4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ZL201010230857.4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31F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2015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04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月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22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EA01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1643159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0114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浙江昂利康制药有限公司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43880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徐成苗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周军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马海岭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黄伟莉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徐爱放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757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  <w:tr w:rsidR="00A225CE" w14:paraId="752DFA24" w14:textId="77777777">
        <w:trPr>
          <w:trHeight w:val="921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34C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发明专利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74E7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一种淀粉基药用胶囊的制备方法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70AC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中国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5D8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ZL201910007886.5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3B10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2021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8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年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17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日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B1F2" w14:textId="77777777" w:rsidR="00A225CE" w:rsidRDefault="00581146">
            <w:pPr>
              <w:jc w:val="center"/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4617664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88A5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浙江昂利康制药股份有限公司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2C2F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proofErr w:type="gramStart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陈汉刚</w:t>
            </w:r>
            <w:proofErr w:type="gramEnd"/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王明光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 xml:space="preserve"> </w:t>
            </w: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徐成苗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E5DB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eastAsia="仿宋_GB2312" w:hint="eastAsia"/>
                <w:color w:val="000000" w:themeColor="text1"/>
                <w:sz w:val="24"/>
                <w:szCs w:val="21"/>
              </w:rPr>
              <w:t>有效</w:t>
            </w:r>
          </w:p>
        </w:tc>
      </w:tr>
    </w:tbl>
    <w:p w14:paraId="3CB904C7" w14:textId="77777777" w:rsidR="00A225CE" w:rsidRDefault="00A225CE">
      <w:pPr>
        <w:spacing w:beforeLines="50" w:before="120"/>
        <w:rPr>
          <w:rFonts w:eastAsia="仿宋_GB2312"/>
          <w:sz w:val="24"/>
        </w:rPr>
        <w:sectPr w:rsidR="00A225CE">
          <w:pgSz w:w="16838" w:h="11906" w:orient="landscape"/>
          <w:pgMar w:top="1797" w:right="1440" w:bottom="1276" w:left="1440" w:header="709" w:footer="709" w:gutter="0"/>
          <w:cols w:space="708"/>
          <w:docGrid w:linePitch="360"/>
        </w:sectPr>
      </w:pPr>
    </w:p>
    <w:p w14:paraId="3099F5C3" w14:textId="77777777" w:rsidR="00A225CE" w:rsidRDefault="00581146">
      <w:pPr>
        <w:pStyle w:val="a3"/>
        <w:jc w:val="left"/>
        <w:rPr>
          <w:rFonts w:ascii="黑体" w:eastAsia="黑体" w:hAnsi="黑体"/>
          <w:color w:val="000000" w:themeColor="text1"/>
          <w:sz w:val="32"/>
          <w:szCs w:val="22"/>
        </w:rPr>
      </w:pPr>
      <w:r>
        <w:rPr>
          <w:rFonts w:ascii="黑体" w:eastAsia="黑体" w:hAnsi="黑体" w:hint="eastAsia"/>
          <w:color w:val="000000" w:themeColor="text1"/>
          <w:sz w:val="32"/>
          <w:szCs w:val="22"/>
        </w:rPr>
        <w:lastRenderedPageBreak/>
        <w:t>附件2：          代表性论文（专著）目录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571"/>
        <w:gridCol w:w="963"/>
        <w:gridCol w:w="993"/>
        <w:gridCol w:w="850"/>
      </w:tblGrid>
      <w:tr w:rsidR="00A225CE" w14:paraId="2CC45010" w14:textId="77777777">
        <w:trPr>
          <w:trHeight w:hRule="exact" w:val="907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5F87B" w14:textId="77777777" w:rsidR="00A225CE" w:rsidRDefault="0058114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5AD4" w14:textId="77777777" w:rsidR="00A225CE" w:rsidRDefault="0058114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论文（专著）名称/刊物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B502E" w14:textId="77777777" w:rsidR="00A225CE" w:rsidRDefault="0058114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年卷</w:t>
            </w:r>
          </w:p>
          <w:p w14:paraId="5C0FD465" w14:textId="77777777" w:rsidR="00A225CE" w:rsidRDefault="00581146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3FECE" w14:textId="77777777" w:rsidR="00A225CE" w:rsidRDefault="0058114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发表</w:t>
            </w:r>
          </w:p>
          <w:p w14:paraId="3F63160E" w14:textId="77777777" w:rsidR="00A225CE" w:rsidRDefault="0058114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时间</w:t>
            </w:r>
          </w:p>
          <w:p w14:paraId="5751DC2B" w14:textId="77777777" w:rsidR="00A225CE" w:rsidRDefault="0058114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84997" w14:textId="77777777" w:rsidR="00A225CE" w:rsidRDefault="0058114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他引</w:t>
            </w:r>
          </w:p>
          <w:p w14:paraId="73AC1C3D" w14:textId="77777777" w:rsidR="00A225CE" w:rsidRDefault="00581146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总次数</w:t>
            </w:r>
          </w:p>
        </w:tc>
      </w:tr>
      <w:tr w:rsidR="00A225CE" w14:paraId="031FB00E" w14:textId="77777777" w:rsidTr="008E5F14">
        <w:trPr>
          <w:trHeight w:hRule="exact" w:val="138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520E" w14:textId="571CB7D7" w:rsidR="008E5F14" w:rsidRPr="008E5F14" w:rsidRDefault="008E5F14" w:rsidP="008E5F14">
            <w:pPr>
              <w:rPr>
                <w:szCs w:val="21"/>
              </w:rPr>
            </w:pPr>
            <w:r w:rsidRPr="008E5F14">
              <w:rPr>
                <w:rFonts w:hint="eastAsia"/>
                <w:szCs w:val="21"/>
              </w:rPr>
              <w:t>李杰，李志明，戴童浩，梅开愉，吴智雄，</w:t>
            </w:r>
            <w:r>
              <w:rPr>
                <w:rFonts w:hint="eastAsia"/>
                <w:szCs w:val="21"/>
              </w:rPr>
              <w:t>奚紫微</w:t>
            </w: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szCs w:val="21"/>
              </w:rPr>
              <w:t>，</w:t>
            </w:r>
            <w:r w:rsidRPr="008E5F14">
              <w:rPr>
                <w:rFonts w:hint="eastAsia"/>
                <w:szCs w:val="21"/>
              </w:rPr>
              <w:t>郭靖宁</w:t>
            </w:r>
            <w:r>
              <w:rPr>
                <w:rFonts w:hint="eastAsia"/>
                <w:szCs w:val="21"/>
              </w:rPr>
              <w:t>*</w:t>
            </w:r>
            <w:r w:rsidRPr="008E5F14">
              <w:rPr>
                <w:rFonts w:hint="eastAsia"/>
                <w:szCs w:val="21"/>
              </w:rPr>
              <w:t>，沈永淼</w:t>
            </w:r>
            <w:r>
              <w:rPr>
                <w:rFonts w:hint="eastAsia"/>
                <w:szCs w:val="21"/>
              </w:rPr>
              <w:t>*</w:t>
            </w:r>
            <w:r w:rsidR="00581146">
              <w:rPr>
                <w:rFonts w:hint="eastAsia"/>
                <w:szCs w:val="21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88733" w14:textId="77777777" w:rsidR="00A225CE" w:rsidRDefault="00581146">
            <w:pPr>
              <w:rPr>
                <w:rFonts w:ascii="仿宋_GB2312" w:eastAsia="仿宋_GB2312" w:hAnsi="宋体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 xml:space="preserve">Highly selective hydrogenation of halogenated </w:t>
            </w:r>
            <w:proofErr w:type="spellStart"/>
            <w:r>
              <w:rPr>
                <w:rFonts w:hint="eastAsia"/>
                <w:szCs w:val="21"/>
              </w:rPr>
              <w:t>nitroarenes</w:t>
            </w:r>
            <w:proofErr w:type="spellEnd"/>
            <w:r>
              <w:rPr>
                <w:rFonts w:hint="eastAsia"/>
                <w:szCs w:val="21"/>
              </w:rPr>
              <w:t xml:space="preserve"> over </w:t>
            </w:r>
            <w:proofErr w:type="spellStart"/>
            <w:r>
              <w:rPr>
                <w:rFonts w:hint="eastAsia"/>
                <w:szCs w:val="21"/>
              </w:rPr>
              <w:t>Pt</w:t>
            </w:r>
            <w:proofErr w:type="spellEnd"/>
            <w:r>
              <w:rPr>
                <w:rFonts w:hint="eastAsia"/>
                <w:szCs w:val="21"/>
              </w:rPr>
              <w:t xml:space="preserve"> nanoparticles on DMA-modified </w:t>
            </w:r>
            <w:proofErr w:type="spellStart"/>
            <w:r>
              <w:rPr>
                <w:rFonts w:hint="eastAsia"/>
                <w:szCs w:val="21"/>
              </w:rPr>
              <w:t>graphene</w:t>
            </w:r>
            <w:proofErr w:type="spellEnd"/>
            <w:r>
              <w:rPr>
                <w:rFonts w:hint="eastAsia"/>
                <w:szCs w:val="21"/>
              </w:rPr>
              <w:t>/New Journal of Chemistry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79E80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2025</w:t>
            </w:r>
            <w:proofErr w:type="gramStart"/>
            <w:r>
              <w:rPr>
                <w:rFonts w:hint="eastAsia"/>
                <w:szCs w:val="21"/>
              </w:rPr>
              <w:t>,49</w:t>
            </w:r>
            <w:proofErr w:type="gramEnd"/>
            <w:r>
              <w:rPr>
                <w:rFonts w:hint="eastAsia"/>
                <w:szCs w:val="21"/>
              </w:rPr>
              <w:t>(44):19247-19255.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85F5B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2025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EEB25" w14:textId="77777777" w:rsidR="00A225CE" w:rsidRDefault="00581146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</w:tr>
      <w:tr w:rsidR="00A225CE" w14:paraId="477137D3" w14:textId="77777777">
        <w:trPr>
          <w:trHeight w:hRule="exact" w:val="2244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1B2BE" w14:textId="77777777" w:rsidR="00A225CE" w:rsidRDefault="00A225CE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322EE" w14:textId="77777777" w:rsidR="00A225CE" w:rsidRDefault="00A225CE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FD143" w14:textId="77777777" w:rsidR="00A225CE" w:rsidRDefault="00A225CE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BD825" w14:textId="77777777" w:rsidR="00A225CE" w:rsidRDefault="00A225CE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F75B" w14:textId="77777777" w:rsidR="00A225CE" w:rsidRDefault="00A225CE">
            <w:pPr>
              <w:rPr>
                <w:rFonts w:eastAsia="仿宋_GB2312"/>
                <w:color w:val="000000" w:themeColor="text1"/>
                <w:sz w:val="24"/>
                <w:szCs w:val="21"/>
              </w:rPr>
            </w:pPr>
          </w:p>
        </w:tc>
      </w:tr>
      <w:tr w:rsidR="00A225CE" w14:paraId="2774C70A" w14:textId="77777777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7A74E" w14:textId="77777777" w:rsidR="00A225CE" w:rsidRDefault="00A225C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A22AC" w14:textId="77777777" w:rsidR="00A225CE" w:rsidRDefault="00A225C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0D0F6" w14:textId="77777777" w:rsidR="00A225CE" w:rsidRDefault="00A225CE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D5B37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10B8C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225CE" w14:paraId="51894A9F" w14:textId="77777777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4818E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B03E5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143D5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3FB7A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3A88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225CE" w14:paraId="3655F64A" w14:textId="77777777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A016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3C2B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FEBB" w14:textId="77777777" w:rsidR="00A225CE" w:rsidRDefault="00A225CE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4638" w14:textId="77777777" w:rsidR="00A225CE" w:rsidRDefault="00A225CE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9AD9B" w14:textId="77777777" w:rsidR="00A225CE" w:rsidRDefault="00A225CE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A225CE" w14:paraId="57D0C614" w14:textId="77777777">
        <w:trPr>
          <w:trHeight w:hRule="exact" w:val="851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D64CB4" w14:textId="77777777" w:rsidR="00A225CE" w:rsidRDefault="00581146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49445F" w14:textId="77777777" w:rsidR="00A225CE" w:rsidRDefault="005811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7F4BD7BC" w14:textId="77777777" w:rsidR="00A225CE" w:rsidRDefault="00581146">
      <w:pPr>
        <w:spacing w:line="500" w:lineRule="exact"/>
        <w:ind w:firstLineChars="200" w:firstLine="480"/>
        <w:rPr>
          <w:rFonts w:eastAsia="仿宋_GB2312"/>
          <w:bCs/>
          <w:sz w:val="24"/>
          <w:szCs w:val="24"/>
        </w:rPr>
      </w:pPr>
      <w:r>
        <w:rPr>
          <w:rFonts w:eastAsia="仿宋_GB2312" w:hint="eastAsia"/>
          <w:bCs/>
          <w:sz w:val="24"/>
          <w:szCs w:val="24"/>
        </w:rPr>
        <w:t>注</w:t>
      </w:r>
      <w:r>
        <w:rPr>
          <w:rFonts w:eastAsia="仿宋_GB2312" w:hint="eastAsia"/>
          <w:bCs/>
          <w:sz w:val="24"/>
          <w:szCs w:val="24"/>
        </w:rPr>
        <w:t>:</w:t>
      </w:r>
      <w:r>
        <w:rPr>
          <w:rFonts w:eastAsia="仿宋_GB2312"/>
          <w:bCs/>
          <w:sz w:val="24"/>
          <w:szCs w:val="24"/>
        </w:rPr>
        <w:t xml:space="preserve"> </w:t>
      </w:r>
      <w:r>
        <w:rPr>
          <w:rFonts w:eastAsia="仿宋_GB2312" w:hint="eastAsia"/>
          <w:bCs/>
          <w:sz w:val="24"/>
          <w:szCs w:val="24"/>
        </w:rPr>
        <w:t>以上两</w:t>
      </w:r>
      <w:r>
        <w:rPr>
          <w:rFonts w:eastAsia="仿宋_GB2312"/>
          <w:bCs/>
          <w:sz w:val="24"/>
          <w:szCs w:val="24"/>
        </w:rPr>
        <w:t>个附件中的知识产权、标准规范、论文专著，合计填写总数不超过</w:t>
      </w:r>
      <w:r>
        <w:rPr>
          <w:rFonts w:eastAsia="仿宋_GB2312"/>
          <w:bCs/>
          <w:sz w:val="24"/>
          <w:szCs w:val="24"/>
        </w:rPr>
        <w:t>10</w:t>
      </w:r>
      <w:r>
        <w:rPr>
          <w:rFonts w:eastAsia="仿宋_GB2312"/>
          <w:bCs/>
          <w:sz w:val="24"/>
          <w:szCs w:val="24"/>
        </w:rPr>
        <w:t>项。</w:t>
      </w:r>
    </w:p>
    <w:sectPr w:rsidR="00A225CE">
      <w:pgSz w:w="11906" w:h="16838"/>
      <w:pgMar w:top="1440" w:right="127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228AD" w14:textId="77777777" w:rsidR="0033007F" w:rsidRDefault="0033007F" w:rsidP="00B76AFF">
      <w:r>
        <w:separator/>
      </w:r>
    </w:p>
  </w:endnote>
  <w:endnote w:type="continuationSeparator" w:id="0">
    <w:p w14:paraId="40C52324" w14:textId="77777777" w:rsidR="0033007F" w:rsidRDefault="0033007F" w:rsidP="00B76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85A94" w14:textId="77777777" w:rsidR="0033007F" w:rsidRDefault="0033007F" w:rsidP="00B76AFF">
      <w:r>
        <w:separator/>
      </w:r>
    </w:p>
  </w:footnote>
  <w:footnote w:type="continuationSeparator" w:id="0">
    <w:p w14:paraId="21B21ABB" w14:textId="77777777" w:rsidR="0033007F" w:rsidRDefault="0033007F" w:rsidP="00B76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17E"/>
    <w:rsid w:val="00083CF3"/>
    <w:rsid w:val="000F2E7B"/>
    <w:rsid w:val="000F46CC"/>
    <w:rsid w:val="001164DA"/>
    <w:rsid w:val="00130367"/>
    <w:rsid w:val="00170282"/>
    <w:rsid w:val="00175631"/>
    <w:rsid w:val="001B57E2"/>
    <w:rsid w:val="001C5B62"/>
    <w:rsid w:val="001C652C"/>
    <w:rsid w:val="001D3B60"/>
    <w:rsid w:val="001E5E4F"/>
    <w:rsid w:val="00210109"/>
    <w:rsid w:val="00210A37"/>
    <w:rsid w:val="00211589"/>
    <w:rsid w:val="00216AF1"/>
    <w:rsid w:val="00222746"/>
    <w:rsid w:val="00224AD5"/>
    <w:rsid w:val="00230375"/>
    <w:rsid w:val="00243349"/>
    <w:rsid w:val="002624D6"/>
    <w:rsid w:val="00264F75"/>
    <w:rsid w:val="00273CBA"/>
    <w:rsid w:val="002758F5"/>
    <w:rsid w:val="002B51E9"/>
    <w:rsid w:val="002B68DA"/>
    <w:rsid w:val="002F33C7"/>
    <w:rsid w:val="00301246"/>
    <w:rsid w:val="0033007F"/>
    <w:rsid w:val="00334129"/>
    <w:rsid w:val="003432B4"/>
    <w:rsid w:val="003505AD"/>
    <w:rsid w:val="003B1088"/>
    <w:rsid w:val="003B5AFE"/>
    <w:rsid w:val="003B61E9"/>
    <w:rsid w:val="003C4B0B"/>
    <w:rsid w:val="003C601C"/>
    <w:rsid w:val="003C7B43"/>
    <w:rsid w:val="003D7B6E"/>
    <w:rsid w:val="00432953"/>
    <w:rsid w:val="004411C8"/>
    <w:rsid w:val="00471B85"/>
    <w:rsid w:val="0048450E"/>
    <w:rsid w:val="004B1C54"/>
    <w:rsid w:val="004C0CEA"/>
    <w:rsid w:val="004C7DA9"/>
    <w:rsid w:val="004D2B1A"/>
    <w:rsid w:val="004E3B64"/>
    <w:rsid w:val="004F65E4"/>
    <w:rsid w:val="005026CC"/>
    <w:rsid w:val="005539A6"/>
    <w:rsid w:val="005726EF"/>
    <w:rsid w:val="00572A2A"/>
    <w:rsid w:val="00576583"/>
    <w:rsid w:val="00581146"/>
    <w:rsid w:val="005A1342"/>
    <w:rsid w:val="005B3E34"/>
    <w:rsid w:val="00612482"/>
    <w:rsid w:val="00614ED8"/>
    <w:rsid w:val="00643F2C"/>
    <w:rsid w:val="00686BF5"/>
    <w:rsid w:val="006B0649"/>
    <w:rsid w:val="006D7BAE"/>
    <w:rsid w:val="00721931"/>
    <w:rsid w:val="00731F31"/>
    <w:rsid w:val="00741B0D"/>
    <w:rsid w:val="00742F21"/>
    <w:rsid w:val="007674B1"/>
    <w:rsid w:val="00773751"/>
    <w:rsid w:val="0077480F"/>
    <w:rsid w:val="00791FE5"/>
    <w:rsid w:val="007A6018"/>
    <w:rsid w:val="007B34C1"/>
    <w:rsid w:val="007D446F"/>
    <w:rsid w:val="007F11FE"/>
    <w:rsid w:val="007F2AA4"/>
    <w:rsid w:val="007F3862"/>
    <w:rsid w:val="007F6C3C"/>
    <w:rsid w:val="00812BF8"/>
    <w:rsid w:val="0082117E"/>
    <w:rsid w:val="00827A92"/>
    <w:rsid w:val="00830CF6"/>
    <w:rsid w:val="00866CB2"/>
    <w:rsid w:val="00880F91"/>
    <w:rsid w:val="008D0030"/>
    <w:rsid w:val="008E5F14"/>
    <w:rsid w:val="00932FDB"/>
    <w:rsid w:val="00933D56"/>
    <w:rsid w:val="00942D22"/>
    <w:rsid w:val="00990712"/>
    <w:rsid w:val="009A0EAC"/>
    <w:rsid w:val="009B29BD"/>
    <w:rsid w:val="009B2C57"/>
    <w:rsid w:val="00A0124B"/>
    <w:rsid w:val="00A12F72"/>
    <w:rsid w:val="00A2020D"/>
    <w:rsid w:val="00A225CE"/>
    <w:rsid w:val="00A61F08"/>
    <w:rsid w:val="00A77FF1"/>
    <w:rsid w:val="00A800D7"/>
    <w:rsid w:val="00AA3FAA"/>
    <w:rsid w:val="00AC5212"/>
    <w:rsid w:val="00AD4D6C"/>
    <w:rsid w:val="00AE57ED"/>
    <w:rsid w:val="00AE7788"/>
    <w:rsid w:val="00B06C21"/>
    <w:rsid w:val="00B33836"/>
    <w:rsid w:val="00B47CC3"/>
    <w:rsid w:val="00B55845"/>
    <w:rsid w:val="00B618CC"/>
    <w:rsid w:val="00B74B3D"/>
    <w:rsid w:val="00B76AFF"/>
    <w:rsid w:val="00B82553"/>
    <w:rsid w:val="00B8342A"/>
    <w:rsid w:val="00B845F8"/>
    <w:rsid w:val="00B84C63"/>
    <w:rsid w:val="00B95B21"/>
    <w:rsid w:val="00BB4000"/>
    <w:rsid w:val="00BF3AB8"/>
    <w:rsid w:val="00C01727"/>
    <w:rsid w:val="00C07781"/>
    <w:rsid w:val="00C106ED"/>
    <w:rsid w:val="00C345C1"/>
    <w:rsid w:val="00C6101F"/>
    <w:rsid w:val="00C6338E"/>
    <w:rsid w:val="00C755E5"/>
    <w:rsid w:val="00C841B7"/>
    <w:rsid w:val="00C95110"/>
    <w:rsid w:val="00C960F9"/>
    <w:rsid w:val="00CA0F9B"/>
    <w:rsid w:val="00CA1C35"/>
    <w:rsid w:val="00CB26D1"/>
    <w:rsid w:val="00CB46A1"/>
    <w:rsid w:val="00CC0C28"/>
    <w:rsid w:val="00CE6BF6"/>
    <w:rsid w:val="00CF36AB"/>
    <w:rsid w:val="00D41F37"/>
    <w:rsid w:val="00D57031"/>
    <w:rsid w:val="00D639FB"/>
    <w:rsid w:val="00D81C71"/>
    <w:rsid w:val="00DA5F29"/>
    <w:rsid w:val="00DB43F6"/>
    <w:rsid w:val="00E04184"/>
    <w:rsid w:val="00E046EB"/>
    <w:rsid w:val="00E11C57"/>
    <w:rsid w:val="00E1505A"/>
    <w:rsid w:val="00E40343"/>
    <w:rsid w:val="00E41062"/>
    <w:rsid w:val="00E43B7B"/>
    <w:rsid w:val="00E5464E"/>
    <w:rsid w:val="00E72C3F"/>
    <w:rsid w:val="00E7550F"/>
    <w:rsid w:val="00E75514"/>
    <w:rsid w:val="00EB1A43"/>
    <w:rsid w:val="00EB2710"/>
    <w:rsid w:val="00EF3F9B"/>
    <w:rsid w:val="00EF4497"/>
    <w:rsid w:val="00F20EF7"/>
    <w:rsid w:val="00F4275E"/>
    <w:rsid w:val="00F427F1"/>
    <w:rsid w:val="00F46A27"/>
    <w:rsid w:val="00F612C2"/>
    <w:rsid w:val="00F658C2"/>
    <w:rsid w:val="00F9358E"/>
    <w:rsid w:val="00FA73BF"/>
    <w:rsid w:val="00FE4B11"/>
    <w:rsid w:val="00FF3696"/>
    <w:rsid w:val="00FF5921"/>
    <w:rsid w:val="00FF7C83"/>
    <w:rsid w:val="01300BA2"/>
    <w:rsid w:val="01D825F3"/>
    <w:rsid w:val="02026A9B"/>
    <w:rsid w:val="04121C66"/>
    <w:rsid w:val="04525012"/>
    <w:rsid w:val="06463287"/>
    <w:rsid w:val="07392607"/>
    <w:rsid w:val="07F863A6"/>
    <w:rsid w:val="0C446145"/>
    <w:rsid w:val="0D600335"/>
    <w:rsid w:val="0E6344F9"/>
    <w:rsid w:val="102A5AC4"/>
    <w:rsid w:val="1287105A"/>
    <w:rsid w:val="144933C4"/>
    <w:rsid w:val="16414353"/>
    <w:rsid w:val="16705C3E"/>
    <w:rsid w:val="17127A9D"/>
    <w:rsid w:val="195C14B6"/>
    <w:rsid w:val="1AD01F44"/>
    <w:rsid w:val="1C1B23B1"/>
    <w:rsid w:val="1CF87735"/>
    <w:rsid w:val="1EE5250D"/>
    <w:rsid w:val="1F9B42EE"/>
    <w:rsid w:val="211E12E4"/>
    <w:rsid w:val="25837821"/>
    <w:rsid w:val="26F62F37"/>
    <w:rsid w:val="28123DA1"/>
    <w:rsid w:val="2B422282"/>
    <w:rsid w:val="2BE041B6"/>
    <w:rsid w:val="2C6D3C9C"/>
    <w:rsid w:val="31D56F94"/>
    <w:rsid w:val="3319091E"/>
    <w:rsid w:val="34FD18B2"/>
    <w:rsid w:val="34FD7B87"/>
    <w:rsid w:val="378974B0"/>
    <w:rsid w:val="398820C9"/>
    <w:rsid w:val="3E6E79E5"/>
    <w:rsid w:val="3F656D44"/>
    <w:rsid w:val="480F57AF"/>
    <w:rsid w:val="48F16F90"/>
    <w:rsid w:val="4A197317"/>
    <w:rsid w:val="4B4B2FA2"/>
    <w:rsid w:val="4CE312FC"/>
    <w:rsid w:val="4E4A7541"/>
    <w:rsid w:val="4F325912"/>
    <w:rsid w:val="50970590"/>
    <w:rsid w:val="51CD2963"/>
    <w:rsid w:val="51FB17F0"/>
    <w:rsid w:val="5277467D"/>
    <w:rsid w:val="5538347C"/>
    <w:rsid w:val="58E55E33"/>
    <w:rsid w:val="5C0D63CC"/>
    <w:rsid w:val="5C361105"/>
    <w:rsid w:val="5CEE4D19"/>
    <w:rsid w:val="5DE8594A"/>
    <w:rsid w:val="5E973FFF"/>
    <w:rsid w:val="65AB66C0"/>
    <w:rsid w:val="66DB72B3"/>
    <w:rsid w:val="670663AD"/>
    <w:rsid w:val="683735EC"/>
    <w:rsid w:val="69477E6D"/>
    <w:rsid w:val="6B624782"/>
    <w:rsid w:val="6C6C18DE"/>
    <w:rsid w:val="6FB2332E"/>
    <w:rsid w:val="708B18CB"/>
    <w:rsid w:val="72ED6541"/>
    <w:rsid w:val="738F53D1"/>
    <w:rsid w:val="73A155A6"/>
    <w:rsid w:val="74FF1ED0"/>
    <w:rsid w:val="75AA4FC9"/>
    <w:rsid w:val="75BE5F9B"/>
    <w:rsid w:val="7639549A"/>
    <w:rsid w:val="76452218"/>
    <w:rsid w:val="77100A78"/>
    <w:rsid w:val="773437F6"/>
    <w:rsid w:val="78F82E0B"/>
    <w:rsid w:val="79E716A6"/>
    <w:rsid w:val="7B863116"/>
    <w:rsid w:val="7C6C098D"/>
    <w:rsid w:val="7C907F65"/>
    <w:rsid w:val="7CF34F4E"/>
    <w:rsid w:val="7E663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Char0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7928B-3CD5-424F-A6AC-2658AA26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zzj</cp:lastModifiedBy>
  <cp:revision>85</cp:revision>
  <cp:lastPrinted>2026-06-18T02:29:00Z</cp:lastPrinted>
  <dcterms:created xsi:type="dcterms:W3CDTF">2020-09-21T05:54:00Z</dcterms:created>
  <dcterms:modified xsi:type="dcterms:W3CDTF">2026-06-18T04:02:00Z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eyJoZGlkIjoiMjkxYzZlZjQzNWU1OTA5M2Y2YzJjOTlhMDk5YjM4MTkiLCJ1c2VySWQiOiIxMzAxMzQyMTAyIn0=</vt:lpwstr>
  </property>
  <property fmtid="{D5CDD505-2E9C-101B-9397-08002B2CF9AE}" pid="4" name="ICV">
    <vt:lpwstr>C3032B08D32C4AA4B8B0564B077084C9_13</vt:lpwstr>
  </property>
</Properties>
</file>