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EE6AF3">
      <w:pPr>
        <w:jc w:val="center"/>
        <w:rPr>
          <w:rFonts w:eastAsia="仿宋_GB2312"/>
          <w:sz w:val="24"/>
          <w:szCs w:val="32"/>
        </w:rPr>
      </w:pPr>
    </w:p>
    <w:p w14:paraId="6A89A658">
      <w:pPr>
        <w:jc w:val="center"/>
        <w:rPr>
          <w:rStyle w:val="36"/>
          <w:rFonts w:eastAsia="方正小标宋简体"/>
          <w:bCs w:val="0"/>
          <w:color w:val="auto"/>
          <w:sz w:val="36"/>
          <w:szCs w:val="36"/>
        </w:rPr>
      </w:pPr>
      <w:r>
        <w:rPr>
          <w:rStyle w:val="36"/>
          <w:rFonts w:eastAsia="方正小标宋简体"/>
          <w:b w:val="0"/>
          <w:color w:val="auto"/>
          <w:sz w:val="36"/>
          <w:szCs w:val="36"/>
        </w:rPr>
        <w:t>浙江省科学技术奖公示信息表</w:t>
      </w:r>
      <w:r>
        <w:rPr>
          <w:rStyle w:val="36"/>
          <w:rFonts w:eastAsia="仿宋_GB2312"/>
          <w:b w:val="0"/>
          <w:color w:val="auto"/>
          <w:sz w:val="32"/>
          <w:szCs w:val="32"/>
        </w:rPr>
        <w:t>（单位提名）</w:t>
      </w:r>
    </w:p>
    <w:p w14:paraId="3DBF80E8">
      <w:pPr>
        <w:spacing w:line="440" w:lineRule="exact"/>
        <w:rPr>
          <w:rFonts w:eastAsia="仿宋_GB2312"/>
          <w:sz w:val="28"/>
          <w:szCs w:val="24"/>
        </w:rPr>
      </w:pPr>
      <w:r>
        <w:rPr>
          <w:rFonts w:eastAsia="仿宋_GB2312"/>
          <w:sz w:val="28"/>
          <w:szCs w:val="24"/>
        </w:rPr>
        <w:t>提名奖项：（科学技术进步奖）</w:t>
      </w:r>
    </w:p>
    <w:tbl>
      <w:tblPr>
        <w:tblStyle w:val="16"/>
        <w:tblW w:w="8631"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59"/>
        <w:gridCol w:w="6972"/>
      </w:tblGrid>
      <w:tr w14:paraId="34FF4C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1" w:hRule="atLeast"/>
        </w:trPr>
        <w:tc>
          <w:tcPr>
            <w:tcW w:w="1659" w:type="dxa"/>
            <w:vAlign w:val="center"/>
          </w:tcPr>
          <w:p w14:paraId="76C11AE5">
            <w:pPr>
              <w:keepNext w:val="0"/>
              <w:keepLines w:val="0"/>
              <w:pageBreakBefore w:val="0"/>
              <w:widowControl w:val="0"/>
              <w:kinsoku/>
              <w:wordWrap/>
              <w:overflowPunct/>
              <w:topLinePunct w:val="0"/>
              <w:autoSpaceDE/>
              <w:autoSpaceDN/>
              <w:bidi w:val="0"/>
              <w:adjustRightInd/>
              <w:snapToGrid/>
              <w:spacing w:after="0" w:line="279" w:lineRule="auto"/>
              <w:jc w:val="center"/>
              <w:textAlignment w:val="auto"/>
              <w:rPr>
                <w:rStyle w:val="36"/>
                <w:rFonts w:eastAsia="仿宋_GB2312"/>
                <w:b w:val="0"/>
                <w:color w:val="auto"/>
                <w:sz w:val="28"/>
              </w:rPr>
            </w:pPr>
            <w:r>
              <w:rPr>
                <w:rStyle w:val="36"/>
                <w:rFonts w:eastAsia="仿宋_GB2312"/>
                <w:b w:val="0"/>
                <w:bCs w:val="0"/>
                <w:color w:val="auto"/>
                <w:sz w:val="28"/>
              </w:rPr>
              <w:t>成果名称</w:t>
            </w:r>
          </w:p>
        </w:tc>
        <w:tc>
          <w:tcPr>
            <w:tcW w:w="6972" w:type="dxa"/>
            <w:vAlign w:val="center"/>
          </w:tcPr>
          <w:p w14:paraId="6931C27E">
            <w:pPr>
              <w:keepNext w:val="0"/>
              <w:keepLines w:val="0"/>
              <w:pageBreakBefore w:val="0"/>
              <w:widowControl w:val="0"/>
              <w:kinsoku/>
              <w:wordWrap/>
              <w:overflowPunct/>
              <w:topLinePunct w:val="0"/>
              <w:autoSpaceDE/>
              <w:autoSpaceDN/>
              <w:bidi w:val="0"/>
              <w:adjustRightInd/>
              <w:snapToGrid/>
              <w:spacing w:after="0" w:line="279" w:lineRule="auto"/>
              <w:jc w:val="center"/>
              <w:textAlignment w:val="auto"/>
              <w:rPr>
                <w:rStyle w:val="36"/>
                <w:rFonts w:eastAsia="仿宋_GB2312"/>
                <w:b w:val="0"/>
                <w:color w:val="auto"/>
                <w:sz w:val="28"/>
              </w:rPr>
            </w:pPr>
            <w:r>
              <w:rPr>
                <w:rStyle w:val="36"/>
                <w:rFonts w:hint="eastAsia" w:eastAsia="仿宋_GB2312"/>
                <w:b w:val="0"/>
                <w:color w:val="auto"/>
                <w:sz w:val="28"/>
              </w:rPr>
              <w:t>强潮多沙河口极端冲淤机制与安全调控关键技术</w:t>
            </w:r>
          </w:p>
        </w:tc>
      </w:tr>
      <w:tr w14:paraId="5274AE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1" w:hRule="atLeast"/>
        </w:trPr>
        <w:tc>
          <w:tcPr>
            <w:tcW w:w="1659" w:type="dxa"/>
            <w:vAlign w:val="center"/>
          </w:tcPr>
          <w:p w14:paraId="4139715C">
            <w:pPr>
              <w:keepNext w:val="0"/>
              <w:keepLines w:val="0"/>
              <w:pageBreakBefore w:val="0"/>
              <w:widowControl w:val="0"/>
              <w:kinsoku/>
              <w:wordWrap/>
              <w:overflowPunct/>
              <w:topLinePunct w:val="0"/>
              <w:autoSpaceDE/>
              <w:autoSpaceDN/>
              <w:bidi w:val="0"/>
              <w:adjustRightInd/>
              <w:snapToGrid/>
              <w:spacing w:after="0" w:line="279" w:lineRule="auto"/>
              <w:jc w:val="center"/>
              <w:textAlignment w:val="auto"/>
              <w:rPr>
                <w:rStyle w:val="36"/>
                <w:rFonts w:eastAsia="仿宋_GB2312"/>
                <w:b w:val="0"/>
                <w:color w:val="auto"/>
                <w:sz w:val="28"/>
              </w:rPr>
            </w:pPr>
            <w:r>
              <w:rPr>
                <w:rStyle w:val="36"/>
                <w:rFonts w:eastAsia="仿宋_GB2312"/>
                <w:b w:val="0"/>
                <w:bCs w:val="0"/>
                <w:color w:val="auto"/>
                <w:sz w:val="28"/>
              </w:rPr>
              <w:t>提名等级</w:t>
            </w:r>
          </w:p>
        </w:tc>
        <w:tc>
          <w:tcPr>
            <w:tcW w:w="6972" w:type="dxa"/>
            <w:vAlign w:val="center"/>
          </w:tcPr>
          <w:p w14:paraId="53BE9C08">
            <w:pPr>
              <w:keepNext w:val="0"/>
              <w:keepLines w:val="0"/>
              <w:pageBreakBefore w:val="0"/>
              <w:widowControl w:val="0"/>
              <w:kinsoku/>
              <w:wordWrap/>
              <w:overflowPunct/>
              <w:topLinePunct w:val="0"/>
              <w:autoSpaceDE/>
              <w:autoSpaceDN/>
              <w:bidi w:val="0"/>
              <w:adjustRightInd/>
              <w:snapToGrid/>
              <w:spacing w:after="0" w:line="279" w:lineRule="auto"/>
              <w:jc w:val="center"/>
              <w:textAlignment w:val="auto"/>
              <w:rPr>
                <w:rStyle w:val="36"/>
                <w:rFonts w:hint="default" w:eastAsia="仿宋_GB2312"/>
                <w:b w:val="0"/>
                <w:color w:val="auto"/>
                <w:sz w:val="28"/>
                <w:lang w:val="en-US" w:eastAsia="zh-CN"/>
              </w:rPr>
            </w:pPr>
            <w:r>
              <w:rPr>
                <w:rStyle w:val="36"/>
                <w:rFonts w:hint="eastAsia" w:eastAsia="仿宋_GB2312"/>
                <w:b w:val="0"/>
                <w:color w:val="auto"/>
                <w:sz w:val="28"/>
                <w:lang w:val="en-US" w:eastAsia="zh-CN"/>
              </w:rPr>
              <w:t>二等奖</w:t>
            </w:r>
          </w:p>
        </w:tc>
      </w:tr>
      <w:tr w14:paraId="42F0EE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28" w:hRule="atLeast"/>
        </w:trPr>
        <w:tc>
          <w:tcPr>
            <w:tcW w:w="1659" w:type="dxa"/>
            <w:vAlign w:val="center"/>
          </w:tcPr>
          <w:p w14:paraId="6167BA00">
            <w:pPr>
              <w:keepNext w:val="0"/>
              <w:keepLines w:val="0"/>
              <w:pageBreakBefore w:val="0"/>
              <w:widowControl w:val="0"/>
              <w:numPr>
                <w:ilvl w:val="0"/>
                <w:numId w:val="1"/>
              </w:numPr>
              <w:kinsoku/>
              <w:wordWrap/>
              <w:overflowPunct/>
              <w:topLinePunct w:val="0"/>
              <w:autoSpaceDE/>
              <w:autoSpaceDN/>
              <w:bidi w:val="0"/>
              <w:adjustRightInd/>
              <w:snapToGrid w:val="0"/>
              <w:spacing w:after="0" w:line="440" w:lineRule="exact"/>
              <w:jc w:val="left"/>
              <w:textAlignment w:val="auto"/>
              <w:rPr>
                <w:rFonts w:hint="eastAsia" w:ascii="Times New Roman" w:hAnsi="Times New Roman" w:eastAsia="仿宋_GB2312" w:cs="Times New Roman"/>
                <w:bCs/>
                <w:sz w:val="24"/>
                <w:szCs w:val="24"/>
                <w:lang w:val="en-US" w:eastAsia="zh-CN"/>
              </w:rPr>
            </w:pPr>
            <w:r>
              <w:rPr>
                <w:rFonts w:hint="eastAsia" w:ascii="Times New Roman" w:hAnsi="Times New Roman" w:eastAsia="仿宋_GB2312" w:cs="Times New Roman"/>
                <w:bCs/>
                <w:sz w:val="24"/>
                <w:szCs w:val="24"/>
                <w:lang w:val="en-US" w:eastAsia="zh-CN"/>
              </w:rPr>
              <w:t>提名书</w:t>
            </w:r>
          </w:p>
          <w:p w14:paraId="63576E29">
            <w:pPr>
              <w:keepNext w:val="0"/>
              <w:keepLines w:val="0"/>
              <w:pageBreakBefore w:val="0"/>
              <w:widowControl w:val="0"/>
              <w:numPr>
                <w:ilvl w:val="0"/>
                <w:numId w:val="1"/>
              </w:numPr>
              <w:kinsoku/>
              <w:wordWrap/>
              <w:overflowPunct/>
              <w:topLinePunct w:val="0"/>
              <w:autoSpaceDE/>
              <w:autoSpaceDN/>
              <w:bidi w:val="0"/>
              <w:adjustRightInd/>
              <w:snapToGrid w:val="0"/>
              <w:spacing w:after="0" w:line="440" w:lineRule="exact"/>
              <w:jc w:val="left"/>
              <w:textAlignment w:val="auto"/>
              <w:rPr>
                <w:rFonts w:hint="eastAsia" w:ascii="Times New Roman" w:hAnsi="Times New Roman" w:eastAsia="仿宋_GB2312" w:cs="Times New Roman"/>
                <w:bCs/>
                <w:sz w:val="24"/>
                <w:szCs w:val="24"/>
                <w:lang w:val="en-US" w:eastAsia="zh-CN"/>
              </w:rPr>
            </w:pPr>
            <w:r>
              <w:rPr>
                <w:rFonts w:hint="eastAsia" w:ascii="Times New Roman" w:hAnsi="Times New Roman" w:eastAsia="仿宋_GB2312" w:cs="Times New Roman"/>
                <w:bCs/>
                <w:sz w:val="24"/>
                <w:szCs w:val="24"/>
                <w:lang w:val="en-US" w:eastAsia="zh-CN"/>
              </w:rPr>
              <w:t>相关内容</w:t>
            </w:r>
          </w:p>
        </w:tc>
        <w:tc>
          <w:tcPr>
            <w:tcW w:w="6972" w:type="dxa"/>
            <w:vAlign w:val="center"/>
          </w:tcPr>
          <w:p w14:paraId="6F950515">
            <w:pPr>
              <w:keepNext w:val="0"/>
              <w:keepLines w:val="0"/>
              <w:pageBreakBefore w:val="0"/>
              <w:widowControl w:val="0"/>
              <w:numPr>
                <w:ilvl w:val="0"/>
                <w:numId w:val="0"/>
              </w:numPr>
              <w:kinsoku/>
              <w:wordWrap/>
              <w:overflowPunct/>
              <w:topLinePunct w:val="0"/>
              <w:autoSpaceDE/>
              <w:autoSpaceDN/>
              <w:bidi w:val="0"/>
              <w:adjustRightInd/>
              <w:snapToGrid w:val="0"/>
              <w:spacing w:after="0" w:line="360" w:lineRule="exact"/>
              <w:jc w:val="left"/>
              <w:textAlignment w:val="auto"/>
              <w:rPr>
                <w:rFonts w:hint="eastAsia" w:ascii="Times New Roman" w:hAnsi="Times New Roman" w:eastAsia="仿宋_GB2312" w:cs="Times New Roman"/>
                <w:bCs/>
                <w:sz w:val="24"/>
                <w:szCs w:val="24"/>
                <w:lang w:val="en-US" w:eastAsia="zh-CN"/>
              </w:rPr>
            </w:pPr>
            <w:r>
              <w:rPr>
                <w:rFonts w:hint="eastAsia" w:ascii="Times New Roman" w:hAnsi="Times New Roman" w:eastAsia="仿宋_GB2312" w:cs="Times New Roman"/>
                <w:bCs/>
                <w:sz w:val="24"/>
                <w:szCs w:val="24"/>
                <w:lang w:val="en-US" w:eastAsia="zh-CN"/>
              </w:rPr>
              <w:t>一、主要知识产权和标准规范目录</w:t>
            </w:r>
          </w:p>
          <w:p w14:paraId="61561958">
            <w:pPr>
              <w:keepNext w:val="0"/>
              <w:keepLines w:val="0"/>
              <w:pageBreakBefore w:val="0"/>
              <w:widowControl w:val="0"/>
              <w:numPr>
                <w:ilvl w:val="0"/>
                <w:numId w:val="2"/>
              </w:numPr>
              <w:kinsoku/>
              <w:wordWrap/>
              <w:overflowPunct/>
              <w:topLinePunct w:val="0"/>
              <w:autoSpaceDE/>
              <w:autoSpaceDN/>
              <w:bidi w:val="0"/>
              <w:adjustRightInd/>
              <w:snapToGrid w:val="0"/>
              <w:spacing w:after="0" w:line="360" w:lineRule="exact"/>
              <w:ind w:left="0" w:leftChars="0" w:firstLine="0" w:firstLineChars="0"/>
              <w:jc w:val="left"/>
              <w:textAlignment w:val="auto"/>
              <w:rPr>
                <w:rFonts w:hint="eastAsia" w:ascii="Times New Roman" w:hAnsi="Times New Roman" w:eastAsia="仿宋_GB2312" w:cs="Times New Roman"/>
                <w:bCs/>
                <w:sz w:val="24"/>
                <w:szCs w:val="24"/>
                <w:lang w:val="en-US" w:eastAsia="zh-CN"/>
              </w:rPr>
            </w:pPr>
            <w:r>
              <w:rPr>
                <w:rFonts w:hint="eastAsia" w:ascii="Times New Roman" w:hAnsi="Times New Roman" w:eastAsia="仿宋_GB2312" w:cs="Times New Roman"/>
                <w:bCs/>
                <w:sz w:val="24"/>
                <w:szCs w:val="24"/>
                <w:lang w:val="en-US" w:eastAsia="zh-CN"/>
              </w:rPr>
              <w:t>发明专利：一种模型沙沉积及冲刷起动试验装置，ZL202110710370.4</w:t>
            </w:r>
          </w:p>
          <w:p w14:paraId="4578A00E">
            <w:pPr>
              <w:keepNext w:val="0"/>
              <w:keepLines w:val="0"/>
              <w:pageBreakBefore w:val="0"/>
              <w:widowControl w:val="0"/>
              <w:numPr>
                <w:ilvl w:val="0"/>
                <w:numId w:val="2"/>
              </w:numPr>
              <w:kinsoku/>
              <w:wordWrap/>
              <w:overflowPunct/>
              <w:topLinePunct w:val="0"/>
              <w:autoSpaceDE/>
              <w:autoSpaceDN/>
              <w:bidi w:val="0"/>
              <w:adjustRightInd/>
              <w:snapToGrid w:val="0"/>
              <w:spacing w:after="0" w:line="360" w:lineRule="exact"/>
              <w:ind w:left="0" w:leftChars="0" w:firstLine="0" w:firstLineChars="0"/>
              <w:jc w:val="left"/>
              <w:textAlignment w:val="auto"/>
              <w:rPr>
                <w:rFonts w:hint="eastAsia" w:ascii="Times New Roman" w:hAnsi="Times New Roman" w:eastAsia="仿宋_GB2312" w:cs="Times New Roman"/>
                <w:bCs/>
                <w:sz w:val="24"/>
                <w:szCs w:val="24"/>
                <w:lang w:val="en-US" w:eastAsia="zh-CN"/>
              </w:rPr>
            </w:pPr>
            <w:r>
              <w:rPr>
                <w:rFonts w:hint="eastAsia" w:ascii="Times New Roman" w:hAnsi="Times New Roman" w:eastAsia="仿宋_GB2312" w:cs="Times New Roman"/>
                <w:bCs/>
                <w:sz w:val="24"/>
                <w:szCs w:val="24"/>
                <w:lang w:val="en-US" w:eastAsia="zh-CN"/>
              </w:rPr>
              <w:t>发明专利：用于河口海岸泥沙物理模型水下分层的加沙装置，ZL201811324953.8</w:t>
            </w:r>
          </w:p>
          <w:p w14:paraId="1FB2ED09">
            <w:pPr>
              <w:keepNext w:val="0"/>
              <w:keepLines w:val="0"/>
              <w:pageBreakBefore w:val="0"/>
              <w:widowControl w:val="0"/>
              <w:numPr>
                <w:ilvl w:val="0"/>
                <w:numId w:val="2"/>
              </w:numPr>
              <w:kinsoku/>
              <w:wordWrap/>
              <w:overflowPunct/>
              <w:topLinePunct w:val="0"/>
              <w:autoSpaceDE/>
              <w:autoSpaceDN/>
              <w:bidi w:val="0"/>
              <w:adjustRightInd/>
              <w:snapToGrid w:val="0"/>
              <w:spacing w:after="0" w:line="360" w:lineRule="exact"/>
              <w:ind w:left="0" w:leftChars="0" w:firstLine="0" w:firstLineChars="0"/>
              <w:jc w:val="left"/>
              <w:textAlignment w:val="auto"/>
              <w:rPr>
                <w:rFonts w:hint="eastAsia" w:ascii="Times New Roman" w:hAnsi="Times New Roman" w:eastAsia="仿宋_GB2312" w:cs="Times New Roman"/>
                <w:bCs/>
                <w:sz w:val="24"/>
                <w:szCs w:val="24"/>
                <w:lang w:val="en-US" w:eastAsia="zh-CN"/>
              </w:rPr>
            </w:pPr>
            <w:r>
              <w:rPr>
                <w:rFonts w:hint="eastAsia" w:ascii="Times New Roman" w:hAnsi="Times New Roman" w:eastAsia="仿宋_GB2312" w:cs="Times New Roman"/>
                <w:bCs/>
                <w:sz w:val="24"/>
                <w:szCs w:val="24"/>
                <w:lang w:val="en-US" w:eastAsia="zh-CN"/>
              </w:rPr>
              <w:t>发明专利：一种高含沙水体分层泥沙收集装置及使用方法ZL202210059777.X</w:t>
            </w:r>
          </w:p>
          <w:p w14:paraId="4BA7FFCD">
            <w:pPr>
              <w:keepNext w:val="0"/>
              <w:keepLines w:val="0"/>
              <w:pageBreakBefore w:val="0"/>
              <w:widowControl w:val="0"/>
              <w:numPr>
                <w:ilvl w:val="0"/>
                <w:numId w:val="2"/>
              </w:numPr>
              <w:kinsoku/>
              <w:wordWrap/>
              <w:overflowPunct/>
              <w:topLinePunct w:val="0"/>
              <w:autoSpaceDE/>
              <w:autoSpaceDN/>
              <w:bidi w:val="0"/>
              <w:adjustRightInd/>
              <w:snapToGrid w:val="0"/>
              <w:spacing w:after="0" w:line="360" w:lineRule="exact"/>
              <w:ind w:left="0" w:leftChars="0" w:firstLine="0" w:firstLineChars="0"/>
              <w:jc w:val="left"/>
              <w:textAlignment w:val="auto"/>
              <w:rPr>
                <w:rFonts w:hint="eastAsia" w:ascii="Times New Roman" w:hAnsi="Times New Roman" w:eastAsia="仿宋_GB2312" w:cs="Times New Roman"/>
                <w:bCs/>
                <w:sz w:val="24"/>
                <w:szCs w:val="24"/>
                <w:lang w:val="en-US" w:eastAsia="zh-CN"/>
              </w:rPr>
            </w:pPr>
            <w:r>
              <w:rPr>
                <w:rFonts w:hint="eastAsia" w:ascii="Times New Roman" w:hAnsi="Times New Roman" w:eastAsia="仿宋_GB2312" w:cs="Times New Roman"/>
                <w:bCs/>
                <w:sz w:val="24"/>
                <w:szCs w:val="24"/>
                <w:lang w:val="en-US" w:eastAsia="zh-CN"/>
              </w:rPr>
              <w:t>发明专利：强涌潮河段洪潮共同作用下古海塘堤脚冲刷高程预测方法，ZL202410142870.6</w:t>
            </w:r>
          </w:p>
          <w:p w14:paraId="712C4341">
            <w:pPr>
              <w:keepNext w:val="0"/>
              <w:keepLines w:val="0"/>
              <w:pageBreakBefore w:val="0"/>
              <w:widowControl w:val="0"/>
              <w:numPr>
                <w:ilvl w:val="0"/>
                <w:numId w:val="2"/>
              </w:numPr>
              <w:kinsoku/>
              <w:wordWrap/>
              <w:overflowPunct/>
              <w:topLinePunct w:val="0"/>
              <w:autoSpaceDE/>
              <w:autoSpaceDN/>
              <w:bidi w:val="0"/>
              <w:adjustRightInd/>
              <w:snapToGrid w:val="0"/>
              <w:spacing w:after="0" w:line="360" w:lineRule="exact"/>
              <w:ind w:left="0" w:leftChars="0" w:firstLine="0" w:firstLineChars="0"/>
              <w:jc w:val="left"/>
              <w:textAlignment w:val="auto"/>
              <w:rPr>
                <w:rFonts w:hint="eastAsia" w:ascii="Times New Roman" w:hAnsi="Times New Roman" w:eastAsia="仿宋_GB2312" w:cs="Times New Roman"/>
                <w:bCs/>
                <w:sz w:val="24"/>
                <w:szCs w:val="24"/>
                <w:lang w:val="en-US" w:eastAsia="zh-CN"/>
              </w:rPr>
            </w:pPr>
            <w:r>
              <w:rPr>
                <w:rFonts w:hint="eastAsia" w:ascii="Times New Roman" w:hAnsi="Times New Roman" w:eastAsia="仿宋_GB2312" w:cs="Times New Roman"/>
                <w:bCs/>
                <w:sz w:val="24"/>
                <w:szCs w:val="24"/>
                <w:lang w:val="en-US" w:eastAsia="zh-CN"/>
              </w:rPr>
              <w:t>发明专利：一种随浪流作用形态自调整的沙滩防护装置，ZL 2023 1 1485882.0</w:t>
            </w:r>
          </w:p>
          <w:p w14:paraId="74DC03DA">
            <w:pPr>
              <w:keepNext w:val="0"/>
              <w:keepLines w:val="0"/>
              <w:pageBreakBefore w:val="0"/>
              <w:widowControl w:val="0"/>
              <w:numPr>
                <w:ilvl w:val="0"/>
                <w:numId w:val="2"/>
              </w:numPr>
              <w:kinsoku/>
              <w:wordWrap/>
              <w:overflowPunct/>
              <w:topLinePunct w:val="0"/>
              <w:autoSpaceDE/>
              <w:autoSpaceDN/>
              <w:bidi w:val="0"/>
              <w:adjustRightInd/>
              <w:snapToGrid w:val="0"/>
              <w:spacing w:after="0" w:line="360" w:lineRule="exact"/>
              <w:ind w:left="0" w:leftChars="0" w:firstLine="0" w:firstLineChars="0"/>
              <w:jc w:val="left"/>
              <w:textAlignment w:val="auto"/>
              <w:rPr>
                <w:rFonts w:hint="eastAsia" w:ascii="Times New Roman" w:hAnsi="Times New Roman" w:eastAsia="仿宋_GB2312" w:cs="Times New Roman"/>
                <w:bCs/>
                <w:sz w:val="24"/>
                <w:szCs w:val="24"/>
                <w:lang w:val="en-US" w:eastAsia="zh-CN"/>
              </w:rPr>
            </w:pPr>
            <w:r>
              <w:rPr>
                <w:rFonts w:hint="eastAsia" w:ascii="Times New Roman" w:hAnsi="Times New Roman" w:eastAsia="仿宋_GB2312" w:cs="Times New Roman"/>
                <w:bCs/>
                <w:sz w:val="24"/>
                <w:szCs w:val="24"/>
                <w:lang w:val="en-US" w:eastAsia="zh-CN"/>
              </w:rPr>
              <w:t>发明专利：一种用于强涌潮水域的柔性防冲促淤结构，ZL202311754756.0</w:t>
            </w:r>
          </w:p>
          <w:p w14:paraId="60D2CFB7">
            <w:pPr>
              <w:keepNext w:val="0"/>
              <w:keepLines w:val="0"/>
              <w:pageBreakBefore w:val="0"/>
              <w:widowControl w:val="0"/>
              <w:numPr>
                <w:ilvl w:val="0"/>
                <w:numId w:val="0"/>
              </w:numPr>
              <w:kinsoku/>
              <w:wordWrap/>
              <w:overflowPunct/>
              <w:topLinePunct w:val="0"/>
              <w:autoSpaceDE/>
              <w:autoSpaceDN/>
              <w:bidi w:val="0"/>
              <w:adjustRightInd/>
              <w:snapToGrid w:val="0"/>
              <w:spacing w:after="0" w:line="360" w:lineRule="exact"/>
              <w:jc w:val="left"/>
              <w:textAlignment w:val="auto"/>
              <w:rPr>
                <w:rFonts w:hint="eastAsia" w:ascii="Times New Roman" w:hAnsi="Times New Roman" w:eastAsia="仿宋_GB2312" w:cs="Times New Roman"/>
                <w:bCs/>
                <w:sz w:val="24"/>
                <w:szCs w:val="24"/>
                <w:lang w:val="en-US" w:eastAsia="zh-CN"/>
              </w:rPr>
            </w:pPr>
            <w:r>
              <w:rPr>
                <w:rFonts w:hint="eastAsia" w:ascii="Times New Roman" w:hAnsi="Times New Roman" w:eastAsia="仿宋_GB2312" w:cs="Times New Roman"/>
                <w:bCs/>
                <w:sz w:val="24"/>
                <w:szCs w:val="24"/>
                <w:lang w:val="en-US" w:eastAsia="zh-CN"/>
              </w:rPr>
              <w:t>二、代表性论文专著目录</w:t>
            </w:r>
          </w:p>
          <w:p w14:paraId="4C67EDE3">
            <w:pPr>
              <w:keepNext w:val="0"/>
              <w:keepLines w:val="0"/>
              <w:pageBreakBefore w:val="0"/>
              <w:widowControl w:val="0"/>
              <w:numPr>
                <w:ilvl w:val="0"/>
                <w:numId w:val="2"/>
              </w:numPr>
              <w:kinsoku/>
              <w:wordWrap/>
              <w:overflowPunct/>
              <w:topLinePunct w:val="0"/>
              <w:autoSpaceDE/>
              <w:autoSpaceDN/>
              <w:bidi w:val="0"/>
              <w:adjustRightInd/>
              <w:snapToGrid w:val="0"/>
              <w:spacing w:after="0" w:line="360" w:lineRule="exact"/>
              <w:ind w:left="0" w:leftChars="0" w:firstLine="0" w:firstLineChars="0"/>
              <w:jc w:val="left"/>
              <w:textAlignment w:val="auto"/>
              <w:rPr>
                <w:rFonts w:hint="eastAsia" w:ascii="Times New Roman" w:hAnsi="Times New Roman" w:eastAsia="仿宋_GB2312" w:cs="Times New Roman"/>
                <w:bCs/>
                <w:sz w:val="24"/>
                <w:szCs w:val="24"/>
                <w:lang w:val="en-US" w:eastAsia="zh-CN"/>
              </w:rPr>
            </w:pPr>
            <w:r>
              <w:rPr>
                <w:rFonts w:hint="eastAsia" w:ascii="Times New Roman" w:hAnsi="Times New Roman" w:eastAsia="仿宋_GB2312" w:cs="Times New Roman"/>
                <w:bCs/>
                <w:sz w:val="24"/>
                <w:szCs w:val="24"/>
                <w:lang w:val="en-US" w:eastAsia="zh-CN"/>
              </w:rPr>
              <w:t>钱塘江河口保护与治理研究/中国水利水电出版社</w:t>
            </w:r>
          </w:p>
          <w:p w14:paraId="325F30A4">
            <w:pPr>
              <w:keepNext w:val="0"/>
              <w:keepLines w:val="0"/>
              <w:pageBreakBefore w:val="0"/>
              <w:widowControl w:val="0"/>
              <w:numPr>
                <w:ilvl w:val="0"/>
                <w:numId w:val="2"/>
              </w:numPr>
              <w:kinsoku/>
              <w:wordWrap/>
              <w:overflowPunct/>
              <w:topLinePunct w:val="0"/>
              <w:autoSpaceDE/>
              <w:autoSpaceDN/>
              <w:bidi w:val="0"/>
              <w:adjustRightInd/>
              <w:snapToGrid w:val="0"/>
              <w:spacing w:after="0" w:line="360" w:lineRule="exact"/>
              <w:ind w:left="0" w:leftChars="0" w:firstLine="0" w:firstLineChars="0"/>
              <w:jc w:val="left"/>
              <w:textAlignment w:val="auto"/>
              <w:rPr>
                <w:rFonts w:hint="eastAsia" w:ascii="Times New Roman" w:hAnsi="Times New Roman" w:eastAsia="仿宋_GB2312" w:cs="Times New Roman"/>
                <w:bCs/>
                <w:sz w:val="24"/>
                <w:szCs w:val="24"/>
                <w:lang w:val="en-US" w:eastAsia="zh-CN"/>
              </w:rPr>
            </w:pPr>
            <w:r>
              <w:rPr>
                <w:rFonts w:hint="eastAsia" w:ascii="Times New Roman" w:hAnsi="Times New Roman" w:eastAsia="仿宋_GB2312" w:cs="Times New Roman"/>
                <w:bCs/>
                <w:sz w:val="24"/>
                <w:szCs w:val="24"/>
                <w:lang w:val="en-US" w:eastAsia="zh-CN"/>
              </w:rPr>
              <w:t>Positive Feedback Between the Tidal Flat Variations and Sediment Dynamics: An Example Study in the Macro-Tidal Turbid Hangzhou Bay / Journal of Geophysical Research: Oceans</w:t>
            </w:r>
          </w:p>
          <w:p w14:paraId="4E375488">
            <w:pPr>
              <w:keepNext w:val="0"/>
              <w:keepLines w:val="0"/>
              <w:pageBreakBefore w:val="0"/>
              <w:widowControl w:val="0"/>
              <w:numPr>
                <w:ilvl w:val="0"/>
                <w:numId w:val="2"/>
              </w:numPr>
              <w:kinsoku/>
              <w:wordWrap/>
              <w:overflowPunct/>
              <w:topLinePunct w:val="0"/>
              <w:autoSpaceDE/>
              <w:autoSpaceDN/>
              <w:bidi w:val="0"/>
              <w:adjustRightInd/>
              <w:snapToGrid w:val="0"/>
              <w:spacing w:after="0" w:line="360" w:lineRule="exact"/>
              <w:ind w:left="0" w:leftChars="0" w:firstLine="0" w:firstLineChars="0"/>
              <w:jc w:val="left"/>
              <w:textAlignment w:val="auto"/>
              <w:rPr>
                <w:rFonts w:hint="eastAsia" w:ascii="Times New Roman" w:hAnsi="Times New Roman" w:eastAsia="仿宋_GB2312" w:cs="Times New Roman"/>
                <w:bCs/>
                <w:sz w:val="24"/>
                <w:szCs w:val="24"/>
                <w:lang w:val="en-US" w:eastAsia="zh-CN"/>
              </w:rPr>
            </w:pPr>
            <w:r>
              <w:rPr>
                <w:rFonts w:hint="eastAsia" w:ascii="Times New Roman" w:hAnsi="Times New Roman" w:eastAsia="仿宋_GB2312" w:cs="Times New Roman"/>
                <w:bCs/>
                <w:sz w:val="24"/>
                <w:szCs w:val="24"/>
                <w:lang w:val="en-US" w:eastAsia="zh-CN"/>
              </w:rPr>
              <w:t>Characteristics of sediment stratification and transport in the macro-tidal Qiantang Estuary, China</w:t>
            </w:r>
            <w:r>
              <w:rPr>
                <w:rFonts w:hint="eastAsia" w:eastAsia="仿宋_GB2312" w:cs="Times New Roman"/>
                <w:bCs/>
                <w:sz w:val="24"/>
                <w:szCs w:val="24"/>
                <w:lang w:val="en-US" w:eastAsia="zh-CN"/>
              </w:rPr>
              <w:t>/</w:t>
            </w:r>
            <w:r>
              <w:rPr>
                <w:rFonts w:hint="eastAsia" w:ascii="Times New Roman" w:hAnsi="Times New Roman" w:eastAsia="仿宋_GB2312" w:cs="Times New Roman"/>
                <w:bCs/>
                <w:sz w:val="24"/>
                <w:szCs w:val="24"/>
                <w:lang w:val="en-US" w:eastAsia="zh-CN"/>
              </w:rPr>
              <w:t>Regional Studies in Marine Science</w:t>
            </w:r>
          </w:p>
          <w:p w14:paraId="50A6AF14">
            <w:pPr>
              <w:keepNext w:val="0"/>
              <w:keepLines w:val="0"/>
              <w:pageBreakBefore w:val="0"/>
              <w:widowControl w:val="0"/>
              <w:numPr>
                <w:ilvl w:val="0"/>
                <w:numId w:val="2"/>
              </w:numPr>
              <w:kinsoku/>
              <w:wordWrap/>
              <w:overflowPunct/>
              <w:topLinePunct w:val="0"/>
              <w:autoSpaceDE/>
              <w:autoSpaceDN/>
              <w:bidi w:val="0"/>
              <w:adjustRightInd/>
              <w:snapToGrid w:val="0"/>
              <w:spacing w:after="0" w:line="360" w:lineRule="exact"/>
              <w:ind w:left="0" w:leftChars="0" w:firstLine="0" w:firstLineChars="0"/>
              <w:jc w:val="left"/>
              <w:textAlignment w:val="auto"/>
              <w:rPr>
                <w:rFonts w:hint="eastAsia" w:ascii="Times New Roman" w:hAnsi="Times New Roman" w:eastAsia="仿宋_GB2312" w:cs="Times New Roman"/>
                <w:bCs/>
                <w:sz w:val="24"/>
                <w:szCs w:val="24"/>
                <w:lang w:val="en-US" w:eastAsia="zh-CN"/>
              </w:rPr>
            </w:pPr>
            <w:r>
              <w:rPr>
                <w:rFonts w:hint="eastAsia" w:ascii="Times New Roman" w:hAnsi="Times New Roman" w:eastAsia="仿宋_GB2312" w:cs="Times New Roman"/>
                <w:bCs/>
                <w:sz w:val="24"/>
                <w:szCs w:val="24"/>
                <w:lang w:val="en-US" w:eastAsia="zh-CN"/>
              </w:rPr>
              <w:t>1959</w:t>
            </w:r>
            <w:r>
              <w:rPr>
                <w:rFonts w:hint="eastAsia" w:eastAsia="仿宋_GB2312" w:cs="Times New Roman"/>
                <w:bCs/>
                <w:sz w:val="24"/>
                <w:szCs w:val="24"/>
                <w:lang w:val="en-US" w:eastAsia="zh-CN"/>
              </w:rPr>
              <w:t>-</w:t>
            </w:r>
            <w:r>
              <w:rPr>
                <w:rFonts w:hint="eastAsia" w:ascii="Times New Roman" w:hAnsi="Times New Roman" w:eastAsia="仿宋_GB2312" w:cs="Times New Roman"/>
                <w:bCs/>
                <w:sz w:val="24"/>
                <w:szCs w:val="24"/>
                <w:lang w:val="en-US" w:eastAsia="zh-CN"/>
              </w:rPr>
              <w:t>2019 年杭州湾南岸滩涂演变规律及机制/水科学进展</w:t>
            </w:r>
          </w:p>
        </w:tc>
      </w:tr>
      <w:tr w14:paraId="1F87E8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58" w:hRule="atLeast"/>
        </w:trPr>
        <w:tc>
          <w:tcPr>
            <w:tcW w:w="1659" w:type="dxa"/>
            <w:tcBorders>
              <w:right w:val="single" w:color="auto" w:sz="4" w:space="0"/>
            </w:tcBorders>
            <w:vAlign w:val="center"/>
          </w:tcPr>
          <w:p w14:paraId="3000C94C">
            <w:pPr>
              <w:spacing w:line="440" w:lineRule="exact"/>
              <w:jc w:val="center"/>
              <w:rPr>
                <w:rFonts w:eastAsia="仿宋_GB2312"/>
                <w:bCs/>
                <w:sz w:val="28"/>
                <w:szCs w:val="24"/>
              </w:rPr>
            </w:pPr>
            <w:r>
              <w:rPr>
                <w:rFonts w:eastAsia="仿宋_GB2312"/>
                <w:bCs/>
                <w:sz w:val="28"/>
                <w:szCs w:val="24"/>
              </w:rPr>
              <w:t>主要完成人</w:t>
            </w:r>
          </w:p>
        </w:tc>
        <w:tc>
          <w:tcPr>
            <w:tcW w:w="6972" w:type="dxa"/>
            <w:tcBorders>
              <w:left w:val="single" w:color="auto" w:sz="4" w:space="0"/>
            </w:tcBorders>
            <w:vAlign w:val="center"/>
          </w:tcPr>
          <w:p w14:paraId="293744C6">
            <w:pPr>
              <w:keepNext w:val="0"/>
              <w:keepLines w:val="0"/>
              <w:pageBreakBefore w:val="0"/>
              <w:widowControl w:val="0"/>
              <w:kinsoku/>
              <w:wordWrap/>
              <w:overflowPunct/>
              <w:topLinePunct w:val="0"/>
              <w:autoSpaceDE/>
              <w:autoSpaceDN/>
              <w:bidi w:val="0"/>
              <w:adjustRightInd/>
              <w:snapToGrid w:val="0"/>
              <w:spacing w:after="0" w:line="440" w:lineRule="exact"/>
              <w:jc w:val="left"/>
              <w:textAlignment w:val="auto"/>
              <w:rPr>
                <w:rFonts w:eastAsia="仿宋_GB2312"/>
                <w:bCs/>
                <w:sz w:val="24"/>
                <w:szCs w:val="24"/>
              </w:rPr>
            </w:pPr>
            <w:r>
              <w:rPr>
                <w:rFonts w:hint="eastAsia" w:eastAsia="仿宋_GB2312"/>
                <w:bCs/>
                <w:sz w:val="24"/>
                <w:szCs w:val="24"/>
                <w:lang w:val="en-US" w:eastAsia="zh-CN"/>
              </w:rPr>
              <w:t>陈甫源</w:t>
            </w:r>
            <w:r>
              <w:rPr>
                <w:rFonts w:eastAsia="仿宋_GB2312"/>
                <w:bCs/>
                <w:sz w:val="24"/>
                <w:szCs w:val="24"/>
              </w:rPr>
              <w:t>，排名</w:t>
            </w:r>
            <w:r>
              <w:rPr>
                <w:rFonts w:hint="eastAsia" w:eastAsia="仿宋_GB2312"/>
                <w:bCs/>
                <w:sz w:val="24"/>
                <w:szCs w:val="24"/>
                <w:lang w:val="en-US" w:eastAsia="zh-CN"/>
              </w:rPr>
              <w:t>1</w:t>
            </w:r>
            <w:r>
              <w:rPr>
                <w:rFonts w:eastAsia="仿宋_GB2312"/>
                <w:bCs/>
                <w:sz w:val="24"/>
                <w:szCs w:val="24"/>
              </w:rPr>
              <w:t>，</w:t>
            </w:r>
            <w:r>
              <w:rPr>
                <w:rFonts w:hint="eastAsia" w:eastAsia="仿宋_GB2312"/>
                <w:bCs/>
                <w:sz w:val="24"/>
                <w:szCs w:val="24"/>
                <w:lang w:val="en-US" w:eastAsia="zh-CN"/>
              </w:rPr>
              <w:t>正高级工程师</w:t>
            </w:r>
            <w:r>
              <w:rPr>
                <w:rFonts w:eastAsia="仿宋_GB2312"/>
                <w:bCs/>
                <w:sz w:val="24"/>
                <w:szCs w:val="24"/>
              </w:rPr>
              <w:t>，</w:t>
            </w:r>
            <w:r>
              <w:rPr>
                <w:rFonts w:hint="eastAsia" w:eastAsia="仿宋_GB2312"/>
                <w:bCs/>
                <w:sz w:val="24"/>
                <w:szCs w:val="24"/>
              </w:rPr>
              <w:t>浙江省水利河口研究院(浙江省海洋规划设计研究院)</w:t>
            </w:r>
            <w:r>
              <w:rPr>
                <w:rFonts w:eastAsia="仿宋_GB2312"/>
                <w:bCs/>
                <w:sz w:val="24"/>
                <w:szCs w:val="24"/>
              </w:rPr>
              <w:t>；</w:t>
            </w:r>
          </w:p>
          <w:p w14:paraId="2354F7A1">
            <w:pPr>
              <w:keepNext w:val="0"/>
              <w:keepLines w:val="0"/>
              <w:pageBreakBefore w:val="0"/>
              <w:widowControl w:val="0"/>
              <w:kinsoku/>
              <w:wordWrap/>
              <w:overflowPunct/>
              <w:topLinePunct w:val="0"/>
              <w:autoSpaceDE/>
              <w:autoSpaceDN/>
              <w:bidi w:val="0"/>
              <w:adjustRightInd/>
              <w:snapToGrid w:val="0"/>
              <w:spacing w:after="0" w:line="440" w:lineRule="exact"/>
              <w:jc w:val="left"/>
              <w:textAlignment w:val="auto"/>
              <w:rPr>
                <w:rFonts w:eastAsia="仿宋_GB2312"/>
                <w:bCs/>
                <w:sz w:val="24"/>
                <w:szCs w:val="24"/>
              </w:rPr>
            </w:pPr>
            <w:r>
              <w:rPr>
                <w:rFonts w:hint="eastAsia" w:eastAsia="仿宋_GB2312"/>
                <w:bCs/>
                <w:sz w:val="24"/>
                <w:szCs w:val="24"/>
                <w:lang w:val="en-US" w:eastAsia="zh-CN"/>
              </w:rPr>
              <w:t>李莉</w:t>
            </w:r>
            <w:r>
              <w:rPr>
                <w:rFonts w:eastAsia="仿宋_GB2312"/>
                <w:bCs/>
                <w:sz w:val="24"/>
                <w:szCs w:val="24"/>
              </w:rPr>
              <w:t>，排名2，</w:t>
            </w:r>
            <w:r>
              <w:rPr>
                <w:rFonts w:hint="eastAsia" w:eastAsia="仿宋_GB2312"/>
                <w:bCs/>
                <w:sz w:val="24"/>
                <w:szCs w:val="24"/>
                <w:lang w:val="en-US" w:eastAsia="zh-CN"/>
              </w:rPr>
              <w:t>副教授</w:t>
            </w:r>
            <w:r>
              <w:rPr>
                <w:rFonts w:eastAsia="仿宋_GB2312"/>
                <w:bCs/>
                <w:sz w:val="24"/>
                <w:szCs w:val="24"/>
              </w:rPr>
              <w:t>，</w:t>
            </w:r>
            <w:r>
              <w:rPr>
                <w:rFonts w:hint="eastAsia" w:eastAsia="仿宋_GB2312"/>
                <w:bCs/>
                <w:sz w:val="24"/>
                <w:szCs w:val="24"/>
                <w:lang w:val="en-US" w:eastAsia="zh-CN"/>
              </w:rPr>
              <w:t>浙江大学</w:t>
            </w:r>
            <w:r>
              <w:rPr>
                <w:rFonts w:eastAsia="仿宋_GB2312"/>
                <w:bCs/>
                <w:sz w:val="24"/>
                <w:szCs w:val="24"/>
              </w:rPr>
              <w:t>；</w:t>
            </w:r>
          </w:p>
          <w:p w14:paraId="2B0B4900">
            <w:pPr>
              <w:keepNext w:val="0"/>
              <w:keepLines w:val="0"/>
              <w:pageBreakBefore w:val="0"/>
              <w:widowControl w:val="0"/>
              <w:kinsoku/>
              <w:wordWrap/>
              <w:overflowPunct/>
              <w:topLinePunct w:val="0"/>
              <w:autoSpaceDE/>
              <w:autoSpaceDN/>
              <w:bidi w:val="0"/>
              <w:adjustRightInd/>
              <w:snapToGrid w:val="0"/>
              <w:spacing w:after="0" w:line="440" w:lineRule="exact"/>
              <w:textAlignment w:val="auto"/>
              <w:rPr>
                <w:rFonts w:eastAsia="仿宋_GB2312"/>
                <w:bCs/>
                <w:sz w:val="24"/>
                <w:szCs w:val="24"/>
              </w:rPr>
            </w:pPr>
            <w:r>
              <w:rPr>
                <w:rFonts w:hint="eastAsia" w:eastAsia="仿宋_GB2312"/>
                <w:bCs/>
                <w:sz w:val="24"/>
                <w:szCs w:val="24"/>
                <w:lang w:val="en-US" w:eastAsia="zh-CN"/>
              </w:rPr>
              <w:t>潘存鸿</w:t>
            </w:r>
            <w:r>
              <w:rPr>
                <w:rFonts w:eastAsia="仿宋_GB2312"/>
                <w:bCs/>
                <w:sz w:val="24"/>
                <w:szCs w:val="24"/>
              </w:rPr>
              <w:t>，排名</w:t>
            </w:r>
            <w:r>
              <w:rPr>
                <w:rFonts w:hint="eastAsia" w:eastAsia="仿宋_GB2312"/>
                <w:bCs/>
                <w:sz w:val="24"/>
                <w:szCs w:val="24"/>
                <w:lang w:val="en-US" w:eastAsia="zh-CN"/>
              </w:rPr>
              <w:t>3</w:t>
            </w:r>
            <w:r>
              <w:rPr>
                <w:rFonts w:eastAsia="仿宋_GB2312"/>
                <w:bCs/>
                <w:sz w:val="24"/>
                <w:szCs w:val="24"/>
              </w:rPr>
              <w:t>，</w:t>
            </w:r>
            <w:r>
              <w:rPr>
                <w:rFonts w:hint="eastAsia" w:eastAsia="仿宋_GB2312"/>
                <w:bCs/>
                <w:sz w:val="24"/>
                <w:szCs w:val="24"/>
                <w:lang w:val="en-US" w:eastAsia="zh-CN"/>
              </w:rPr>
              <w:t>正高级工程师</w:t>
            </w:r>
            <w:r>
              <w:rPr>
                <w:rFonts w:eastAsia="仿宋_GB2312"/>
                <w:bCs/>
                <w:sz w:val="24"/>
                <w:szCs w:val="24"/>
              </w:rPr>
              <w:t>，</w:t>
            </w:r>
            <w:r>
              <w:rPr>
                <w:rFonts w:hint="eastAsia" w:eastAsia="仿宋_GB2312"/>
                <w:bCs/>
                <w:sz w:val="24"/>
                <w:szCs w:val="24"/>
              </w:rPr>
              <w:t>浙江省水利河口研究院(浙江省海洋规划设计研究院)</w:t>
            </w:r>
            <w:r>
              <w:rPr>
                <w:rFonts w:eastAsia="仿宋_GB2312"/>
                <w:bCs/>
                <w:sz w:val="24"/>
                <w:szCs w:val="24"/>
              </w:rPr>
              <w:t>；</w:t>
            </w:r>
          </w:p>
          <w:p w14:paraId="6A09F918">
            <w:pPr>
              <w:keepNext w:val="0"/>
              <w:keepLines w:val="0"/>
              <w:pageBreakBefore w:val="0"/>
              <w:widowControl w:val="0"/>
              <w:kinsoku/>
              <w:wordWrap/>
              <w:overflowPunct/>
              <w:topLinePunct w:val="0"/>
              <w:autoSpaceDE/>
              <w:autoSpaceDN/>
              <w:bidi w:val="0"/>
              <w:adjustRightInd/>
              <w:snapToGrid w:val="0"/>
              <w:spacing w:after="0" w:line="440" w:lineRule="exact"/>
              <w:textAlignment w:val="auto"/>
              <w:rPr>
                <w:rFonts w:eastAsia="仿宋_GB2312"/>
                <w:bCs/>
                <w:sz w:val="24"/>
                <w:szCs w:val="24"/>
              </w:rPr>
            </w:pPr>
            <w:r>
              <w:rPr>
                <w:rFonts w:hint="eastAsia" w:eastAsia="仿宋_GB2312"/>
                <w:bCs/>
                <w:sz w:val="24"/>
                <w:szCs w:val="24"/>
                <w:lang w:val="en-US" w:eastAsia="zh-CN"/>
              </w:rPr>
              <w:t>胡成飞</w:t>
            </w:r>
            <w:r>
              <w:rPr>
                <w:rFonts w:eastAsia="仿宋_GB2312"/>
                <w:bCs/>
                <w:sz w:val="24"/>
                <w:szCs w:val="24"/>
              </w:rPr>
              <w:t>，排名</w:t>
            </w:r>
            <w:r>
              <w:rPr>
                <w:rFonts w:hint="eastAsia" w:eastAsia="仿宋_GB2312"/>
                <w:bCs/>
                <w:sz w:val="24"/>
                <w:szCs w:val="24"/>
                <w:lang w:val="en-US" w:eastAsia="zh-CN"/>
              </w:rPr>
              <w:t>4</w:t>
            </w:r>
            <w:r>
              <w:rPr>
                <w:rFonts w:eastAsia="仿宋_GB2312"/>
                <w:bCs/>
                <w:sz w:val="24"/>
                <w:szCs w:val="24"/>
              </w:rPr>
              <w:t>，</w:t>
            </w:r>
            <w:r>
              <w:rPr>
                <w:rFonts w:hint="eastAsia" w:eastAsia="仿宋_GB2312"/>
                <w:bCs/>
                <w:sz w:val="24"/>
                <w:szCs w:val="24"/>
                <w:lang w:val="en-US" w:eastAsia="zh-CN"/>
              </w:rPr>
              <w:t>工程师</w:t>
            </w:r>
            <w:r>
              <w:rPr>
                <w:rFonts w:eastAsia="仿宋_GB2312"/>
                <w:bCs/>
                <w:sz w:val="24"/>
                <w:szCs w:val="24"/>
              </w:rPr>
              <w:t>，</w:t>
            </w:r>
            <w:r>
              <w:rPr>
                <w:rFonts w:hint="eastAsia" w:eastAsia="仿宋_GB2312"/>
                <w:bCs/>
                <w:sz w:val="24"/>
                <w:szCs w:val="24"/>
              </w:rPr>
              <w:t>浙江省水利河口研究院(浙江省海洋规划设计研究院)</w:t>
            </w:r>
            <w:r>
              <w:rPr>
                <w:rFonts w:eastAsia="仿宋_GB2312"/>
                <w:bCs/>
                <w:sz w:val="24"/>
                <w:szCs w:val="24"/>
              </w:rPr>
              <w:t>；</w:t>
            </w:r>
          </w:p>
          <w:p w14:paraId="2A1570A2">
            <w:pPr>
              <w:keepNext w:val="0"/>
              <w:keepLines w:val="0"/>
              <w:pageBreakBefore w:val="0"/>
              <w:widowControl w:val="0"/>
              <w:kinsoku/>
              <w:wordWrap/>
              <w:overflowPunct/>
              <w:topLinePunct w:val="0"/>
              <w:autoSpaceDE/>
              <w:autoSpaceDN/>
              <w:bidi w:val="0"/>
              <w:adjustRightInd/>
              <w:snapToGrid w:val="0"/>
              <w:spacing w:after="0" w:line="440" w:lineRule="exact"/>
              <w:textAlignment w:val="auto"/>
              <w:rPr>
                <w:rFonts w:eastAsia="仿宋_GB2312"/>
                <w:bCs/>
                <w:sz w:val="24"/>
                <w:szCs w:val="24"/>
              </w:rPr>
            </w:pPr>
            <w:r>
              <w:rPr>
                <w:rFonts w:hint="eastAsia" w:eastAsia="仿宋_GB2312"/>
                <w:bCs/>
                <w:sz w:val="24"/>
                <w:szCs w:val="24"/>
                <w:lang w:val="en-US" w:eastAsia="zh-CN"/>
              </w:rPr>
              <w:t>张伯虎</w:t>
            </w:r>
            <w:r>
              <w:rPr>
                <w:rFonts w:eastAsia="仿宋_GB2312"/>
                <w:bCs/>
                <w:sz w:val="24"/>
                <w:szCs w:val="24"/>
              </w:rPr>
              <w:t>，排名</w:t>
            </w:r>
            <w:r>
              <w:rPr>
                <w:rFonts w:hint="eastAsia" w:eastAsia="仿宋_GB2312"/>
                <w:bCs/>
                <w:sz w:val="24"/>
                <w:szCs w:val="24"/>
                <w:lang w:val="en-US" w:eastAsia="zh-CN"/>
              </w:rPr>
              <w:t>5</w:t>
            </w:r>
            <w:r>
              <w:rPr>
                <w:rFonts w:eastAsia="仿宋_GB2312"/>
                <w:bCs/>
                <w:sz w:val="24"/>
                <w:szCs w:val="24"/>
              </w:rPr>
              <w:t>，</w:t>
            </w:r>
            <w:r>
              <w:rPr>
                <w:rFonts w:hint="eastAsia" w:eastAsia="仿宋_GB2312"/>
                <w:bCs/>
                <w:sz w:val="24"/>
                <w:szCs w:val="24"/>
                <w:lang w:val="en-US" w:eastAsia="zh-CN"/>
              </w:rPr>
              <w:t>正高级工程师</w:t>
            </w:r>
            <w:r>
              <w:rPr>
                <w:rFonts w:eastAsia="仿宋_GB2312"/>
                <w:bCs/>
                <w:sz w:val="24"/>
                <w:szCs w:val="24"/>
              </w:rPr>
              <w:t>，</w:t>
            </w:r>
            <w:r>
              <w:rPr>
                <w:rFonts w:hint="eastAsia" w:eastAsia="仿宋_GB2312"/>
                <w:bCs/>
                <w:sz w:val="24"/>
                <w:szCs w:val="24"/>
              </w:rPr>
              <w:t>浙江省水利河口研究院(浙江省海洋规划设计研究院)</w:t>
            </w:r>
            <w:r>
              <w:rPr>
                <w:rFonts w:eastAsia="仿宋_GB2312"/>
                <w:bCs/>
                <w:sz w:val="24"/>
                <w:szCs w:val="24"/>
              </w:rPr>
              <w:t>；</w:t>
            </w:r>
          </w:p>
          <w:p w14:paraId="0EA0F2D9">
            <w:pPr>
              <w:keepNext w:val="0"/>
              <w:keepLines w:val="0"/>
              <w:pageBreakBefore w:val="0"/>
              <w:widowControl w:val="0"/>
              <w:kinsoku/>
              <w:wordWrap/>
              <w:overflowPunct/>
              <w:topLinePunct w:val="0"/>
              <w:autoSpaceDE/>
              <w:autoSpaceDN/>
              <w:bidi w:val="0"/>
              <w:adjustRightInd/>
              <w:snapToGrid w:val="0"/>
              <w:spacing w:after="0" w:line="440" w:lineRule="exact"/>
              <w:textAlignment w:val="auto"/>
              <w:rPr>
                <w:rFonts w:hint="eastAsia" w:eastAsia="仿宋_GB2312"/>
                <w:bCs/>
                <w:sz w:val="24"/>
                <w:szCs w:val="24"/>
                <w:lang w:eastAsia="zh-CN"/>
              </w:rPr>
            </w:pPr>
            <w:r>
              <w:rPr>
                <w:rFonts w:hint="eastAsia" w:eastAsia="仿宋_GB2312"/>
                <w:bCs/>
                <w:sz w:val="24"/>
                <w:szCs w:val="24"/>
                <w:lang w:eastAsia="zh-CN"/>
              </w:rPr>
              <w:t>王建华</w:t>
            </w:r>
            <w:r>
              <w:rPr>
                <w:rFonts w:eastAsia="仿宋_GB2312"/>
                <w:bCs/>
                <w:sz w:val="24"/>
                <w:szCs w:val="24"/>
              </w:rPr>
              <w:t>，排名</w:t>
            </w:r>
            <w:r>
              <w:rPr>
                <w:rFonts w:hint="eastAsia" w:eastAsia="仿宋_GB2312"/>
                <w:bCs/>
                <w:sz w:val="24"/>
                <w:szCs w:val="24"/>
                <w:lang w:val="en-US" w:eastAsia="zh-CN"/>
              </w:rPr>
              <w:t>6，正高级工程师，</w:t>
            </w:r>
            <w:r>
              <w:rPr>
                <w:rFonts w:hint="eastAsia" w:eastAsia="仿宋_GB2312"/>
                <w:bCs/>
                <w:sz w:val="24"/>
                <w:szCs w:val="24"/>
              </w:rPr>
              <w:t>浙江省钱塘江流域中心</w:t>
            </w:r>
          </w:p>
          <w:p w14:paraId="70A60C28">
            <w:pPr>
              <w:keepNext w:val="0"/>
              <w:keepLines w:val="0"/>
              <w:pageBreakBefore w:val="0"/>
              <w:widowControl w:val="0"/>
              <w:kinsoku/>
              <w:wordWrap/>
              <w:overflowPunct/>
              <w:topLinePunct w:val="0"/>
              <w:autoSpaceDE/>
              <w:autoSpaceDN/>
              <w:bidi w:val="0"/>
              <w:adjustRightInd/>
              <w:snapToGrid w:val="0"/>
              <w:spacing w:after="0" w:line="440" w:lineRule="exact"/>
              <w:jc w:val="left"/>
              <w:textAlignment w:val="auto"/>
              <w:rPr>
                <w:rFonts w:eastAsia="仿宋_GB2312"/>
                <w:bCs/>
                <w:sz w:val="24"/>
                <w:szCs w:val="24"/>
              </w:rPr>
            </w:pPr>
            <w:r>
              <w:rPr>
                <w:rFonts w:hint="eastAsia" w:eastAsia="仿宋_GB2312"/>
                <w:bCs/>
                <w:sz w:val="24"/>
                <w:szCs w:val="24"/>
                <w:lang w:val="en-US" w:eastAsia="zh-CN"/>
              </w:rPr>
              <w:t>王瑞锋</w:t>
            </w:r>
            <w:r>
              <w:rPr>
                <w:rFonts w:eastAsia="仿宋_GB2312"/>
                <w:bCs/>
                <w:sz w:val="24"/>
                <w:szCs w:val="24"/>
              </w:rPr>
              <w:t>，排名</w:t>
            </w:r>
            <w:r>
              <w:rPr>
                <w:rFonts w:hint="eastAsia" w:eastAsia="仿宋_GB2312"/>
                <w:bCs/>
                <w:sz w:val="24"/>
                <w:szCs w:val="24"/>
                <w:lang w:val="en-US" w:eastAsia="zh-CN"/>
              </w:rPr>
              <w:t>7</w:t>
            </w:r>
            <w:r>
              <w:rPr>
                <w:rFonts w:eastAsia="仿宋_GB2312"/>
                <w:bCs/>
                <w:sz w:val="24"/>
                <w:szCs w:val="24"/>
              </w:rPr>
              <w:t>，</w:t>
            </w:r>
            <w:r>
              <w:rPr>
                <w:rFonts w:hint="eastAsia" w:eastAsia="仿宋_GB2312"/>
                <w:bCs/>
                <w:sz w:val="24"/>
                <w:szCs w:val="24"/>
                <w:lang w:val="en-US" w:eastAsia="zh-CN"/>
              </w:rPr>
              <w:t>正高级工程师</w:t>
            </w:r>
            <w:r>
              <w:rPr>
                <w:rFonts w:eastAsia="仿宋_GB2312"/>
                <w:bCs/>
                <w:sz w:val="24"/>
                <w:szCs w:val="24"/>
              </w:rPr>
              <w:t>，</w:t>
            </w:r>
            <w:r>
              <w:rPr>
                <w:rFonts w:hint="eastAsia" w:eastAsia="仿宋_GB2312"/>
                <w:bCs/>
                <w:sz w:val="24"/>
                <w:szCs w:val="24"/>
              </w:rPr>
              <w:t>浙江省水利河口研究院(浙江省海洋规划设计研究院)</w:t>
            </w:r>
            <w:r>
              <w:rPr>
                <w:rFonts w:eastAsia="仿宋_GB2312"/>
                <w:bCs/>
                <w:sz w:val="24"/>
                <w:szCs w:val="24"/>
              </w:rPr>
              <w:t>；</w:t>
            </w:r>
          </w:p>
          <w:p w14:paraId="045F8403">
            <w:pPr>
              <w:keepNext w:val="0"/>
              <w:keepLines w:val="0"/>
              <w:pageBreakBefore w:val="0"/>
              <w:widowControl w:val="0"/>
              <w:kinsoku/>
              <w:wordWrap/>
              <w:overflowPunct/>
              <w:topLinePunct w:val="0"/>
              <w:autoSpaceDE/>
              <w:autoSpaceDN/>
              <w:bidi w:val="0"/>
              <w:adjustRightInd/>
              <w:snapToGrid w:val="0"/>
              <w:spacing w:after="0" w:line="440" w:lineRule="exact"/>
              <w:jc w:val="left"/>
              <w:textAlignment w:val="auto"/>
              <w:rPr>
                <w:rFonts w:eastAsia="仿宋_GB2312"/>
                <w:bCs/>
                <w:sz w:val="24"/>
                <w:szCs w:val="24"/>
              </w:rPr>
            </w:pPr>
            <w:r>
              <w:rPr>
                <w:rFonts w:hint="eastAsia" w:eastAsia="仿宋_GB2312"/>
                <w:bCs/>
                <w:sz w:val="24"/>
                <w:szCs w:val="24"/>
                <w:lang w:val="en-US" w:eastAsia="zh-CN"/>
              </w:rPr>
              <w:t>林一楠</w:t>
            </w:r>
            <w:r>
              <w:rPr>
                <w:rFonts w:eastAsia="仿宋_GB2312"/>
                <w:bCs/>
                <w:sz w:val="24"/>
                <w:szCs w:val="24"/>
              </w:rPr>
              <w:t>，排名</w:t>
            </w:r>
            <w:r>
              <w:rPr>
                <w:rFonts w:hint="eastAsia" w:eastAsia="仿宋_GB2312"/>
                <w:bCs/>
                <w:sz w:val="24"/>
                <w:szCs w:val="24"/>
                <w:lang w:val="en-US" w:eastAsia="zh-CN"/>
              </w:rPr>
              <w:t>8</w:t>
            </w:r>
            <w:r>
              <w:rPr>
                <w:rFonts w:eastAsia="仿宋_GB2312"/>
                <w:bCs/>
                <w:sz w:val="24"/>
                <w:szCs w:val="24"/>
              </w:rPr>
              <w:t>，</w:t>
            </w:r>
            <w:r>
              <w:rPr>
                <w:rFonts w:hint="eastAsia" w:eastAsia="仿宋_GB2312"/>
                <w:bCs/>
                <w:sz w:val="24"/>
                <w:szCs w:val="24"/>
                <w:lang w:val="en-US" w:eastAsia="zh-CN"/>
              </w:rPr>
              <w:t>高级工程师</w:t>
            </w:r>
            <w:r>
              <w:rPr>
                <w:rFonts w:eastAsia="仿宋_GB2312"/>
                <w:bCs/>
                <w:sz w:val="24"/>
                <w:szCs w:val="24"/>
              </w:rPr>
              <w:t>，</w:t>
            </w:r>
            <w:r>
              <w:rPr>
                <w:rFonts w:hint="eastAsia" w:eastAsia="仿宋_GB2312"/>
                <w:bCs/>
                <w:sz w:val="24"/>
                <w:szCs w:val="24"/>
              </w:rPr>
              <w:t>浙江省水利河口研究院(浙江省海洋规划设计研究院)</w:t>
            </w:r>
            <w:r>
              <w:rPr>
                <w:rFonts w:eastAsia="仿宋_GB2312"/>
                <w:bCs/>
                <w:sz w:val="24"/>
                <w:szCs w:val="24"/>
              </w:rPr>
              <w:t>；</w:t>
            </w:r>
          </w:p>
          <w:p w14:paraId="0A7E6BBB">
            <w:pPr>
              <w:keepNext w:val="0"/>
              <w:keepLines w:val="0"/>
              <w:pageBreakBefore w:val="0"/>
              <w:widowControl w:val="0"/>
              <w:kinsoku/>
              <w:wordWrap/>
              <w:overflowPunct/>
              <w:topLinePunct w:val="0"/>
              <w:autoSpaceDE/>
              <w:autoSpaceDN/>
              <w:bidi w:val="0"/>
              <w:adjustRightInd/>
              <w:snapToGrid w:val="0"/>
              <w:spacing w:after="0" w:line="440" w:lineRule="exact"/>
              <w:jc w:val="left"/>
              <w:textAlignment w:val="auto"/>
              <w:rPr>
                <w:rFonts w:eastAsia="仿宋_GB2312"/>
                <w:bCs/>
                <w:sz w:val="24"/>
                <w:szCs w:val="24"/>
              </w:rPr>
            </w:pPr>
            <w:r>
              <w:rPr>
                <w:rFonts w:hint="eastAsia" w:eastAsia="仿宋_GB2312"/>
                <w:bCs/>
                <w:sz w:val="24"/>
                <w:szCs w:val="24"/>
                <w:lang w:val="en-US" w:eastAsia="zh-CN"/>
              </w:rPr>
              <w:t>程文龙</w:t>
            </w:r>
            <w:r>
              <w:rPr>
                <w:rFonts w:eastAsia="仿宋_GB2312"/>
                <w:bCs/>
                <w:sz w:val="24"/>
                <w:szCs w:val="24"/>
              </w:rPr>
              <w:t>，排名</w:t>
            </w:r>
            <w:r>
              <w:rPr>
                <w:rFonts w:hint="eastAsia" w:eastAsia="仿宋_GB2312"/>
                <w:bCs/>
                <w:sz w:val="24"/>
                <w:szCs w:val="24"/>
                <w:lang w:val="en-US" w:eastAsia="zh-CN"/>
              </w:rPr>
              <w:t>9</w:t>
            </w:r>
            <w:r>
              <w:rPr>
                <w:rFonts w:eastAsia="仿宋_GB2312"/>
                <w:bCs/>
                <w:sz w:val="24"/>
                <w:szCs w:val="24"/>
              </w:rPr>
              <w:t>，</w:t>
            </w:r>
            <w:r>
              <w:rPr>
                <w:rFonts w:hint="eastAsia" w:eastAsia="仿宋_GB2312"/>
                <w:bCs/>
                <w:sz w:val="24"/>
                <w:szCs w:val="24"/>
                <w:lang w:val="en-US" w:eastAsia="zh-CN"/>
              </w:rPr>
              <w:t>高</w:t>
            </w:r>
            <w:bookmarkStart w:id="0" w:name="_GoBack"/>
            <w:bookmarkEnd w:id="0"/>
            <w:r>
              <w:rPr>
                <w:rFonts w:hint="eastAsia" w:eastAsia="仿宋_GB2312"/>
                <w:bCs/>
                <w:sz w:val="24"/>
                <w:szCs w:val="24"/>
                <w:lang w:val="en-US" w:eastAsia="zh-CN"/>
              </w:rPr>
              <w:t>级工程师</w:t>
            </w:r>
            <w:r>
              <w:rPr>
                <w:rFonts w:eastAsia="仿宋_GB2312"/>
                <w:bCs/>
                <w:sz w:val="24"/>
                <w:szCs w:val="24"/>
              </w:rPr>
              <w:t>，</w:t>
            </w:r>
            <w:r>
              <w:rPr>
                <w:rFonts w:hint="eastAsia" w:eastAsia="仿宋_GB2312"/>
                <w:bCs/>
                <w:sz w:val="24"/>
                <w:szCs w:val="24"/>
              </w:rPr>
              <w:t>浙江省水利河口研究院(浙江省海洋规划设计研究院)</w:t>
            </w:r>
            <w:r>
              <w:rPr>
                <w:rFonts w:eastAsia="仿宋_GB2312"/>
                <w:bCs/>
                <w:sz w:val="24"/>
                <w:szCs w:val="24"/>
              </w:rPr>
              <w:t>；</w:t>
            </w:r>
          </w:p>
          <w:p w14:paraId="5F321621">
            <w:pPr>
              <w:keepNext w:val="0"/>
              <w:keepLines w:val="0"/>
              <w:pageBreakBefore w:val="0"/>
              <w:widowControl w:val="0"/>
              <w:kinsoku/>
              <w:wordWrap/>
              <w:overflowPunct/>
              <w:topLinePunct w:val="0"/>
              <w:autoSpaceDE/>
              <w:autoSpaceDN/>
              <w:bidi w:val="0"/>
              <w:adjustRightInd/>
              <w:snapToGrid w:val="0"/>
              <w:spacing w:after="0" w:line="440" w:lineRule="exact"/>
              <w:jc w:val="left"/>
              <w:textAlignment w:val="auto"/>
              <w:rPr>
                <w:rFonts w:hint="eastAsia" w:eastAsia="仿宋_GB2312"/>
                <w:bCs/>
                <w:sz w:val="24"/>
                <w:szCs w:val="24"/>
                <w:lang w:eastAsia="zh-CN"/>
              </w:rPr>
            </w:pPr>
          </w:p>
        </w:tc>
      </w:tr>
      <w:tr w14:paraId="20E07C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86" w:hRule="atLeast"/>
        </w:trPr>
        <w:tc>
          <w:tcPr>
            <w:tcW w:w="1659" w:type="dxa"/>
            <w:tcBorders>
              <w:right w:val="single" w:color="auto" w:sz="4" w:space="0"/>
            </w:tcBorders>
            <w:vAlign w:val="center"/>
          </w:tcPr>
          <w:p w14:paraId="3BDD0792">
            <w:pPr>
              <w:spacing w:line="440" w:lineRule="exact"/>
              <w:jc w:val="center"/>
              <w:rPr>
                <w:rFonts w:eastAsia="仿宋"/>
                <w:bCs/>
                <w:sz w:val="24"/>
                <w:szCs w:val="24"/>
              </w:rPr>
            </w:pPr>
            <w:r>
              <w:rPr>
                <w:rFonts w:eastAsia="仿宋"/>
                <w:bCs/>
                <w:sz w:val="28"/>
                <w:szCs w:val="24"/>
              </w:rPr>
              <w:t>主要完成单位</w:t>
            </w:r>
          </w:p>
        </w:tc>
        <w:tc>
          <w:tcPr>
            <w:tcW w:w="6972" w:type="dxa"/>
            <w:tcBorders>
              <w:left w:val="single" w:color="auto" w:sz="4" w:space="0"/>
            </w:tcBorders>
            <w:vAlign w:val="center"/>
          </w:tcPr>
          <w:p w14:paraId="270B1389">
            <w:pPr>
              <w:keepNext w:val="0"/>
              <w:keepLines w:val="0"/>
              <w:pageBreakBefore w:val="0"/>
              <w:widowControl w:val="0"/>
              <w:kinsoku/>
              <w:wordWrap/>
              <w:overflowPunct/>
              <w:topLinePunct w:val="0"/>
              <w:autoSpaceDE/>
              <w:autoSpaceDN/>
              <w:bidi w:val="0"/>
              <w:adjustRightInd/>
              <w:snapToGrid w:val="0"/>
              <w:spacing w:after="0" w:line="440" w:lineRule="exact"/>
              <w:jc w:val="left"/>
              <w:textAlignment w:val="auto"/>
              <w:rPr>
                <w:rFonts w:hint="eastAsia" w:eastAsia="仿宋_GB2312"/>
                <w:bCs/>
                <w:sz w:val="24"/>
                <w:szCs w:val="24"/>
                <w:lang w:val="en-US" w:eastAsia="zh-CN"/>
              </w:rPr>
            </w:pPr>
            <w:r>
              <w:rPr>
                <w:rFonts w:hint="eastAsia" w:eastAsia="仿宋_GB2312"/>
                <w:bCs/>
                <w:sz w:val="24"/>
                <w:szCs w:val="24"/>
                <w:lang w:val="en-US" w:eastAsia="zh-CN"/>
              </w:rPr>
              <w:t>1.单位名称：浙江省水利河口研究院(浙江省海洋规划设计研究院)</w:t>
            </w:r>
          </w:p>
          <w:p w14:paraId="0396E4FE">
            <w:pPr>
              <w:keepNext w:val="0"/>
              <w:keepLines w:val="0"/>
              <w:pageBreakBefore w:val="0"/>
              <w:widowControl w:val="0"/>
              <w:kinsoku/>
              <w:wordWrap/>
              <w:overflowPunct/>
              <w:topLinePunct w:val="0"/>
              <w:autoSpaceDE/>
              <w:autoSpaceDN/>
              <w:bidi w:val="0"/>
              <w:adjustRightInd/>
              <w:snapToGrid w:val="0"/>
              <w:spacing w:after="0" w:line="440" w:lineRule="exact"/>
              <w:jc w:val="left"/>
              <w:textAlignment w:val="auto"/>
              <w:rPr>
                <w:rFonts w:hint="eastAsia" w:eastAsia="仿宋_GB2312"/>
                <w:bCs/>
                <w:sz w:val="24"/>
                <w:szCs w:val="24"/>
                <w:lang w:val="en-US" w:eastAsia="zh-CN"/>
              </w:rPr>
            </w:pPr>
            <w:r>
              <w:rPr>
                <w:rFonts w:hint="eastAsia" w:eastAsia="仿宋_GB2312"/>
                <w:bCs/>
                <w:sz w:val="24"/>
                <w:szCs w:val="24"/>
                <w:lang w:val="en-US" w:eastAsia="zh-CN"/>
              </w:rPr>
              <w:t>2.单位名称：浙江大学</w:t>
            </w:r>
          </w:p>
          <w:p w14:paraId="415CD191">
            <w:pPr>
              <w:keepNext w:val="0"/>
              <w:keepLines w:val="0"/>
              <w:pageBreakBefore w:val="0"/>
              <w:widowControl w:val="0"/>
              <w:kinsoku/>
              <w:wordWrap/>
              <w:overflowPunct/>
              <w:topLinePunct w:val="0"/>
              <w:autoSpaceDE/>
              <w:autoSpaceDN/>
              <w:bidi w:val="0"/>
              <w:adjustRightInd/>
              <w:snapToGrid w:val="0"/>
              <w:spacing w:after="0" w:line="440" w:lineRule="exact"/>
              <w:jc w:val="left"/>
              <w:textAlignment w:val="auto"/>
              <w:rPr>
                <w:rFonts w:eastAsia="仿宋"/>
                <w:bCs/>
                <w:sz w:val="24"/>
                <w:szCs w:val="24"/>
              </w:rPr>
            </w:pPr>
            <w:r>
              <w:rPr>
                <w:rFonts w:hint="eastAsia" w:eastAsia="仿宋_GB2312"/>
                <w:bCs/>
                <w:sz w:val="24"/>
                <w:szCs w:val="24"/>
                <w:lang w:val="en-US" w:eastAsia="zh-CN"/>
              </w:rPr>
              <w:t>3.单位名称：浙江省钱塘江流域中心</w:t>
            </w:r>
          </w:p>
        </w:tc>
      </w:tr>
      <w:tr w14:paraId="68ACF4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2" w:hRule="atLeast"/>
        </w:trPr>
        <w:tc>
          <w:tcPr>
            <w:tcW w:w="1659" w:type="dxa"/>
            <w:vAlign w:val="center"/>
          </w:tcPr>
          <w:p w14:paraId="5F0C3FAD">
            <w:pPr>
              <w:keepNext w:val="0"/>
              <w:keepLines w:val="0"/>
              <w:pageBreakBefore w:val="0"/>
              <w:widowControl w:val="0"/>
              <w:kinsoku/>
              <w:wordWrap/>
              <w:overflowPunct/>
              <w:topLinePunct w:val="0"/>
              <w:autoSpaceDE/>
              <w:autoSpaceDN/>
              <w:bidi w:val="0"/>
              <w:adjustRightInd/>
              <w:snapToGrid/>
              <w:spacing w:after="0" w:line="279" w:lineRule="auto"/>
              <w:jc w:val="center"/>
              <w:textAlignment w:val="auto"/>
              <w:rPr>
                <w:rStyle w:val="36"/>
                <w:rFonts w:eastAsia="仿宋_GB2312"/>
                <w:b w:val="0"/>
                <w:color w:val="auto"/>
                <w:sz w:val="28"/>
                <w:szCs w:val="28"/>
              </w:rPr>
            </w:pPr>
            <w:r>
              <w:rPr>
                <w:rStyle w:val="36"/>
                <w:rFonts w:eastAsia="仿宋_GB2312"/>
                <w:b w:val="0"/>
                <w:color w:val="auto"/>
                <w:sz w:val="28"/>
                <w:szCs w:val="28"/>
              </w:rPr>
              <w:t>提名单位</w:t>
            </w:r>
          </w:p>
        </w:tc>
        <w:tc>
          <w:tcPr>
            <w:tcW w:w="6972" w:type="dxa"/>
            <w:vAlign w:val="center"/>
          </w:tcPr>
          <w:p w14:paraId="73F3BD2A">
            <w:pPr>
              <w:keepNext w:val="0"/>
              <w:keepLines w:val="0"/>
              <w:pageBreakBefore w:val="0"/>
              <w:widowControl w:val="0"/>
              <w:kinsoku/>
              <w:wordWrap/>
              <w:overflowPunct/>
              <w:topLinePunct w:val="0"/>
              <w:autoSpaceDE/>
              <w:autoSpaceDN/>
              <w:bidi w:val="0"/>
              <w:adjustRightInd/>
              <w:snapToGrid/>
              <w:spacing w:after="0" w:line="279" w:lineRule="auto"/>
              <w:contextualSpacing/>
              <w:jc w:val="center"/>
              <w:textAlignment w:val="auto"/>
              <w:rPr>
                <w:rStyle w:val="36"/>
                <w:rFonts w:hint="default" w:eastAsia="宋体"/>
                <w:b w:val="0"/>
                <w:color w:val="auto"/>
                <w:lang w:val="en-US" w:eastAsia="zh-CN"/>
              </w:rPr>
            </w:pPr>
            <w:r>
              <w:rPr>
                <w:rFonts w:hint="eastAsia" w:eastAsia="仿宋_GB2312"/>
                <w:bCs/>
                <w:sz w:val="24"/>
                <w:szCs w:val="24"/>
                <w:lang w:val="en-US" w:eastAsia="zh-CN"/>
              </w:rPr>
              <w:t>浙江省水利厅</w:t>
            </w:r>
          </w:p>
        </w:tc>
      </w:tr>
      <w:tr w14:paraId="796F37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83" w:hRule="atLeast"/>
        </w:trPr>
        <w:tc>
          <w:tcPr>
            <w:tcW w:w="1659" w:type="dxa"/>
            <w:vAlign w:val="center"/>
          </w:tcPr>
          <w:p w14:paraId="4E3F43C8">
            <w:pPr>
              <w:jc w:val="center"/>
              <w:rPr>
                <w:rStyle w:val="36"/>
                <w:rFonts w:eastAsia="仿宋_GB2312"/>
                <w:b w:val="0"/>
                <w:color w:val="auto"/>
                <w:sz w:val="28"/>
                <w:szCs w:val="28"/>
              </w:rPr>
            </w:pPr>
            <w:r>
              <w:rPr>
                <w:rStyle w:val="36"/>
                <w:rFonts w:eastAsia="仿宋_GB2312"/>
                <w:b w:val="0"/>
                <w:color w:val="auto"/>
                <w:sz w:val="28"/>
                <w:szCs w:val="28"/>
              </w:rPr>
              <w:t>提名意见</w:t>
            </w:r>
          </w:p>
        </w:tc>
        <w:tc>
          <w:tcPr>
            <w:tcW w:w="6972" w:type="dxa"/>
            <w:vAlign w:val="center"/>
          </w:tcPr>
          <w:p w14:paraId="628C353D">
            <w:pPr>
              <w:keepNext w:val="0"/>
              <w:keepLines w:val="0"/>
              <w:pageBreakBefore w:val="0"/>
              <w:widowControl w:val="0"/>
              <w:kinsoku/>
              <w:wordWrap/>
              <w:overflowPunct/>
              <w:topLinePunct w:val="0"/>
              <w:autoSpaceDE/>
              <w:autoSpaceDN/>
              <w:bidi w:val="0"/>
              <w:adjustRightInd/>
              <w:snapToGrid w:val="0"/>
              <w:spacing w:after="0" w:line="288" w:lineRule="auto"/>
              <w:ind w:firstLine="480" w:firstLineChars="200"/>
              <w:jc w:val="left"/>
              <w:textAlignment w:val="auto"/>
              <w:rPr>
                <w:rFonts w:hint="eastAsia" w:ascii="Times New Roman" w:hAnsi="Times New Roman" w:eastAsia="仿宋_GB2312" w:cs="Times New Roman"/>
                <w:bCs/>
                <w:sz w:val="24"/>
                <w:szCs w:val="24"/>
                <w:lang w:val="en-US" w:eastAsia="zh-CN"/>
              </w:rPr>
            </w:pPr>
            <w:r>
              <w:rPr>
                <w:rFonts w:hint="eastAsia" w:ascii="Times New Roman" w:hAnsi="Times New Roman" w:eastAsia="仿宋_GB2312" w:cs="Times New Roman"/>
                <w:bCs/>
                <w:sz w:val="24"/>
                <w:szCs w:val="24"/>
                <w:lang w:val="en-US" w:eastAsia="zh-CN"/>
              </w:rPr>
              <w:t>浙江省六大河口集聚着全省50%以上人口，80%以上GDP，河口功能对经济社会发展至关重要，习近平总书记谋划推动的国家“江河战略”明确指出“强化入海河口管理，确保入海流路通畅，维护河口功能”。近些年来，在极端气候变化与强人类活动耦合的背景下，以钱塘江河口为代表的强潮多沙河口水沙输移变异失衡，频繁发生河床极端冲淤事件，引发入海流路阻塞和工程基础冲刷等灾害，影响河口功能发挥。针对极端冲淤灾害风险日益增加的形势，亟需寻求应对之策。然而，强潮多沙河口泥沙丰富，</w:t>
            </w:r>
            <w:r>
              <w:rPr>
                <w:rFonts w:hint="eastAsia" w:eastAsia="仿宋_GB2312" w:cs="Times New Roman"/>
                <w:bCs/>
                <w:sz w:val="24"/>
                <w:szCs w:val="24"/>
                <w:lang w:val="en-US" w:eastAsia="zh-CN"/>
              </w:rPr>
              <w:t>在强</w:t>
            </w:r>
            <w:r>
              <w:rPr>
                <w:rFonts w:hint="eastAsia" w:ascii="Times New Roman" w:hAnsi="Times New Roman" w:eastAsia="仿宋_GB2312" w:cs="Times New Roman"/>
                <w:bCs/>
                <w:sz w:val="24"/>
                <w:szCs w:val="24"/>
                <w:lang w:val="en-US" w:eastAsia="zh-CN"/>
              </w:rPr>
              <w:t>涌潮、风暴潮等多</w:t>
            </w:r>
            <w:r>
              <w:rPr>
                <w:rFonts w:hint="eastAsia" w:eastAsia="仿宋_GB2312" w:cs="Times New Roman"/>
                <w:bCs/>
                <w:sz w:val="24"/>
                <w:szCs w:val="24"/>
                <w:lang w:val="en-US" w:eastAsia="zh-CN"/>
              </w:rPr>
              <w:t>项极端</w:t>
            </w:r>
            <w:r>
              <w:rPr>
                <w:rFonts w:hint="eastAsia" w:ascii="Times New Roman" w:hAnsi="Times New Roman" w:eastAsia="仿宋_GB2312" w:cs="Times New Roman"/>
                <w:bCs/>
                <w:sz w:val="24"/>
                <w:szCs w:val="24"/>
                <w:lang w:val="en-US" w:eastAsia="zh-CN"/>
              </w:rPr>
              <w:t>动力</w:t>
            </w:r>
            <w:r>
              <w:rPr>
                <w:rFonts w:hint="eastAsia" w:eastAsia="仿宋_GB2312" w:cs="Times New Roman"/>
                <w:bCs/>
                <w:sz w:val="24"/>
                <w:szCs w:val="24"/>
                <w:lang w:val="en-US" w:eastAsia="zh-CN"/>
              </w:rPr>
              <w:t>耦合</w:t>
            </w:r>
            <w:r>
              <w:rPr>
                <w:rFonts w:hint="eastAsia" w:ascii="Times New Roman" w:hAnsi="Times New Roman" w:eastAsia="仿宋_GB2312" w:cs="Times New Roman"/>
                <w:bCs/>
                <w:sz w:val="24"/>
                <w:szCs w:val="24"/>
                <w:lang w:val="en-US" w:eastAsia="zh-CN"/>
              </w:rPr>
              <w:t>作用，水沙运动机理非常复杂，存在理论研究空白，无法指导高精度模拟预测技术研发，更无成熟调控技术可用。面向国家重大需求，在国家重点研发计划等多个项目资助下，历经近二十年的科技攻关，打通了“水沙机理-冲淤模拟-安全调控”技术链</w:t>
            </w:r>
            <w:r>
              <w:rPr>
                <w:rFonts w:hint="eastAsia" w:eastAsia="仿宋_GB2312" w:cs="Times New Roman"/>
                <w:bCs/>
                <w:sz w:val="24"/>
                <w:szCs w:val="24"/>
                <w:lang w:val="en-US" w:eastAsia="zh-CN"/>
              </w:rPr>
              <w:t>路</w:t>
            </w:r>
            <w:r>
              <w:rPr>
                <w:rFonts w:hint="eastAsia" w:ascii="Times New Roman" w:hAnsi="Times New Roman" w:eastAsia="仿宋_GB2312" w:cs="Times New Roman"/>
                <w:bCs/>
                <w:sz w:val="24"/>
                <w:szCs w:val="24"/>
                <w:lang w:val="en-US" w:eastAsia="zh-CN"/>
              </w:rPr>
              <w:t>，主要创新</w:t>
            </w:r>
            <w:r>
              <w:rPr>
                <w:rFonts w:hint="eastAsia" w:eastAsia="仿宋_GB2312"/>
                <w:bCs/>
                <w:sz w:val="24"/>
                <w:szCs w:val="24"/>
                <w:lang w:val="en-US" w:eastAsia="zh-CN"/>
              </w:rPr>
              <w:t>成果：（1）建立了极端动力下强潮多沙河口冲淤理论。揭示了极端动力环境下床沙起动、悬浮、输移特征和高浊度区域浮泥动力机制，提出了求解广义线性粘弹性流体速度场的通用解析方法，探明了极端条件下动力-泥沙-地貌互馈机理，构建了河口非稳态演变关键因子间的量化关系。（2）研发了极端冲淤高精度模拟预测成套技术。建立了考虑强潮多沙河口非稳态演变物理约束的人工智能模型，研发了极端动力-泥沙-地貌耦合数值模型和多组份分层冲刷物理模型试验技术，实现了极端条件下水沙过程与河床冲淤的高精度模拟预测。（3）构建了强潮多沙河口极端冲淤安全调控技术。提出了以河口沙坎高程、江道容积为核心的河口安全指标阈值体系和多目标协同的水沙调控技术，发明了适用于强潮环境的岸滩冲淤防护技术，建成了河口水沙预报调控系统</w:t>
            </w:r>
            <w:r>
              <w:rPr>
                <w:rFonts w:hint="eastAsia" w:ascii="Times New Roman" w:hAnsi="Times New Roman" w:eastAsia="仿宋_GB2312" w:cs="Times New Roman"/>
                <w:bCs/>
                <w:sz w:val="24"/>
                <w:szCs w:val="24"/>
                <w:lang w:val="en-US" w:eastAsia="zh-CN"/>
              </w:rPr>
              <w:t>。</w:t>
            </w:r>
          </w:p>
          <w:p w14:paraId="190478F2">
            <w:pPr>
              <w:keepNext w:val="0"/>
              <w:keepLines w:val="0"/>
              <w:pageBreakBefore w:val="0"/>
              <w:widowControl w:val="0"/>
              <w:kinsoku/>
              <w:wordWrap/>
              <w:overflowPunct/>
              <w:topLinePunct w:val="0"/>
              <w:autoSpaceDE/>
              <w:autoSpaceDN/>
              <w:bidi w:val="0"/>
              <w:adjustRightInd/>
              <w:snapToGrid w:val="0"/>
              <w:spacing w:after="0" w:line="288" w:lineRule="auto"/>
              <w:ind w:firstLine="480" w:firstLineChars="200"/>
              <w:jc w:val="left"/>
              <w:textAlignment w:val="auto"/>
              <w:rPr>
                <w:rFonts w:hint="eastAsia" w:ascii="Times New Roman" w:hAnsi="Times New Roman" w:eastAsia="仿宋_GB2312" w:cs="Times New Roman"/>
                <w:bCs/>
                <w:sz w:val="24"/>
                <w:szCs w:val="24"/>
                <w:lang w:val="en-US" w:eastAsia="zh-CN"/>
              </w:rPr>
            </w:pPr>
            <w:r>
              <w:rPr>
                <w:rFonts w:hint="eastAsia" w:ascii="Times New Roman" w:hAnsi="Times New Roman" w:eastAsia="仿宋_GB2312" w:cs="Times New Roman"/>
                <w:bCs/>
                <w:sz w:val="24"/>
                <w:szCs w:val="24"/>
                <w:lang w:val="en-US" w:eastAsia="zh-CN"/>
              </w:rPr>
              <w:t>研究成果已应用于河口重大涉水工程如海塘安澜、跨海大桥、港口航道、千岛湖扩大引水工程等工程建设，间接效益约70亿元，近三年取得直接效益2</w:t>
            </w:r>
            <w:r>
              <w:rPr>
                <w:rFonts w:hint="eastAsia" w:eastAsia="仿宋_GB2312" w:cs="Times New Roman"/>
                <w:bCs/>
                <w:sz w:val="24"/>
                <w:szCs w:val="24"/>
                <w:lang w:val="en-US" w:eastAsia="zh-CN"/>
              </w:rPr>
              <w:t>.6</w:t>
            </w:r>
            <w:r>
              <w:rPr>
                <w:rFonts w:hint="eastAsia" w:ascii="Times New Roman" w:hAnsi="Times New Roman" w:eastAsia="仿宋_GB2312" w:cs="Times New Roman"/>
                <w:bCs/>
                <w:sz w:val="24"/>
                <w:szCs w:val="24"/>
                <w:lang w:val="en-US" w:eastAsia="zh-CN"/>
              </w:rPr>
              <w:t>亿元；成果应用于水行政主管部门的河口管理和灾害防御，保障河口功能正常发挥，经济社会环境效益巨大，推广应用前景广阔。</w:t>
            </w:r>
          </w:p>
          <w:p w14:paraId="565B97AC">
            <w:pPr>
              <w:keepNext w:val="0"/>
              <w:keepLines w:val="0"/>
              <w:pageBreakBefore w:val="0"/>
              <w:widowControl w:val="0"/>
              <w:kinsoku/>
              <w:wordWrap/>
              <w:overflowPunct/>
              <w:topLinePunct w:val="0"/>
              <w:autoSpaceDE/>
              <w:autoSpaceDN/>
              <w:bidi w:val="0"/>
              <w:adjustRightInd/>
              <w:snapToGrid w:val="0"/>
              <w:spacing w:after="0" w:line="288" w:lineRule="auto"/>
              <w:ind w:firstLine="480" w:firstLineChars="200"/>
              <w:jc w:val="left"/>
              <w:textAlignment w:val="auto"/>
              <w:rPr>
                <w:rStyle w:val="36"/>
                <w:rFonts w:hint="default" w:eastAsia="宋体"/>
                <w:b w:val="0"/>
                <w:color w:val="auto"/>
                <w:lang w:val="en-US" w:eastAsia="zh-CN"/>
              </w:rPr>
            </w:pPr>
            <w:r>
              <w:rPr>
                <w:rFonts w:hint="eastAsia" w:ascii="Times New Roman" w:hAnsi="Times New Roman" w:eastAsia="仿宋_GB2312" w:cs="Times New Roman"/>
                <w:bCs/>
                <w:sz w:val="24"/>
                <w:szCs w:val="24"/>
                <w:lang w:val="en-US" w:eastAsia="zh-CN"/>
              </w:rPr>
              <w:t>特此提名该成果为浙江省科学技术进步奖</w:t>
            </w:r>
            <w:r>
              <w:rPr>
                <w:rFonts w:hint="eastAsia" w:eastAsia="仿宋_GB2312" w:cs="Times New Roman"/>
                <w:bCs/>
                <w:sz w:val="24"/>
                <w:szCs w:val="24"/>
                <w:lang w:val="en-US" w:eastAsia="zh-CN"/>
              </w:rPr>
              <w:t>二</w:t>
            </w:r>
            <w:r>
              <w:rPr>
                <w:rFonts w:hint="eastAsia" w:ascii="Times New Roman" w:hAnsi="Times New Roman" w:eastAsia="仿宋_GB2312" w:cs="Times New Roman"/>
                <w:bCs/>
                <w:sz w:val="24"/>
                <w:szCs w:val="24"/>
                <w:lang w:val="en-US" w:eastAsia="zh-CN"/>
              </w:rPr>
              <w:t>等奖。</w:t>
            </w:r>
          </w:p>
        </w:tc>
      </w:tr>
    </w:tbl>
    <w:p w14:paraId="3AA1E119">
      <w:pPr>
        <w:adjustRightInd w:val="0"/>
        <w:snapToGrid w:val="0"/>
        <w:spacing w:line="560" w:lineRule="exact"/>
        <w:rPr>
          <w:rFonts w:eastAsia="仿宋_GB2312"/>
          <w:sz w:val="32"/>
          <w:szCs w:val="32"/>
        </w:rPr>
      </w:pPr>
    </w:p>
    <w:sectPr>
      <w:headerReference r:id="rId7" w:type="first"/>
      <w:headerReference r:id="rId5" w:type="default"/>
      <w:footerReference r:id="rId8" w:type="default"/>
      <w:headerReference r:id="rId6" w:type="even"/>
      <w:footerReference r:id="rId9" w:type="even"/>
      <w:pgSz w:w="11850" w:h="16783"/>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59917D7-9227-40B1-AE2C-66AFDA63C94F}"/>
  </w:font>
  <w:font w:name="Arial">
    <w:panose1 w:val="020B0604020202020204"/>
    <w:charset w:val="01"/>
    <w:family w:val="swiss"/>
    <w:pitch w:val="default"/>
    <w:sig w:usb0="E0002AFF" w:usb1="C0007843" w:usb2="00000009" w:usb3="00000000" w:csb0="400001FF" w:csb1="FFFF0000"/>
    <w:embedRegular r:id="rId2" w:fontKey="{56F6FAF9-F8C2-47D2-A220-CF6934CC524F}"/>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49643ADC-351B-413F-8ABF-8086CEED46FA}"/>
  </w:font>
  <w:font w:name="Symbol">
    <w:panose1 w:val="05050102010706020507"/>
    <w:charset w:val="02"/>
    <w:family w:val="roman"/>
    <w:pitch w:val="default"/>
    <w:sig w:usb0="00000000" w:usb1="00000000" w:usb2="00000000" w:usb3="00000000" w:csb0="80000000" w:csb1="00000000"/>
    <w:embedRegular r:id="rId4" w:fontKey="{A15969EB-378C-49B8-8A81-337A40F700AE}"/>
  </w:font>
  <w:font w:name="Calibri">
    <w:panose1 w:val="020F0502020204030204"/>
    <w:charset w:val="00"/>
    <w:family w:val="swiss"/>
    <w:pitch w:val="default"/>
    <w:sig w:usb0="E00002FF" w:usb1="4000ACFF" w:usb2="00000001" w:usb3="00000000" w:csb0="2000019F" w:csb1="00000000"/>
    <w:embedRegular r:id="rId5" w:fontKey="{02B05175-D380-4F17-A216-FE004A6FF4DD}"/>
  </w:font>
  <w:font w:name="Cambria">
    <w:panose1 w:val="02040503050406030204"/>
    <w:charset w:val="00"/>
    <w:family w:val="roman"/>
    <w:pitch w:val="default"/>
    <w:sig w:usb0="E00002FF" w:usb1="400004FF" w:usb2="00000000" w:usb3="00000000" w:csb0="2000019F" w:csb1="00000000"/>
    <w:embedRegular r:id="rId6" w:fontKey="{F332FB0D-2140-413E-A0CB-19F19969A60C}"/>
  </w:font>
  <w:font w:name="仿宋_GB2312">
    <w:panose1 w:val="02010609030101010101"/>
    <w:charset w:val="86"/>
    <w:family w:val="modern"/>
    <w:pitch w:val="default"/>
    <w:sig w:usb0="00000001" w:usb1="080E0000" w:usb2="00000000" w:usb3="00000000" w:csb0="00040000" w:csb1="00000000"/>
    <w:embedRegular r:id="rId7" w:fontKey="{85467B04-A1DF-460F-B4AD-20FD0BF34ED1}"/>
  </w:font>
  <w:font w:name="方正仿宋简体">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方正小标宋简体">
    <w:panose1 w:val="02010600010101010101"/>
    <w:charset w:val="86"/>
    <w:family w:val="auto"/>
    <w:pitch w:val="default"/>
    <w:sig w:usb0="00000001" w:usb1="080E0000" w:usb2="00000000" w:usb3="00000000" w:csb0="00040000" w:csb1="00000000"/>
    <w:embedRegular r:id="rId8" w:fontKey="{12F699C8-A944-44BB-AB52-C761D5D99523}"/>
  </w:font>
  <w:font w:name="仿宋">
    <w:panose1 w:val="02010609060101010101"/>
    <w:charset w:val="86"/>
    <w:family w:val="modern"/>
    <w:pitch w:val="default"/>
    <w:sig w:usb0="800002BF" w:usb1="38CF7CFA" w:usb2="00000016" w:usb3="00000000" w:csb0="00040001" w:csb1="00000000"/>
    <w:embedRegular r:id="rId9" w:fontKey="{5207128B-D97F-4232-9F94-7F9C5F87B066}"/>
  </w:font>
  <w:font w:name="WPSEMBED20">
    <w:panose1 w:val="0201060001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76286816"/>
    </w:sdtPr>
    <w:sdtEndPr>
      <w:rPr>
        <w:sz w:val="21"/>
        <w:szCs w:val="21"/>
      </w:rPr>
    </w:sdtEndPr>
    <w:sdtContent>
      <w:p w14:paraId="31AF440E">
        <w:pPr>
          <w:pStyle w:val="9"/>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143</w:t>
        </w:r>
        <w:r>
          <w:rPr>
            <w:sz w:val="21"/>
            <w:szCs w:val="21"/>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B209FA">
    <w:pPr>
      <w:pStyle w:val="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35145A">
    <w:pPr>
      <w:ind w:left="420" w:hanging="4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EA36A2">
    <w:pPr>
      <w:pStyle w:val="10"/>
      <w:ind w:left="360" w:hanging="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D97519">
    <w:pPr>
      <w:pStyle w:val="10"/>
      <w:ind w:left="360" w:hanging="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62D8A8E"/>
    <w:multiLevelType w:val="singleLevel"/>
    <w:tmpl w:val="562D8A8E"/>
    <w:lvl w:ilvl="0" w:tentative="0">
      <w:start w:val="1"/>
      <w:numFmt w:val="decimal"/>
      <w:lvlText w:val="%1."/>
      <w:lvlJc w:val="left"/>
      <w:pPr>
        <w:tabs>
          <w:tab w:val="left" w:pos="312"/>
        </w:tabs>
      </w:pPr>
    </w:lvl>
  </w:abstractNum>
  <w:abstractNum w:abstractNumId="1">
    <w:nsid w:val="5F027A57"/>
    <w:multiLevelType w:val="singleLevel"/>
    <w:tmpl w:val="5F027A57"/>
    <w:lvl w:ilvl="0" w:tentative="0">
      <w:start w:val="1"/>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9"/>
  <w:embedTrueTypeFonts/>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JhNDgxZDBiYzczNDM2YjM1OGQzM2RlOTYzN2FiZTQifQ=="/>
    <w:docVar w:name="KSO_WPS_MARK_KEY" w:val="02f6fdb2-0872-4f38-94b1-cc8e195e9e73"/>
  </w:docVars>
  <w:rsids>
    <w:rsidRoot w:val="007C28FF"/>
    <w:rsid w:val="00006056"/>
    <w:rsid w:val="00007BBE"/>
    <w:rsid w:val="000165DC"/>
    <w:rsid w:val="00031E44"/>
    <w:rsid w:val="00033288"/>
    <w:rsid w:val="0004004D"/>
    <w:rsid w:val="00051BE3"/>
    <w:rsid w:val="00053F24"/>
    <w:rsid w:val="0006546D"/>
    <w:rsid w:val="00067E32"/>
    <w:rsid w:val="00083906"/>
    <w:rsid w:val="000847FC"/>
    <w:rsid w:val="000929AE"/>
    <w:rsid w:val="000A0FE4"/>
    <w:rsid w:val="000B2E39"/>
    <w:rsid w:val="000B70B3"/>
    <w:rsid w:val="000C632A"/>
    <w:rsid w:val="000F1229"/>
    <w:rsid w:val="000F2CC3"/>
    <w:rsid w:val="000F6066"/>
    <w:rsid w:val="000F6517"/>
    <w:rsid w:val="000F6B39"/>
    <w:rsid w:val="000F7732"/>
    <w:rsid w:val="001039E9"/>
    <w:rsid w:val="00103F1B"/>
    <w:rsid w:val="00104F03"/>
    <w:rsid w:val="0012430D"/>
    <w:rsid w:val="001435CC"/>
    <w:rsid w:val="00153E23"/>
    <w:rsid w:val="00154376"/>
    <w:rsid w:val="001553CE"/>
    <w:rsid w:val="001614FC"/>
    <w:rsid w:val="00165962"/>
    <w:rsid w:val="0017168F"/>
    <w:rsid w:val="00172167"/>
    <w:rsid w:val="001806B8"/>
    <w:rsid w:val="001829B2"/>
    <w:rsid w:val="00185449"/>
    <w:rsid w:val="00192701"/>
    <w:rsid w:val="0019371C"/>
    <w:rsid w:val="001A5554"/>
    <w:rsid w:val="001A55E6"/>
    <w:rsid w:val="001B0C22"/>
    <w:rsid w:val="001B454D"/>
    <w:rsid w:val="001C4D6D"/>
    <w:rsid w:val="001D3908"/>
    <w:rsid w:val="001F032B"/>
    <w:rsid w:val="001F2C76"/>
    <w:rsid w:val="001F7F40"/>
    <w:rsid w:val="00212129"/>
    <w:rsid w:val="00213CE9"/>
    <w:rsid w:val="0021734C"/>
    <w:rsid w:val="002242B0"/>
    <w:rsid w:val="002247F4"/>
    <w:rsid w:val="00230FE9"/>
    <w:rsid w:val="0023223F"/>
    <w:rsid w:val="00244749"/>
    <w:rsid w:val="00247A49"/>
    <w:rsid w:val="00251808"/>
    <w:rsid w:val="002579D1"/>
    <w:rsid w:val="002745F8"/>
    <w:rsid w:val="00283031"/>
    <w:rsid w:val="0029509E"/>
    <w:rsid w:val="00296134"/>
    <w:rsid w:val="002A2925"/>
    <w:rsid w:val="002A7955"/>
    <w:rsid w:val="002B3198"/>
    <w:rsid w:val="002C6803"/>
    <w:rsid w:val="002C6E65"/>
    <w:rsid w:val="002D1FA7"/>
    <w:rsid w:val="002D3BA3"/>
    <w:rsid w:val="002E42A8"/>
    <w:rsid w:val="002E43DB"/>
    <w:rsid w:val="002F1911"/>
    <w:rsid w:val="002F74D2"/>
    <w:rsid w:val="0030543F"/>
    <w:rsid w:val="003063D6"/>
    <w:rsid w:val="00311F89"/>
    <w:rsid w:val="003125EF"/>
    <w:rsid w:val="00326352"/>
    <w:rsid w:val="00330554"/>
    <w:rsid w:val="00331B99"/>
    <w:rsid w:val="00336678"/>
    <w:rsid w:val="00340314"/>
    <w:rsid w:val="00343DF4"/>
    <w:rsid w:val="00347614"/>
    <w:rsid w:val="00356B8A"/>
    <w:rsid w:val="00363C7E"/>
    <w:rsid w:val="00370977"/>
    <w:rsid w:val="00377C1C"/>
    <w:rsid w:val="00382214"/>
    <w:rsid w:val="00382EDD"/>
    <w:rsid w:val="00386D85"/>
    <w:rsid w:val="003A08CF"/>
    <w:rsid w:val="003A343A"/>
    <w:rsid w:val="003A466E"/>
    <w:rsid w:val="003A5D0E"/>
    <w:rsid w:val="003A60A7"/>
    <w:rsid w:val="003B0906"/>
    <w:rsid w:val="003B2A50"/>
    <w:rsid w:val="003B3345"/>
    <w:rsid w:val="003C1234"/>
    <w:rsid w:val="003C4124"/>
    <w:rsid w:val="003E6BFB"/>
    <w:rsid w:val="003F0278"/>
    <w:rsid w:val="003F1E9D"/>
    <w:rsid w:val="003F76A0"/>
    <w:rsid w:val="00401E30"/>
    <w:rsid w:val="004179C8"/>
    <w:rsid w:val="0042367A"/>
    <w:rsid w:val="00427A6E"/>
    <w:rsid w:val="004300EE"/>
    <w:rsid w:val="00442705"/>
    <w:rsid w:val="00444A55"/>
    <w:rsid w:val="0044700B"/>
    <w:rsid w:val="0044760A"/>
    <w:rsid w:val="00453528"/>
    <w:rsid w:val="00453C0E"/>
    <w:rsid w:val="00461A90"/>
    <w:rsid w:val="004820BD"/>
    <w:rsid w:val="00484A1D"/>
    <w:rsid w:val="00484D69"/>
    <w:rsid w:val="004929AC"/>
    <w:rsid w:val="00492EAC"/>
    <w:rsid w:val="004A6419"/>
    <w:rsid w:val="004B13A5"/>
    <w:rsid w:val="004B531C"/>
    <w:rsid w:val="004C2337"/>
    <w:rsid w:val="004D3106"/>
    <w:rsid w:val="004D55B5"/>
    <w:rsid w:val="004E11C6"/>
    <w:rsid w:val="004E36AB"/>
    <w:rsid w:val="004F503B"/>
    <w:rsid w:val="004F551A"/>
    <w:rsid w:val="005002DF"/>
    <w:rsid w:val="00500EBD"/>
    <w:rsid w:val="00504232"/>
    <w:rsid w:val="00510C66"/>
    <w:rsid w:val="00511F4B"/>
    <w:rsid w:val="0051372C"/>
    <w:rsid w:val="00515A72"/>
    <w:rsid w:val="00521ED7"/>
    <w:rsid w:val="00526964"/>
    <w:rsid w:val="00532D5A"/>
    <w:rsid w:val="005354E4"/>
    <w:rsid w:val="00552729"/>
    <w:rsid w:val="005563CE"/>
    <w:rsid w:val="005663D6"/>
    <w:rsid w:val="00570701"/>
    <w:rsid w:val="0057414B"/>
    <w:rsid w:val="0057576E"/>
    <w:rsid w:val="0058367D"/>
    <w:rsid w:val="00586D66"/>
    <w:rsid w:val="005A0877"/>
    <w:rsid w:val="005A17EC"/>
    <w:rsid w:val="005A1A1D"/>
    <w:rsid w:val="005A485B"/>
    <w:rsid w:val="005A6276"/>
    <w:rsid w:val="005A6B7D"/>
    <w:rsid w:val="005B5550"/>
    <w:rsid w:val="005B65F0"/>
    <w:rsid w:val="005D2A14"/>
    <w:rsid w:val="005D36E9"/>
    <w:rsid w:val="005E0059"/>
    <w:rsid w:val="005E261D"/>
    <w:rsid w:val="005E49A6"/>
    <w:rsid w:val="005E6D32"/>
    <w:rsid w:val="005F0DC8"/>
    <w:rsid w:val="00600FA4"/>
    <w:rsid w:val="00605720"/>
    <w:rsid w:val="00611BDC"/>
    <w:rsid w:val="006177DC"/>
    <w:rsid w:val="00623BD2"/>
    <w:rsid w:val="00626265"/>
    <w:rsid w:val="006269F8"/>
    <w:rsid w:val="00642EBC"/>
    <w:rsid w:val="00643B2E"/>
    <w:rsid w:val="00646AD1"/>
    <w:rsid w:val="00670053"/>
    <w:rsid w:val="00673E71"/>
    <w:rsid w:val="006823DB"/>
    <w:rsid w:val="00692309"/>
    <w:rsid w:val="00694DDB"/>
    <w:rsid w:val="006A1E31"/>
    <w:rsid w:val="006A390F"/>
    <w:rsid w:val="006A580A"/>
    <w:rsid w:val="006B34CD"/>
    <w:rsid w:val="006C528F"/>
    <w:rsid w:val="006C691E"/>
    <w:rsid w:val="006C6CA7"/>
    <w:rsid w:val="006D59C3"/>
    <w:rsid w:val="006E4386"/>
    <w:rsid w:val="006E5310"/>
    <w:rsid w:val="006F0C81"/>
    <w:rsid w:val="006F5EED"/>
    <w:rsid w:val="006F7780"/>
    <w:rsid w:val="007116D0"/>
    <w:rsid w:val="00725CE5"/>
    <w:rsid w:val="0073019F"/>
    <w:rsid w:val="00734046"/>
    <w:rsid w:val="00735560"/>
    <w:rsid w:val="00736027"/>
    <w:rsid w:val="007370E0"/>
    <w:rsid w:val="007466B8"/>
    <w:rsid w:val="00751448"/>
    <w:rsid w:val="00751A09"/>
    <w:rsid w:val="0075383C"/>
    <w:rsid w:val="00754147"/>
    <w:rsid w:val="00756C08"/>
    <w:rsid w:val="00756D75"/>
    <w:rsid w:val="00760A58"/>
    <w:rsid w:val="00763073"/>
    <w:rsid w:val="0076560D"/>
    <w:rsid w:val="00767A99"/>
    <w:rsid w:val="00784D44"/>
    <w:rsid w:val="00793C8C"/>
    <w:rsid w:val="00793E7F"/>
    <w:rsid w:val="007940D2"/>
    <w:rsid w:val="00794B04"/>
    <w:rsid w:val="0079610B"/>
    <w:rsid w:val="00797739"/>
    <w:rsid w:val="007A5E60"/>
    <w:rsid w:val="007B0382"/>
    <w:rsid w:val="007B7CAA"/>
    <w:rsid w:val="007C28FF"/>
    <w:rsid w:val="007C5A7E"/>
    <w:rsid w:val="007C5AC5"/>
    <w:rsid w:val="007D26E7"/>
    <w:rsid w:val="007D58D1"/>
    <w:rsid w:val="007D68D7"/>
    <w:rsid w:val="007E17CF"/>
    <w:rsid w:val="007F026B"/>
    <w:rsid w:val="007F5A15"/>
    <w:rsid w:val="0080157D"/>
    <w:rsid w:val="00805F45"/>
    <w:rsid w:val="00813788"/>
    <w:rsid w:val="0082227E"/>
    <w:rsid w:val="00822B10"/>
    <w:rsid w:val="00823F06"/>
    <w:rsid w:val="00832862"/>
    <w:rsid w:val="00832F6E"/>
    <w:rsid w:val="00832F80"/>
    <w:rsid w:val="00833452"/>
    <w:rsid w:val="00834CE8"/>
    <w:rsid w:val="0083551E"/>
    <w:rsid w:val="00845A89"/>
    <w:rsid w:val="00845F36"/>
    <w:rsid w:val="008527A7"/>
    <w:rsid w:val="00853603"/>
    <w:rsid w:val="008550E7"/>
    <w:rsid w:val="00856D92"/>
    <w:rsid w:val="00866267"/>
    <w:rsid w:val="008666C1"/>
    <w:rsid w:val="00866773"/>
    <w:rsid w:val="008706BC"/>
    <w:rsid w:val="00872CCF"/>
    <w:rsid w:val="00890A44"/>
    <w:rsid w:val="00891DDA"/>
    <w:rsid w:val="00894724"/>
    <w:rsid w:val="008A09D1"/>
    <w:rsid w:val="008A37FE"/>
    <w:rsid w:val="008B5F0B"/>
    <w:rsid w:val="008B78AD"/>
    <w:rsid w:val="008C37F3"/>
    <w:rsid w:val="008C5BE5"/>
    <w:rsid w:val="008C7FED"/>
    <w:rsid w:val="0090595F"/>
    <w:rsid w:val="0090670A"/>
    <w:rsid w:val="00906781"/>
    <w:rsid w:val="009211BA"/>
    <w:rsid w:val="00922838"/>
    <w:rsid w:val="009339E2"/>
    <w:rsid w:val="00942CCA"/>
    <w:rsid w:val="00945930"/>
    <w:rsid w:val="00947118"/>
    <w:rsid w:val="009529F5"/>
    <w:rsid w:val="009572C9"/>
    <w:rsid w:val="009607CA"/>
    <w:rsid w:val="0096088C"/>
    <w:rsid w:val="009728CB"/>
    <w:rsid w:val="00975273"/>
    <w:rsid w:val="009764E0"/>
    <w:rsid w:val="0098148B"/>
    <w:rsid w:val="00983F16"/>
    <w:rsid w:val="00984A71"/>
    <w:rsid w:val="00985B39"/>
    <w:rsid w:val="009866EC"/>
    <w:rsid w:val="0099382A"/>
    <w:rsid w:val="00994C12"/>
    <w:rsid w:val="009A3A67"/>
    <w:rsid w:val="009D1070"/>
    <w:rsid w:val="009D2804"/>
    <w:rsid w:val="009D3350"/>
    <w:rsid w:val="009D66DD"/>
    <w:rsid w:val="009F0766"/>
    <w:rsid w:val="009F19B6"/>
    <w:rsid w:val="009F4B40"/>
    <w:rsid w:val="00A03853"/>
    <w:rsid w:val="00A11F99"/>
    <w:rsid w:val="00A156D9"/>
    <w:rsid w:val="00A243BC"/>
    <w:rsid w:val="00A278DB"/>
    <w:rsid w:val="00A27943"/>
    <w:rsid w:val="00A31D43"/>
    <w:rsid w:val="00A36061"/>
    <w:rsid w:val="00A402C6"/>
    <w:rsid w:val="00A5008B"/>
    <w:rsid w:val="00A65CD4"/>
    <w:rsid w:val="00A70F4C"/>
    <w:rsid w:val="00A736E3"/>
    <w:rsid w:val="00AA6478"/>
    <w:rsid w:val="00AA6A67"/>
    <w:rsid w:val="00AB2670"/>
    <w:rsid w:val="00AB2B0F"/>
    <w:rsid w:val="00AC096E"/>
    <w:rsid w:val="00AC5736"/>
    <w:rsid w:val="00AC69B7"/>
    <w:rsid w:val="00AC7691"/>
    <w:rsid w:val="00AD689E"/>
    <w:rsid w:val="00AD7D6F"/>
    <w:rsid w:val="00AE5A16"/>
    <w:rsid w:val="00AF0A71"/>
    <w:rsid w:val="00AF2833"/>
    <w:rsid w:val="00AF2A0E"/>
    <w:rsid w:val="00B03355"/>
    <w:rsid w:val="00B0469B"/>
    <w:rsid w:val="00B127DF"/>
    <w:rsid w:val="00B14566"/>
    <w:rsid w:val="00B237EB"/>
    <w:rsid w:val="00B24D94"/>
    <w:rsid w:val="00B268E1"/>
    <w:rsid w:val="00B269D7"/>
    <w:rsid w:val="00B303C2"/>
    <w:rsid w:val="00B362C3"/>
    <w:rsid w:val="00B43F7F"/>
    <w:rsid w:val="00B63A00"/>
    <w:rsid w:val="00B651CC"/>
    <w:rsid w:val="00B73F27"/>
    <w:rsid w:val="00B74C14"/>
    <w:rsid w:val="00B92BAD"/>
    <w:rsid w:val="00B9520A"/>
    <w:rsid w:val="00B979F5"/>
    <w:rsid w:val="00BA07A7"/>
    <w:rsid w:val="00BA3056"/>
    <w:rsid w:val="00BB47F3"/>
    <w:rsid w:val="00BC0513"/>
    <w:rsid w:val="00BD0ED0"/>
    <w:rsid w:val="00BE7259"/>
    <w:rsid w:val="00C10571"/>
    <w:rsid w:val="00C14B11"/>
    <w:rsid w:val="00C24E7B"/>
    <w:rsid w:val="00C36E42"/>
    <w:rsid w:val="00C51DAF"/>
    <w:rsid w:val="00C52425"/>
    <w:rsid w:val="00C555AC"/>
    <w:rsid w:val="00C56CDE"/>
    <w:rsid w:val="00C5764E"/>
    <w:rsid w:val="00C64274"/>
    <w:rsid w:val="00C65487"/>
    <w:rsid w:val="00C65987"/>
    <w:rsid w:val="00C74F01"/>
    <w:rsid w:val="00C83D98"/>
    <w:rsid w:val="00C87EB0"/>
    <w:rsid w:val="00C9140D"/>
    <w:rsid w:val="00C92139"/>
    <w:rsid w:val="00C94906"/>
    <w:rsid w:val="00CA0830"/>
    <w:rsid w:val="00CA08E7"/>
    <w:rsid w:val="00CA0BB3"/>
    <w:rsid w:val="00CB7617"/>
    <w:rsid w:val="00CC2CF9"/>
    <w:rsid w:val="00CC55CE"/>
    <w:rsid w:val="00CD3458"/>
    <w:rsid w:val="00CE7048"/>
    <w:rsid w:val="00CF0ED4"/>
    <w:rsid w:val="00CF10A0"/>
    <w:rsid w:val="00D043A5"/>
    <w:rsid w:val="00D06294"/>
    <w:rsid w:val="00D16C9A"/>
    <w:rsid w:val="00D170C8"/>
    <w:rsid w:val="00D20CA5"/>
    <w:rsid w:val="00D22F7F"/>
    <w:rsid w:val="00D23039"/>
    <w:rsid w:val="00D27104"/>
    <w:rsid w:val="00D349E7"/>
    <w:rsid w:val="00D35DA8"/>
    <w:rsid w:val="00D41A51"/>
    <w:rsid w:val="00D4719D"/>
    <w:rsid w:val="00D47863"/>
    <w:rsid w:val="00D51301"/>
    <w:rsid w:val="00D619CB"/>
    <w:rsid w:val="00D66E92"/>
    <w:rsid w:val="00D75966"/>
    <w:rsid w:val="00D76DA8"/>
    <w:rsid w:val="00D76EB9"/>
    <w:rsid w:val="00D97840"/>
    <w:rsid w:val="00DC0F80"/>
    <w:rsid w:val="00DC1C67"/>
    <w:rsid w:val="00DD7D0E"/>
    <w:rsid w:val="00DF02D4"/>
    <w:rsid w:val="00DF2AD8"/>
    <w:rsid w:val="00DF7FCB"/>
    <w:rsid w:val="00E066BD"/>
    <w:rsid w:val="00E1736F"/>
    <w:rsid w:val="00E17FF5"/>
    <w:rsid w:val="00E26009"/>
    <w:rsid w:val="00E3162A"/>
    <w:rsid w:val="00E37C85"/>
    <w:rsid w:val="00E407C9"/>
    <w:rsid w:val="00E46BD6"/>
    <w:rsid w:val="00E5280E"/>
    <w:rsid w:val="00E5401A"/>
    <w:rsid w:val="00E55EDB"/>
    <w:rsid w:val="00E56172"/>
    <w:rsid w:val="00E60002"/>
    <w:rsid w:val="00E63C4E"/>
    <w:rsid w:val="00E730DF"/>
    <w:rsid w:val="00E74D76"/>
    <w:rsid w:val="00E754A7"/>
    <w:rsid w:val="00E81909"/>
    <w:rsid w:val="00E83D4E"/>
    <w:rsid w:val="00E84A18"/>
    <w:rsid w:val="00E84C25"/>
    <w:rsid w:val="00E84FF9"/>
    <w:rsid w:val="00E93BC2"/>
    <w:rsid w:val="00EA7020"/>
    <w:rsid w:val="00EB2FD4"/>
    <w:rsid w:val="00EB7300"/>
    <w:rsid w:val="00EC07E6"/>
    <w:rsid w:val="00EC366B"/>
    <w:rsid w:val="00EC5664"/>
    <w:rsid w:val="00EE0CE1"/>
    <w:rsid w:val="00EE1078"/>
    <w:rsid w:val="00EF79B0"/>
    <w:rsid w:val="00F024DB"/>
    <w:rsid w:val="00F143B1"/>
    <w:rsid w:val="00F1451E"/>
    <w:rsid w:val="00F23CF0"/>
    <w:rsid w:val="00F3777D"/>
    <w:rsid w:val="00F45942"/>
    <w:rsid w:val="00F45AE1"/>
    <w:rsid w:val="00F5192E"/>
    <w:rsid w:val="00F53F01"/>
    <w:rsid w:val="00F57D63"/>
    <w:rsid w:val="00F640B5"/>
    <w:rsid w:val="00F67176"/>
    <w:rsid w:val="00F711B9"/>
    <w:rsid w:val="00F765BA"/>
    <w:rsid w:val="00F80C6F"/>
    <w:rsid w:val="00F81F40"/>
    <w:rsid w:val="00F87BFA"/>
    <w:rsid w:val="00F90DFB"/>
    <w:rsid w:val="00F91089"/>
    <w:rsid w:val="00F91C7B"/>
    <w:rsid w:val="00F94DE6"/>
    <w:rsid w:val="00FA33E4"/>
    <w:rsid w:val="00FB0D99"/>
    <w:rsid w:val="00FB237A"/>
    <w:rsid w:val="00FB27A0"/>
    <w:rsid w:val="00FB523A"/>
    <w:rsid w:val="00FB5471"/>
    <w:rsid w:val="00FB606D"/>
    <w:rsid w:val="00FC1058"/>
    <w:rsid w:val="00FC18D8"/>
    <w:rsid w:val="00FC7BB3"/>
    <w:rsid w:val="00FC7D4F"/>
    <w:rsid w:val="00FD0CCE"/>
    <w:rsid w:val="00FE48C9"/>
    <w:rsid w:val="00FE69B2"/>
    <w:rsid w:val="00FE76FF"/>
    <w:rsid w:val="00FF48B9"/>
    <w:rsid w:val="00FF49EB"/>
    <w:rsid w:val="01680748"/>
    <w:rsid w:val="01A3073B"/>
    <w:rsid w:val="01FB06A5"/>
    <w:rsid w:val="02883661"/>
    <w:rsid w:val="033A18A1"/>
    <w:rsid w:val="0367269D"/>
    <w:rsid w:val="04161698"/>
    <w:rsid w:val="04277401"/>
    <w:rsid w:val="04A9605B"/>
    <w:rsid w:val="05396C19"/>
    <w:rsid w:val="06264A4A"/>
    <w:rsid w:val="063B5B78"/>
    <w:rsid w:val="078A03D3"/>
    <w:rsid w:val="07CA76CE"/>
    <w:rsid w:val="07FC0BA5"/>
    <w:rsid w:val="085B0DBB"/>
    <w:rsid w:val="08E33793"/>
    <w:rsid w:val="093B2814"/>
    <w:rsid w:val="09434D9D"/>
    <w:rsid w:val="09B554AF"/>
    <w:rsid w:val="09F92B1D"/>
    <w:rsid w:val="0A694752"/>
    <w:rsid w:val="0AD10D6A"/>
    <w:rsid w:val="0B5E36D3"/>
    <w:rsid w:val="0B856390"/>
    <w:rsid w:val="0BB30987"/>
    <w:rsid w:val="0BDF1074"/>
    <w:rsid w:val="0C76193E"/>
    <w:rsid w:val="0C8C2B8C"/>
    <w:rsid w:val="0D692839"/>
    <w:rsid w:val="0DCA1AB9"/>
    <w:rsid w:val="0DF07EE3"/>
    <w:rsid w:val="0DFF6F2E"/>
    <w:rsid w:val="0E643518"/>
    <w:rsid w:val="0F102792"/>
    <w:rsid w:val="0F8B118C"/>
    <w:rsid w:val="10344DD0"/>
    <w:rsid w:val="10633DCE"/>
    <w:rsid w:val="107B4D5D"/>
    <w:rsid w:val="10DD4EBB"/>
    <w:rsid w:val="12AE0195"/>
    <w:rsid w:val="130A103D"/>
    <w:rsid w:val="135F0966"/>
    <w:rsid w:val="13985B17"/>
    <w:rsid w:val="14CB5B87"/>
    <w:rsid w:val="152F6116"/>
    <w:rsid w:val="155C3CBE"/>
    <w:rsid w:val="159E329B"/>
    <w:rsid w:val="15F93F79"/>
    <w:rsid w:val="162B62D2"/>
    <w:rsid w:val="16693DC2"/>
    <w:rsid w:val="16AD7FB9"/>
    <w:rsid w:val="16BD4634"/>
    <w:rsid w:val="17EDC74B"/>
    <w:rsid w:val="183F1493"/>
    <w:rsid w:val="18FC4FBA"/>
    <w:rsid w:val="190768CF"/>
    <w:rsid w:val="19AF3334"/>
    <w:rsid w:val="19F5075E"/>
    <w:rsid w:val="1AAB4A91"/>
    <w:rsid w:val="1ADF05DE"/>
    <w:rsid w:val="1B0E4ACA"/>
    <w:rsid w:val="1B8B48E8"/>
    <w:rsid w:val="1C3E3265"/>
    <w:rsid w:val="1C8659B7"/>
    <w:rsid w:val="1C9808FD"/>
    <w:rsid w:val="1D2422E4"/>
    <w:rsid w:val="1D934311"/>
    <w:rsid w:val="1DB6582E"/>
    <w:rsid w:val="1F096FB1"/>
    <w:rsid w:val="1F533349"/>
    <w:rsid w:val="1F71BC3C"/>
    <w:rsid w:val="201E137B"/>
    <w:rsid w:val="20BD1F44"/>
    <w:rsid w:val="214135A7"/>
    <w:rsid w:val="21667363"/>
    <w:rsid w:val="216830DB"/>
    <w:rsid w:val="21BF009D"/>
    <w:rsid w:val="22873147"/>
    <w:rsid w:val="229233C9"/>
    <w:rsid w:val="22B90D41"/>
    <w:rsid w:val="23001DD5"/>
    <w:rsid w:val="23737E65"/>
    <w:rsid w:val="23DA218B"/>
    <w:rsid w:val="252F365E"/>
    <w:rsid w:val="25FE291E"/>
    <w:rsid w:val="263611B5"/>
    <w:rsid w:val="27143262"/>
    <w:rsid w:val="288F7729"/>
    <w:rsid w:val="29F90ABD"/>
    <w:rsid w:val="2A0D1A99"/>
    <w:rsid w:val="2A213392"/>
    <w:rsid w:val="2A5700B2"/>
    <w:rsid w:val="2AC96FF6"/>
    <w:rsid w:val="2AE76B06"/>
    <w:rsid w:val="2B5E7BEB"/>
    <w:rsid w:val="2C9F3729"/>
    <w:rsid w:val="2CDA604D"/>
    <w:rsid w:val="2D441354"/>
    <w:rsid w:val="2D5304A2"/>
    <w:rsid w:val="2D68079A"/>
    <w:rsid w:val="2DA84860"/>
    <w:rsid w:val="2DF700D9"/>
    <w:rsid w:val="2E4550FC"/>
    <w:rsid w:val="2E514683"/>
    <w:rsid w:val="2EBACCEC"/>
    <w:rsid w:val="2EBD433B"/>
    <w:rsid w:val="2F276578"/>
    <w:rsid w:val="2F753788"/>
    <w:rsid w:val="2FF62EC1"/>
    <w:rsid w:val="2FFC7DCE"/>
    <w:rsid w:val="329543F6"/>
    <w:rsid w:val="32C1444F"/>
    <w:rsid w:val="33072028"/>
    <w:rsid w:val="331F1834"/>
    <w:rsid w:val="34671B17"/>
    <w:rsid w:val="361C5DEB"/>
    <w:rsid w:val="36616294"/>
    <w:rsid w:val="368F078E"/>
    <w:rsid w:val="374F01EB"/>
    <w:rsid w:val="376213FE"/>
    <w:rsid w:val="376D011C"/>
    <w:rsid w:val="38891DB8"/>
    <w:rsid w:val="38A16843"/>
    <w:rsid w:val="38FF40CB"/>
    <w:rsid w:val="398E6CC1"/>
    <w:rsid w:val="398F5D75"/>
    <w:rsid w:val="399125CB"/>
    <w:rsid w:val="39A91FD3"/>
    <w:rsid w:val="39EC551B"/>
    <w:rsid w:val="3ABA7D5B"/>
    <w:rsid w:val="3B2E0A9A"/>
    <w:rsid w:val="3C4F4F38"/>
    <w:rsid w:val="3C9F6A2C"/>
    <w:rsid w:val="3CA5540E"/>
    <w:rsid w:val="3CE416AE"/>
    <w:rsid w:val="3D4E0105"/>
    <w:rsid w:val="3D6764E5"/>
    <w:rsid w:val="3E82529D"/>
    <w:rsid w:val="3EAD0C0C"/>
    <w:rsid w:val="3F7FF403"/>
    <w:rsid w:val="41F15E70"/>
    <w:rsid w:val="4204798B"/>
    <w:rsid w:val="42BF5395"/>
    <w:rsid w:val="436C4015"/>
    <w:rsid w:val="43772DF4"/>
    <w:rsid w:val="43C35D22"/>
    <w:rsid w:val="43D025F5"/>
    <w:rsid w:val="441A20EA"/>
    <w:rsid w:val="443469F5"/>
    <w:rsid w:val="44421112"/>
    <w:rsid w:val="44FD328B"/>
    <w:rsid w:val="455D76AC"/>
    <w:rsid w:val="45FB2607"/>
    <w:rsid w:val="462F56C6"/>
    <w:rsid w:val="46D30747"/>
    <w:rsid w:val="472E36B4"/>
    <w:rsid w:val="47C977CB"/>
    <w:rsid w:val="47F15329"/>
    <w:rsid w:val="48B06F92"/>
    <w:rsid w:val="48B76D8F"/>
    <w:rsid w:val="49DD2383"/>
    <w:rsid w:val="4C1F3EFD"/>
    <w:rsid w:val="4CA639F1"/>
    <w:rsid w:val="4CE34B9C"/>
    <w:rsid w:val="4CFA6D47"/>
    <w:rsid w:val="4D38031C"/>
    <w:rsid w:val="4EAD471B"/>
    <w:rsid w:val="50EF43CF"/>
    <w:rsid w:val="52243A6A"/>
    <w:rsid w:val="52DC6B50"/>
    <w:rsid w:val="535E0F14"/>
    <w:rsid w:val="53682217"/>
    <w:rsid w:val="53D31D87"/>
    <w:rsid w:val="54CB12CB"/>
    <w:rsid w:val="557E53F1"/>
    <w:rsid w:val="56226E9B"/>
    <w:rsid w:val="56D714C5"/>
    <w:rsid w:val="57E61A10"/>
    <w:rsid w:val="57FF4FBB"/>
    <w:rsid w:val="58D36AC3"/>
    <w:rsid w:val="58DE7204"/>
    <w:rsid w:val="594E097A"/>
    <w:rsid w:val="598310D4"/>
    <w:rsid w:val="59F65C7E"/>
    <w:rsid w:val="5A7D2A4C"/>
    <w:rsid w:val="5ACC4005"/>
    <w:rsid w:val="5AF84720"/>
    <w:rsid w:val="5B64133E"/>
    <w:rsid w:val="5B9A4CA7"/>
    <w:rsid w:val="5BD60666"/>
    <w:rsid w:val="5BE661BF"/>
    <w:rsid w:val="5CB33954"/>
    <w:rsid w:val="5D131446"/>
    <w:rsid w:val="5D7A3760"/>
    <w:rsid w:val="5F2D2C93"/>
    <w:rsid w:val="5FBF5A6B"/>
    <w:rsid w:val="5FC23025"/>
    <w:rsid w:val="5FF82565"/>
    <w:rsid w:val="6098413C"/>
    <w:rsid w:val="60E63616"/>
    <w:rsid w:val="60FB2C8B"/>
    <w:rsid w:val="61907CF7"/>
    <w:rsid w:val="61C548D6"/>
    <w:rsid w:val="62F55170"/>
    <w:rsid w:val="63123A52"/>
    <w:rsid w:val="631877B6"/>
    <w:rsid w:val="63441F36"/>
    <w:rsid w:val="641941AB"/>
    <w:rsid w:val="649B069F"/>
    <w:rsid w:val="649E0E16"/>
    <w:rsid w:val="64C701D0"/>
    <w:rsid w:val="65501489"/>
    <w:rsid w:val="65683634"/>
    <w:rsid w:val="657E0B48"/>
    <w:rsid w:val="6612673F"/>
    <w:rsid w:val="66264D37"/>
    <w:rsid w:val="662B15AE"/>
    <w:rsid w:val="67FA3CBD"/>
    <w:rsid w:val="67FF5FF1"/>
    <w:rsid w:val="686F3A8E"/>
    <w:rsid w:val="688D6DBF"/>
    <w:rsid w:val="691B00F9"/>
    <w:rsid w:val="69BE70C4"/>
    <w:rsid w:val="69F831FA"/>
    <w:rsid w:val="6A2A1384"/>
    <w:rsid w:val="6AFEE48C"/>
    <w:rsid w:val="6B3F2C57"/>
    <w:rsid w:val="6B5E0AAF"/>
    <w:rsid w:val="6BD050D2"/>
    <w:rsid w:val="6BD31768"/>
    <w:rsid w:val="6C2E1DF8"/>
    <w:rsid w:val="6C6A75A5"/>
    <w:rsid w:val="6D103417"/>
    <w:rsid w:val="6D342528"/>
    <w:rsid w:val="6D73A7A8"/>
    <w:rsid w:val="6DED540B"/>
    <w:rsid w:val="6EC205F2"/>
    <w:rsid w:val="6FCBA9A0"/>
    <w:rsid w:val="717383BB"/>
    <w:rsid w:val="71EA46D2"/>
    <w:rsid w:val="72556080"/>
    <w:rsid w:val="72FB5971"/>
    <w:rsid w:val="731F3CDF"/>
    <w:rsid w:val="7367CFA8"/>
    <w:rsid w:val="7368470D"/>
    <w:rsid w:val="73762533"/>
    <w:rsid w:val="73F6855F"/>
    <w:rsid w:val="743E50DD"/>
    <w:rsid w:val="74507E06"/>
    <w:rsid w:val="74FB6D7E"/>
    <w:rsid w:val="74FC1995"/>
    <w:rsid w:val="74FD2CB8"/>
    <w:rsid w:val="75ED062E"/>
    <w:rsid w:val="75F93A28"/>
    <w:rsid w:val="75FF44DB"/>
    <w:rsid w:val="76413F68"/>
    <w:rsid w:val="765C6DB5"/>
    <w:rsid w:val="76B529FB"/>
    <w:rsid w:val="77210E87"/>
    <w:rsid w:val="77B1FF77"/>
    <w:rsid w:val="77FD9F4D"/>
    <w:rsid w:val="785A2E96"/>
    <w:rsid w:val="797F503F"/>
    <w:rsid w:val="799A7C87"/>
    <w:rsid w:val="7A2A0ED3"/>
    <w:rsid w:val="7A6B49A6"/>
    <w:rsid w:val="7AC35E02"/>
    <w:rsid w:val="7AD16771"/>
    <w:rsid w:val="7B116B6D"/>
    <w:rsid w:val="7B5615BC"/>
    <w:rsid w:val="7B7FB31D"/>
    <w:rsid w:val="7B973D59"/>
    <w:rsid w:val="7BAE59D5"/>
    <w:rsid w:val="7BEC7AA8"/>
    <w:rsid w:val="7BFD26D4"/>
    <w:rsid w:val="7BFE8EC0"/>
    <w:rsid w:val="7DA61B5B"/>
    <w:rsid w:val="7DF77DD2"/>
    <w:rsid w:val="7DFFA53F"/>
    <w:rsid w:val="7EB0785F"/>
    <w:rsid w:val="7EEBF4F2"/>
    <w:rsid w:val="7F2FE11E"/>
    <w:rsid w:val="7F5F1F28"/>
    <w:rsid w:val="7F6E0A32"/>
    <w:rsid w:val="7F7BA24F"/>
    <w:rsid w:val="7FAB99E8"/>
    <w:rsid w:val="7FB746D5"/>
    <w:rsid w:val="7FDE543C"/>
    <w:rsid w:val="9FDFE35B"/>
    <w:rsid w:val="AFFAF8E5"/>
    <w:rsid w:val="B8F7F9A2"/>
    <w:rsid w:val="BFE91347"/>
    <w:rsid w:val="CBDF8A08"/>
    <w:rsid w:val="DB7451F2"/>
    <w:rsid w:val="DC9FCBEB"/>
    <w:rsid w:val="E9D78A37"/>
    <w:rsid w:val="EBCD529C"/>
    <w:rsid w:val="EBDFC38F"/>
    <w:rsid w:val="EBE7CAE1"/>
    <w:rsid w:val="EE7BAC7D"/>
    <w:rsid w:val="F2EFD742"/>
    <w:rsid w:val="F3DECE3F"/>
    <w:rsid w:val="F4AC7F92"/>
    <w:rsid w:val="F77B9D5A"/>
    <w:rsid w:val="F78CA074"/>
    <w:rsid w:val="F7DED60E"/>
    <w:rsid w:val="F86E6AB1"/>
    <w:rsid w:val="F9EAE13C"/>
    <w:rsid w:val="FAFD401C"/>
    <w:rsid w:val="FB6B9550"/>
    <w:rsid w:val="FB735437"/>
    <w:rsid w:val="FBFF0F16"/>
    <w:rsid w:val="FD7E2DDA"/>
    <w:rsid w:val="FDEF3302"/>
    <w:rsid w:val="FDF7D648"/>
    <w:rsid w:val="FE4DE1B6"/>
    <w:rsid w:val="FE5391AB"/>
    <w:rsid w:val="FFADF011"/>
    <w:rsid w:val="FFE15F73"/>
    <w:rsid w:val="FFF26CD7"/>
    <w:rsid w:val="FFFB041A"/>
    <w:rsid w:val="FFFF60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78" w:lineRule="auto"/>
      <w:jc w:val="both"/>
    </w:pPr>
    <w:rPr>
      <w:rFonts w:ascii="Times New Roman" w:hAnsi="Times New Roman" w:eastAsia="宋体" w:cs="Times New Roman"/>
      <w:kern w:val="2"/>
      <w:sz w:val="21"/>
      <w:lang w:val="en-US" w:eastAsia="zh-CN" w:bidi="ar-SA"/>
    </w:rPr>
  </w:style>
  <w:style w:type="paragraph" w:styleId="2">
    <w:name w:val="heading 1"/>
    <w:basedOn w:val="1"/>
    <w:next w:val="1"/>
    <w:link w:val="23"/>
    <w:qFormat/>
    <w:uiPriority w:val="9"/>
    <w:pPr>
      <w:keepNext/>
      <w:keepLines/>
      <w:widowControl/>
      <w:spacing w:before="340" w:after="330" w:line="578" w:lineRule="auto"/>
      <w:jc w:val="left"/>
      <w:outlineLvl w:val="0"/>
    </w:pPr>
    <w:rPr>
      <w:b/>
      <w:bCs/>
      <w:kern w:val="44"/>
      <w:sz w:val="44"/>
      <w:szCs w:val="44"/>
    </w:rPr>
  </w:style>
  <w:style w:type="paragraph" w:styleId="3">
    <w:name w:val="heading 2"/>
    <w:basedOn w:val="1"/>
    <w:next w:val="1"/>
    <w:link w:val="2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9"/>
    <w:semiHidden/>
    <w:unhideWhenUsed/>
    <w:qFormat/>
    <w:uiPriority w:val="99"/>
    <w:pPr>
      <w:widowControl/>
      <w:jc w:val="left"/>
    </w:pPr>
  </w:style>
  <w:style w:type="paragraph" w:styleId="5">
    <w:name w:val="toc 3"/>
    <w:basedOn w:val="1"/>
    <w:next w:val="1"/>
    <w:unhideWhenUsed/>
    <w:qFormat/>
    <w:uiPriority w:val="39"/>
    <w:pPr>
      <w:widowControl/>
      <w:spacing w:after="100" w:line="259" w:lineRule="auto"/>
      <w:ind w:left="440"/>
      <w:jc w:val="left"/>
    </w:pPr>
    <w:rPr>
      <w:rFonts w:asciiTheme="minorHAnsi" w:hAnsiTheme="minorHAnsi" w:eastAsiaTheme="minorEastAsia"/>
      <w:kern w:val="0"/>
      <w:sz w:val="22"/>
      <w:szCs w:val="22"/>
    </w:rPr>
  </w:style>
  <w:style w:type="paragraph" w:styleId="6">
    <w:name w:val="Plain Text"/>
    <w:basedOn w:val="1"/>
    <w:link w:val="30"/>
    <w:qFormat/>
    <w:uiPriority w:val="0"/>
    <w:pPr>
      <w:spacing w:line="360" w:lineRule="auto"/>
      <w:ind w:firstLine="480" w:firstLineChars="200"/>
    </w:pPr>
    <w:rPr>
      <w:rFonts w:ascii="仿宋_GB2312"/>
      <w:sz w:val="24"/>
    </w:rPr>
  </w:style>
  <w:style w:type="paragraph" w:styleId="7">
    <w:name w:val="Body Text Indent 2"/>
    <w:basedOn w:val="1"/>
    <w:link w:val="33"/>
    <w:qFormat/>
    <w:uiPriority w:val="0"/>
    <w:pPr>
      <w:widowControl/>
      <w:ind w:firstLine="562" w:firstLineChars="200"/>
      <w:jc w:val="left"/>
    </w:pPr>
    <w:rPr>
      <w:b/>
      <w:bCs/>
      <w:sz w:val="28"/>
      <w:szCs w:val="24"/>
    </w:rPr>
  </w:style>
  <w:style w:type="paragraph" w:styleId="8">
    <w:name w:val="Balloon Text"/>
    <w:basedOn w:val="1"/>
    <w:link w:val="28"/>
    <w:semiHidden/>
    <w:unhideWhenUsed/>
    <w:qFormat/>
    <w:uiPriority w:val="99"/>
    <w:rPr>
      <w:sz w:val="18"/>
      <w:szCs w:val="18"/>
    </w:rPr>
  </w:style>
  <w:style w:type="paragraph" w:styleId="9">
    <w:name w:val="footer"/>
    <w:basedOn w:val="1"/>
    <w:link w:val="26"/>
    <w:unhideWhenUsed/>
    <w:qFormat/>
    <w:uiPriority w:val="99"/>
    <w:pPr>
      <w:tabs>
        <w:tab w:val="center" w:pos="4153"/>
        <w:tab w:val="right" w:pos="8306"/>
      </w:tabs>
      <w:snapToGrid w:val="0"/>
      <w:jc w:val="left"/>
    </w:pPr>
    <w:rPr>
      <w:sz w:val="18"/>
      <w:szCs w:val="18"/>
    </w:rPr>
  </w:style>
  <w:style w:type="paragraph" w:styleId="10">
    <w:name w:val="header"/>
    <w:basedOn w:val="1"/>
    <w:link w:val="25"/>
    <w:unhideWhenUsed/>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widowControl/>
      <w:tabs>
        <w:tab w:val="right" w:leader="dot" w:pos="8720"/>
      </w:tabs>
      <w:spacing w:after="100" w:afterAutospacing="1" w:line="360" w:lineRule="auto"/>
      <w:jc w:val="left"/>
    </w:pPr>
    <w:rPr>
      <w:rFonts w:ascii="仿宋_GB2312" w:hAnsi="宋体" w:eastAsia="仿宋_GB2312"/>
      <w:b/>
      <w:bCs/>
      <w:kern w:val="0"/>
      <w:sz w:val="32"/>
      <w:szCs w:val="32"/>
    </w:rPr>
  </w:style>
  <w:style w:type="paragraph" w:styleId="12">
    <w:name w:val="toc 2"/>
    <w:basedOn w:val="1"/>
    <w:next w:val="1"/>
    <w:unhideWhenUsed/>
    <w:qFormat/>
    <w:uiPriority w:val="39"/>
    <w:pPr>
      <w:ind w:left="420" w:leftChars="200"/>
    </w:pPr>
  </w:style>
  <w:style w:type="paragraph" w:styleId="13">
    <w:name w:val="Normal (Web)"/>
    <w:basedOn w:val="1"/>
    <w:semiHidden/>
    <w:unhideWhenUsed/>
    <w:qFormat/>
    <w:uiPriority w:val="0"/>
    <w:pPr>
      <w:widowControl/>
      <w:spacing w:before="100" w:beforeAutospacing="1" w:after="100" w:afterAutospacing="1"/>
      <w:jc w:val="left"/>
    </w:pPr>
    <w:rPr>
      <w:rFonts w:ascii="宋体" w:hAnsi="宋体" w:cs="宋体"/>
      <w:kern w:val="0"/>
      <w:sz w:val="24"/>
      <w:szCs w:val="24"/>
    </w:rPr>
  </w:style>
  <w:style w:type="paragraph" w:styleId="14">
    <w:name w:val="Title"/>
    <w:basedOn w:val="1"/>
    <w:next w:val="1"/>
    <w:link w:val="34"/>
    <w:qFormat/>
    <w:uiPriority w:val="0"/>
    <w:pPr>
      <w:widowControl/>
      <w:spacing w:before="240" w:after="60"/>
      <w:jc w:val="center"/>
      <w:outlineLvl w:val="0"/>
    </w:pPr>
    <w:rPr>
      <w:rFonts w:ascii="Cambria" w:hAnsi="Cambria" w:eastAsia="黑体"/>
      <w:b/>
      <w:bCs/>
      <w:sz w:val="52"/>
      <w:szCs w:val="32"/>
    </w:rPr>
  </w:style>
  <w:style w:type="paragraph" w:styleId="15">
    <w:name w:val="annotation subject"/>
    <w:basedOn w:val="4"/>
    <w:next w:val="4"/>
    <w:link w:val="35"/>
    <w:semiHidden/>
    <w:unhideWhenUsed/>
    <w:qFormat/>
    <w:uiPriority w:val="99"/>
    <w:rPr>
      <w:b/>
      <w:bCs/>
    </w:rPr>
  </w:style>
  <w:style w:type="table" w:styleId="17">
    <w:name w:val="Table Grid"/>
    <w:basedOn w:val="1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0"/>
    <w:rPr>
      <w:b/>
      <w:bCs/>
    </w:rPr>
  </w:style>
  <w:style w:type="character" w:styleId="20">
    <w:name w:val="page number"/>
    <w:basedOn w:val="18"/>
    <w:qFormat/>
    <w:uiPriority w:val="0"/>
  </w:style>
  <w:style w:type="character" w:styleId="21">
    <w:name w:val="Hyperlink"/>
    <w:qFormat/>
    <w:uiPriority w:val="99"/>
    <w:rPr>
      <w:color w:val="0000FF"/>
      <w:u w:val="single"/>
    </w:rPr>
  </w:style>
  <w:style w:type="character" w:styleId="22">
    <w:name w:val="annotation reference"/>
    <w:basedOn w:val="18"/>
    <w:semiHidden/>
    <w:unhideWhenUsed/>
    <w:qFormat/>
    <w:uiPriority w:val="99"/>
    <w:rPr>
      <w:sz w:val="21"/>
      <w:szCs w:val="21"/>
    </w:rPr>
  </w:style>
  <w:style w:type="character" w:customStyle="1" w:styleId="23">
    <w:name w:val="标题 1 字符"/>
    <w:basedOn w:val="18"/>
    <w:link w:val="2"/>
    <w:qFormat/>
    <w:uiPriority w:val="9"/>
    <w:rPr>
      <w:rFonts w:ascii="Times New Roman" w:hAnsi="Times New Roman" w:eastAsia="宋体" w:cs="Times New Roman"/>
      <w:b/>
      <w:bCs/>
      <w:kern w:val="44"/>
      <w:sz w:val="44"/>
      <w:szCs w:val="44"/>
    </w:rPr>
  </w:style>
  <w:style w:type="character" w:customStyle="1" w:styleId="24">
    <w:name w:val="标题 2 字符"/>
    <w:basedOn w:val="18"/>
    <w:link w:val="3"/>
    <w:qFormat/>
    <w:uiPriority w:val="9"/>
    <w:rPr>
      <w:rFonts w:asciiTheme="majorHAnsi" w:hAnsiTheme="majorHAnsi" w:eastAsiaTheme="majorEastAsia" w:cstheme="majorBidi"/>
      <w:b/>
      <w:bCs/>
      <w:sz w:val="32"/>
      <w:szCs w:val="32"/>
    </w:rPr>
  </w:style>
  <w:style w:type="character" w:customStyle="1" w:styleId="25">
    <w:name w:val="页眉 字符"/>
    <w:basedOn w:val="18"/>
    <w:link w:val="10"/>
    <w:qFormat/>
    <w:uiPriority w:val="0"/>
    <w:rPr>
      <w:sz w:val="18"/>
      <w:szCs w:val="18"/>
    </w:rPr>
  </w:style>
  <w:style w:type="character" w:customStyle="1" w:styleId="26">
    <w:name w:val="页脚 字符"/>
    <w:basedOn w:val="18"/>
    <w:link w:val="9"/>
    <w:qFormat/>
    <w:uiPriority w:val="99"/>
    <w:rPr>
      <w:sz w:val="18"/>
      <w:szCs w:val="18"/>
    </w:rPr>
  </w:style>
  <w:style w:type="paragraph" w:customStyle="1" w:styleId="27">
    <w:name w:val="样式1"/>
    <w:basedOn w:val="1"/>
    <w:qFormat/>
    <w:uiPriority w:val="0"/>
    <w:pPr>
      <w:spacing w:line="600" w:lineRule="exact"/>
      <w:ind w:firstLine="200" w:firstLineChars="200"/>
    </w:pPr>
    <w:rPr>
      <w:rFonts w:eastAsia="方正仿宋简体"/>
      <w:bCs/>
      <w:snapToGrid w:val="0"/>
      <w:kern w:val="0"/>
      <w:sz w:val="32"/>
      <w:szCs w:val="32"/>
    </w:rPr>
  </w:style>
  <w:style w:type="character" w:customStyle="1" w:styleId="28">
    <w:name w:val="批注框文本 字符"/>
    <w:basedOn w:val="18"/>
    <w:link w:val="8"/>
    <w:semiHidden/>
    <w:qFormat/>
    <w:uiPriority w:val="99"/>
    <w:rPr>
      <w:rFonts w:ascii="Times New Roman" w:hAnsi="Times New Roman" w:eastAsia="宋体" w:cs="Times New Roman"/>
      <w:sz w:val="18"/>
      <w:szCs w:val="18"/>
    </w:rPr>
  </w:style>
  <w:style w:type="character" w:customStyle="1" w:styleId="29">
    <w:name w:val="批注文字 字符"/>
    <w:basedOn w:val="18"/>
    <w:link w:val="4"/>
    <w:semiHidden/>
    <w:qFormat/>
    <w:uiPriority w:val="99"/>
    <w:rPr>
      <w:rFonts w:ascii="Times New Roman" w:hAnsi="Times New Roman" w:eastAsia="宋体" w:cs="Times New Roman"/>
      <w:szCs w:val="20"/>
    </w:rPr>
  </w:style>
  <w:style w:type="character" w:customStyle="1" w:styleId="30">
    <w:name w:val="纯文本 字符"/>
    <w:basedOn w:val="18"/>
    <w:link w:val="6"/>
    <w:qFormat/>
    <w:uiPriority w:val="0"/>
    <w:rPr>
      <w:rFonts w:ascii="仿宋_GB2312" w:hAnsi="Times New Roman" w:eastAsia="宋体" w:cs="Times New Roman"/>
      <w:sz w:val="24"/>
      <w:szCs w:val="20"/>
    </w:rPr>
  </w:style>
  <w:style w:type="paragraph" w:customStyle="1" w:styleId="31">
    <w:name w:val="_Style 8"/>
    <w:basedOn w:val="1"/>
    <w:next w:val="1"/>
    <w:qFormat/>
    <w:uiPriority w:val="0"/>
    <w:pPr>
      <w:spacing w:line="360" w:lineRule="auto"/>
      <w:ind w:firstLine="480" w:firstLineChars="200"/>
    </w:pPr>
    <w:rPr>
      <w:rFonts w:ascii="仿宋_GB2312"/>
      <w:sz w:val="24"/>
    </w:rPr>
  </w:style>
  <w:style w:type="paragraph" w:styleId="32">
    <w:name w:val="List Paragraph"/>
    <w:basedOn w:val="1"/>
    <w:qFormat/>
    <w:uiPriority w:val="34"/>
    <w:pPr>
      <w:ind w:firstLine="420" w:firstLineChars="200"/>
    </w:pPr>
    <w:rPr>
      <w:rFonts w:ascii="仿宋_GB2312" w:eastAsia="仿宋_GB2312"/>
      <w:spacing w:val="-4"/>
      <w:sz w:val="32"/>
    </w:rPr>
  </w:style>
  <w:style w:type="character" w:customStyle="1" w:styleId="33">
    <w:name w:val="正文文本缩进 2 字符"/>
    <w:basedOn w:val="18"/>
    <w:link w:val="7"/>
    <w:qFormat/>
    <w:uiPriority w:val="0"/>
    <w:rPr>
      <w:rFonts w:ascii="Times New Roman" w:hAnsi="Times New Roman" w:eastAsia="宋体" w:cs="Times New Roman"/>
      <w:b/>
      <w:bCs/>
      <w:sz w:val="28"/>
      <w:szCs w:val="24"/>
    </w:rPr>
  </w:style>
  <w:style w:type="character" w:customStyle="1" w:styleId="34">
    <w:name w:val="标题 字符"/>
    <w:basedOn w:val="18"/>
    <w:link w:val="14"/>
    <w:qFormat/>
    <w:uiPriority w:val="0"/>
    <w:rPr>
      <w:rFonts w:ascii="Cambria" w:hAnsi="Cambria" w:eastAsia="黑体" w:cs="Times New Roman"/>
      <w:b/>
      <w:bCs/>
      <w:sz w:val="52"/>
      <w:szCs w:val="32"/>
    </w:rPr>
  </w:style>
  <w:style w:type="character" w:customStyle="1" w:styleId="35">
    <w:name w:val="批注主题 字符"/>
    <w:basedOn w:val="29"/>
    <w:link w:val="15"/>
    <w:semiHidden/>
    <w:qFormat/>
    <w:uiPriority w:val="99"/>
    <w:rPr>
      <w:rFonts w:ascii="Times New Roman" w:hAnsi="Times New Roman" w:eastAsia="宋体" w:cs="Times New Roman"/>
      <w:b/>
      <w:bCs/>
      <w:szCs w:val="20"/>
    </w:rPr>
  </w:style>
  <w:style w:type="character" w:customStyle="1" w:styleId="36">
    <w:name w:val="title1"/>
    <w:qFormat/>
    <w:uiPriority w:val="0"/>
    <w:rPr>
      <w:b/>
      <w:bCs/>
      <w:color w:val="999900"/>
      <w:sz w:val="24"/>
      <w:szCs w:val="24"/>
    </w:rPr>
  </w:style>
  <w:style w:type="paragraph" w:customStyle="1" w:styleId="37">
    <w:name w:val="TOC 标题1"/>
    <w:basedOn w:val="2"/>
    <w:next w:val="1"/>
    <w:unhideWhenUsed/>
    <w:qFormat/>
    <w:uiPriority w:val="39"/>
    <w:pPr>
      <w:spacing w:before="240" w:after="0" w:line="259" w:lineRule="auto"/>
      <w:outlineLvl w:val="9"/>
    </w:pPr>
    <w:rPr>
      <w:rFonts w:asciiTheme="majorHAnsi" w:hAnsiTheme="majorHAnsi" w:eastAsiaTheme="majorEastAsia" w:cstheme="majorBidi"/>
      <w:b w:val="0"/>
      <w:bCs w:val="0"/>
      <w:color w:val="376092" w:themeColor="accent1" w:themeShade="BF"/>
      <w:kern w:val="0"/>
      <w:sz w:val="32"/>
      <w:szCs w:val="32"/>
    </w:rPr>
  </w:style>
  <w:style w:type="paragraph" w:customStyle="1" w:styleId="38">
    <w:name w:val="Revision"/>
    <w:hidden/>
    <w:unhideWhenUsed/>
    <w:qFormat/>
    <w:uiPriority w:val="99"/>
    <w:pPr>
      <w:spacing w:after="0" w:line="240" w:lineRule="auto"/>
    </w:pPr>
    <w:rPr>
      <w:rFonts w:ascii="Times New Roman" w:hAnsi="Times New Roman"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3</Pages>
  <Words>1583</Words>
  <Characters>1916</Characters>
  <Lines>2</Lines>
  <Paragraphs>1</Paragraphs>
  <TotalTime>89</TotalTime>
  <ScaleCrop>false</ScaleCrop>
  <LinksUpToDate>false</LinksUpToDate>
  <CharactersWithSpaces>1959</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2022-01-27T08:15:00Z</dcterms:created>
  <dc:creator>胡胜链</dc:creator>
  <cp:lastModifiedBy>阳光天下</cp:lastModifiedBy>
  <cp:lastPrinted>2026-06-18T02:39:36Z</cp:lastPrinted>
  <dcterms:modified xsi:type="dcterms:W3CDTF">2026-06-18T07:36:50Z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03A81C150EDA4DE7A430233620365E03_13</vt:lpwstr>
  </property>
  <property fmtid="{D5CDD505-2E9C-101B-9397-08002B2CF9AE}" pid="4" name="KSOTemplateDocerSaveRecord">
    <vt:lpwstr>eyJoZGlkIjoiOWY3ZTkzZWI1YTA2MWViNTlhYWY4MDE3ZWYyMTZjYjMiLCJ1c2VySWQiOiI0ODAyOTYxMTgifQ==</vt:lpwstr>
  </property>
</Properties>
</file>