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ED229">
      <w:pPr>
        <w:jc w:val="center"/>
        <w:rPr>
          <w:rStyle w:val="8"/>
          <w:rFonts w:eastAsia="方正小标宋简体"/>
          <w:bCs w:val="0"/>
          <w:color w:val="auto"/>
          <w:sz w:val="36"/>
          <w:szCs w:val="36"/>
        </w:rPr>
      </w:pPr>
      <w:r>
        <w:rPr>
          <w:rStyle w:val="8"/>
          <w:rFonts w:hint="eastAsia" w:ascii="微软雅黑" w:hAnsi="微软雅黑" w:eastAsia="微软雅黑" w:cs="微软雅黑"/>
          <w:color w:val="auto"/>
          <w:sz w:val="36"/>
          <w:szCs w:val="36"/>
        </w:rPr>
        <w:t>第六届妇幼健康科学技术奖公示信息表</w:t>
      </w:r>
    </w:p>
    <w:p w14:paraId="37EECFE6">
      <w:pPr>
        <w:spacing w:line="440" w:lineRule="exact"/>
        <w:rPr>
          <w:rFonts w:hint="eastAsia" w:ascii="宋体" w:hAnsi="宋体"/>
          <w:sz w:val="28"/>
          <w:szCs w:val="24"/>
        </w:rPr>
      </w:pPr>
      <w:r>
        <w:rPr>
          <w:rFonts w:ascii="宋体" w:hAnsi="宋体"/>
          <w:b/>
          <w:bCs/>
          <w:sz w:val="28"/>
          <w:szCs w:val="24"/>
        </w:rPr>
        <w:t>提名奖项：</w:t>
      </w:r>
      <w:r>
        <w:rPr>
          <w:rFonts w:hint="eastAsia" w:eastAsia="仿宋"/>
          <w:b/>
          <w:bCs/>
          <w:sz w:val="30"/>
          <w:szCs w:val="30"/>
        </w:rPr>
        <w:t>科技成果奖</w:t>
      </w:r>
    </w:p>
    <w:tbl>
      <w:tblPr>
        <w:tblStyle w:val="5"/>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700B0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07E1C849">
            <w:pPr>
              <w:jc w:val="center"/>
              <w:rPr>
                <w:rStyle w:val="8"/>
                <w:rFonts w:hint="eastAsia" w:ascii="宋体" w:hAnsi="宋体"/>
                <w:b w:val="0"/>
                <w:bCs w:val="0"/>
                <w:color w:val="auto"/>
                <w:sz w:val="28"/>
              </w:rPr>
            </w:pPr>
            <w:r>
              <w:rPr>
                <w:rStyle w:val="8"/>
                <w:rFonts w:hint="eastAsia" w:ascii="宋体" w:hAnsi="宋体"/>
                <w:b w:val="0"/>
                <w:bCs w:val="0"/>
                <w:color w:val="auto"/>
                <w:sz w:val="28"/>
              </w:rPr>
              <w:t>项目</w:t>
            </w:r>
            <w:r>
              <w:rPr>
                <w:rStyle w:val="8"/>
                <w:rFonts w:ascii="宋体" w:hAnsi="宋体"/>
                <w:b w:val="0"/>
                <w:bCs w:val="0"/>
                <w:color w:val="auto"/>
                <w:sz w:val="28"/>
              </w:rPr>
              <w:t>名称</w:t>
            </w:r>
          </w:p>
        </w:tc>
        <w:tc>
          <w:tcPr>
            <w:tcW w:w="6237" w:type="dxa"/>
            <w:vAlign w:val="center"/>
          </w:tcPr>
          <w:p w14:paraId="3B1F2985">
            <w:pPr>
              <w:jc w:val="center"/>
              <w:rPr>
                <w:rStyle w:val="8"/>
                <w:rFonts w:hint="eastAsia" w:ascii="宋体" w:hAnsi="宋体"/>
                <w:color w:val="auto"/>
                <w:szCs w:val="22"/>
              </w:rPr>
            </w:pPr>
            <w:r>
              <w:rPr>
                <w:rFonts w:hint="eastAsia" w:ascii="宋体" w:hAnsi="宋体"/>
                <w:sz w:val="24"/>
                <w:szCs w:val="22"/>
              </w:rPr>
              <w:t>妊娠期哺乳期用药研究及药学服务实践与推广</w:t>
            </w:r>
          </w:p>
        </w:tc>
      </w:tr>
      <w:tr w14:paraId="734E1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42AF52CB">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推荐单位</w:t>
            </w:r>
          </w:p>
        </w:tc>
        <w:tc>
          <w:tcPr>
            <w:tcW w:w="6237" w:type="dxa"/>
            <w:vAlign w:val="center"/>
          </w:tcPr>
          <w:p w14:paraId="1BD7BA50">
            <w:pPr>
              <w:jc w:val="center"/>
              <w:rPr>
                <w:rStyle w:val="8"/>
                <w:rFonts w:hint="eastAsia" w:ascii="宋体" w:hAnsi="宋体"/>
                <w:b w:val="0"/>
                <w:bCs w:val="0"/>
                <w:color w:val="auto"/>
                <w:szCs w:val="22"/>
              </w:rPr>
            </w:pPr>
            <w:r>
              <w:rPr>
                <w:rStyle w:val="8"/>
                <w:rFonts w:hint="eastAsia" w:ascii="宋体" w:hAnsi="宋体"/>
                <w:b w:val="0"/>
                <w:bCs w:val="0"/>
                <w:color w:val="auto"/>
                <w:szCs w:val="22"/>
              </w:rPr>
              <w:t>浙江大学</w:t>
            </w:r>
          </w:p>
        </w:tc>
      </w:tr>
      <w:tr w14:paraId="11AF8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4" w:hRule="atLeast"/>
        </w:trPr>
        <w:tc>
          <w:tcPr>
            <w:tcW w:w="2269" w:type="dxa"/>
            <w:vAlign w:val="center"/>
          </w:tcPr>
          <w:p w14:paraId="209F57E8">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主要完成单位</w:t>
            </w:r>
          </w:p>
        </w:tc>
        <w:tc>
          <w:tcPr>
            <w:tcW w:w="6237" w:type="dxa"/>
            <w:vAlign w:val="center"/>
          </w:tcPr>
          <w:p w14:paraId="592BA7D5">
            <w:pPr>
              <w:widowControl/>
              <w:shd w:val="clear" w:color="auto" w:fill="FFFFFF"/>
              <w:spacing w:line="360" w:lineRule="auto"/>
              <w:jc w:val="center"/>
              <w:rPr>
                <w:rFonts w:hint="eastAsia" w:ascii="宋体" w:hAnsi="宋体"/>
                <w:b/>
                <w:bCs/>
                <w:sz w:val="24"/>
                <w:szCs w:val="22"/>
              </w:rPr>
            </w:pPr>
            <w:r>
              <w:rPr>
                <w:rStyle w:val="8"/>
                <w:rFonts w:hint="eastAsia"/>
                <w:b w:val="0"/>
                <w:bCs w:val="0"/>
                <w:color w:val="auto"/>
                <w:szCs w:val="22"/>
              </w:rPr>
              <w:t>浙江大学医学院附属妇产科医院</w:t>
            </w:r>
          </w:p>
        </w:tc>
      </w:tr>
      <w:tr w14:paraId="4E9A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4DAF6059">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主要完成人</w:t>
            </w:r>
          </w:p>
        </w:tc>
        <w:tc>
          <w:tcPr>
            <w:tcW w:w="6237" w:type="dxa"/>
            <w:tcBorders>
              <w:left w:val="single" w:color="auto" w:sz="4" w:space="0"/>
            </w:tcBorders>
            <w:shd w:val="clear" w:color="auto" w:fill="auto"/>
            <w:vAlign w:val="center"/>
          </w:tcPr>
          <w:p w14:paraId="7ED96A36">
            <w:pPr>
              <w:rPr>
                <w:rFonts w:hint="eastAsia" w:ascii="宋体" w:hAnsi="宋体"/>
                <w:b/>
                <w:bCs/>
                <w:szCs w:val="21"/>
              </w:rPr>
            </w:pPr>
            <w:r>
              <w:rPr>
                <w:rFonts w:hint="eastAsia" w:ascii="宋体" w:hAnsi="宋体"/>
                <w:b/>
                <w:bCs/>
                <w:szCs w:val="21"/>
              </w:rPr>
              <w:t>姓名、排名、职称、单位</w:t>
            </w:r>
          </w:p>
          <w:p w14:paraId="29C38837">
            <w:pPr>
              <w:rPr>
                <w:rFonts w:hint="eastAsia" w:ascii="宋体" w:hAnsi="宋体"/>
                <w:szCs w:val="21"/>
              </w:rPr>
            </w:pPr>
            <w:r>
              <w:rPr>
                <w:rFonts w:hint="eastAsia" w:ascii="宋体" w:hAnsi="宋体"/>
                <w:szCs w:val="21"/>
              </w:rPr>
              <w:t>郑彩虹，1，主任药师，浙江大学医学院附属妇产科医院；</w:t>
            </w:r>
          </w:p>
          <w:p w14:paraId="2C08E832">
            <w:pPr>
              <w:rPr>
                <w:rFonts w:hint="eastAsia" w:ascii="宋体" w:hAnsi="宋体"/>
                <w:szCs w:val="21"/>
              </w:rPr>
            </w:pPr>
            <w:r>
              <w:rPr>
                <w:rFonts w:hint="eastAsia" w:ascii="宋体" w:hAnsi="宋体"/>
                <w:szCs w:val="21"/>
              </w:rPr>
              <w:t>叶轶青，2，副主任药师，浙江大学医学院附属妇产科医院；</w:t>
            </w:r>
          </w:p>
          <w:p w14:paraId="4578A491">
            <w:pPr>
              <w:rPr>
                <w:rFonts w:hint="eastAsia" w:ascii="宋体" w:hAnsi="宋体"/>
                <w:szCs w:val="21"/>
              </w:rPr>
            </w:pPr>
            <w:r>
              <w:rPr>
                <w:rFonts w:hint="eastAsia" w:ascii="宋体" w:hAnsi="宋体"/>
                <w:szCs w:val="21"/>
              </w:rPr>
              <w:t>郑晓玲，3，主任药师，浙江大学医学院附属妇产科医院；</w:t>
            </w:r>
          </w:p>
          <w:p w14:paraId="58593E59">
            <w:pPr>
              <w:rPr>
                <w:rFonts w:hint="eastAsia" w:ascii="宋体" w:hAnsi="宋体"/>
                <w:szCs w:val="21"/>
              </w:rPr>
            </w:pPr>
            <w:r>
              <w:rPr>
                <w:rFonts w:hint="eastAsia" w:ascii="宋体" w:hAnsi="宋体"/>
                <w:szCs w:val="21"/>
              </w:rPr>
              <w:t>孙冬黎，4，副主任药师，浙江大学医学院附属妇产科医院；</w:t>
            </w:r>
          </w:p>
          <w:p w14:paraId="5E75A164">
            <w:pPr>
              <w:rPr>
                <w:rFonts w:hint="eastAsia" w:ascii="宋体" w:hAnsi="宋体"/>
                <w:szCs w:val="21"/>
              </w:rPr>
            </w:pPr>
            <w:r>
              <w:rPr>
                <w:rFonts w:hint="eastAsia" w:ascii="宋体" w:hAnsi="宋体"/>
                <w:szCs w:val="21"/>
              </w:rPr>
              <w:t>费伟东，5，主管药师，浙江大学医学院附属妇产科医院；</w:t>
            </w:r>
          </w:p>
          <w:p w14:paraId="63B3F789">
            <w:pPr>
              <w:rPr>
                <w:rFonts w:hint="eastAsia" w:ascii="宋体" w:hAnsi="宋体"/>
                <w:szCs w:val="21"/>
              </w:rPr>
            </w:pPr>
            <w:r>
              <w:rPr>
                <w:rFonts w:hint="eastAsia" w:ascii="宋体" w:hAnsi="宋体"/>
                <w:szCs w:val="21"/>
              </w:rPr>
              <w:t>姚瑶，6，主管药师，浙江大学医学院附属妇产科医院；</w:t>
            </w:r>
          </w:p>
          <w:p w14:paraId="0A163150">
            <w:pPr>
              <w:rPr>
                <w:rFonts w:hint="eastAsia" w:ascii="宋体" w:hAnsi="宋体"/>
                <w:szCs w:val="21"/>
              </w:rPr>
            </w:pPr>
            <w:r>
              <w:rPr>
                <w:rFonts w:hint="eastAsia" w:ascii="宋体" w:hAnsi="宋体"/>
                <w:szCs w:val="21"/>
              </w:rPr>
              <w:t>汪凤梅，7，副主任药师，浙江大学医学院附属妇产科医院；</w:t>
            </w:r>
          </w:p>
          <w:p w14:paraId="2A1A4B30">
            <w:pPr>
              <w:rPr>
                <w:rFonts w:hint="eastAsia" w:ascii="宋体" w:hAnsi="宋体"/>
                <w:szCs w:val="21"/>
              </w:rPr>
            </w:pPr>
            <w:r>
              <w:rPr>
                <w:rFonts w:hint="eastAsia" w:ascii="宋体" w:hAnsi="宋体"/>
                <w:szCs w:val="21"/>
              </w:rPr>
              <w:t>陈玥，8，副主任药师，浙江大学医学院附属妇产科医院；</w:t>
            </w:r>
          </w:p>
          <w:p w14:paraId="684534A9">
            <w:pPr>
              <w:rPr>
                <w:rFonts w:hint="eastAsia" w:ascii="宋体" w:hAnsi="宋体"/>
                <w:szCs w:val="21"/>
              </w:rPr>
            </w:pPr>
            <w:r>
              <w:rPr>
                <w:rFonts w:hint="eastAsia" w:ascii="宋体" w:hAnsi="宋体"/>
                <w:szCs w:val="21"/>
              </w:rPr>
              <w:t>张骁，9，主管药师，浙江大学医学院附属妇产科医院；</w:t>
            </w:r>
          </w:p>
          <w:p w14:paraId="28A4EF9C">
            <w:pPr>
              <w:rPr>
                <w:rFonts w:hint="eastAsia" w:ascii="宋体" w:hAnsi="宋体"/>
                <w:szCs w:val="21"/>
              </w:rPr>
            </w:pPr>
            <w:r>
              <w:rPr>
                <w:rFonts w:hint="eastAsia" w:ascii="宋体" w:hAnsi="宋体"/>
                <w:szCs w:val="21"/>
              </w:rPr>
              <w:t>吴凡，10，主管药师，浙江大学医学院附属妇产科医院；</w:t>
            </w:r>
          </w:p>
          <w:p w14:paraId="7AC913AA">
            <w:pPr>
              <w:rPr>
                <w:rFonts w:hint="eastAsia" w:ascii="宋体" w:hAnsi="宋体"/>
                <w:szCs w:val="21"/>
              </w:rPr>
            </w:pPr>
            <w:r>
              <w:rPr>
                <w:rFonts w:hint="eastAsia" w:ascii="宋体" w:hAnsi="宋体"/>
                <w:szCs w:val="21"/>
              </w:rPr>
              <w:t>张梦，11，主管药师，浙江大学医学院附属妇产科医院；</w:t>
            </w:r>
          </w:p>
          <w:p w14:paraId="425F3EE5">
            <w:pPr>
              <w:rPr>
                <w:rFonts w:hint="eastAsia" w:ascii="宋体" w:hAnsi="宋体"/>
                <w:szCs w:val="21"/>
              </w:rPr>
            </w:pPr>
            <w:r>
              <w:rPr>
                <w:rFonts w:hint="eastAsia" w:ascii="宋体" w:hAnsi="宋体"/>
                <w:szCs w:val="21"/>
              </w:rPr>
              <w:t>吴巧爱，12，主管药师，浙江大学医学院附属妇产科医院。</w:t>
            </w:r>
            <w:bookmarkStart w:id="2" w:name="_GoBack"/>
            <w:bookmarkEnd w:id="2"/>
          </w:p>
        </w:tc>
      </w:tr>
      <w:tr w14:paraId="0BED8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8" w:hRule="atLeast"/>
        </w:trPr>
        <w:tc>
          <w:tcPr>
            <w:tcW w:w="2269" w:type="dxa"/>
            <w:tcBorders>
              <w:right w:val="single" w:color="auto" w:sz="4" w:space="0"/>
            </w:tcBorders>
            <w:vAlign w:val="center"/>
          </w:tcPr>
          <w:p w14:paraId="00B802CC">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项目简介</w:t>
            </w:r>
          </w:p>
        </w:tc>
        <w:tc>
          <w:tcPr>
            <w:tcW w:w="6237" w:type="dxa"/>
            <w:tcBorders>
              <w:left w:val="single" w:color="auto" w:sz="4" w:space="0"/>
            </w:tcBorders>
            <w:vAlign w:val="center"/>
          </w:tcPr>
          <w:p w14:paraId="31BAE3CF">
            <w:pPr>
              <w:snapToGrid w:val="0"/>
              <w:ind w:firstLine="420" w:firstLineChars="200"/>
              <w:rPr>
                <w:bCs/>
                <w:szCs w:val="21"/>
              </w:rPr>
            </w:pPr>
            <w:bookmarkStart w:id="0" w:name="OLE_LINK2"/>
            <w:r>
              <w:rPr>
                <w:bCs/>
                <w:szCs w:val="21"/>
              </w:rPr>
              <w:t>“妊娠期哺乳期用药研究及药学服务实践与推广”项目由浙江大学医学院附属妇产科医院郑彩虹团队牵头开展，旨在</w:t>
            </w:r>
            <w:r>
              <w:rPr>
                <w:rFonts w:hint="eastAsia"/>
                <w:bCs/>
                <w:szCs w:val="21"/>
              </w:rPr>
              <w:t>对妊娠相关领域中涉及母胎用药的安全性问题，以及</w:t>
            </w:r>
            <w:r>
              <w:rPr>
                <w:bCs/>
                <w:szCs w:val="21"/>
              </w:rPr>
              <w:t>妊娠期和哺乳期的</w:t>
            </w:r>
            <w:r>
              <w:rPr>
                <w:rFonts w:hint="eastAsia"/>
                <w:bCs/>
                <w:szCs w:val="21"/>
              </w:rPr>
              <w:t>合理</w:t>
            </w:r>
            <w:r>
              <w:rPr>
                <w:bCs/>
                <w:szCs w:val="21"/>
              </w:rPr>
              <w:t>用药</w:t>
            </w:r>
            <w:r>
              <w:rPr>
                <w:rFonts w:hint="eastAsia"/>
                <w:bCs/>
                <w:szCs w:val="21"/>
              </w:rPr>
              <w:t>问题</w:t>
            </w:r>
            <w:r>
              <w:rPr>
                <w:bCs/>
                <w:szCs w:val="21"/>
              </w:rPr>
              <w:t>，</w:t>
            </w:r>
            <w:r>
              <w:rPr>
                <w:rFonts w:hint="eastAsia"/>
                <w:bCs/>
                <w:szCs w:val="21"/>
              </w:rPr>
              <w:t>尤其对国内妊娠哺乳特殊阶段药学服务需求与药学门诊开设的不平衡态势方面作出一份努力。通过聚焦这些热点和难点问题，开展妇产药学的实践性研究和新型药学服务模式的探索，促进生殖健康和优生优育，切实</w:t>
            </w:r>
            <w:r>
              <w:rPr>
                <w:bCs/>
                <w:szCs w:val="21"/>
              </w:rPr>
              <w:t>提升妇幼健康水平，</w:t>
            </w:r>
            <w:r>
              <w:rPr>
                <w:rFonts w:hint="eastAsia"/>
                <w:bCs/>
                <w:szCs w:val="21"/>
              </w:rPr>
              <w:t>发挥妇幼保健</w:t>
            </w:r>
            <w:r>
              <w:rPr>
                <w:bCs/>
                <w:szCs w:val="21"/>
              </w:rPr>
              <w:t>领域</w:t>
            </w:r>
            <w:r>
              <w:rPr>
                <w:rFonts w:hint="eastAsia"/>
                <w:bCs/>
                <w:szCs w:val="21"/>
              </w:rPr>
              <w:t>中</w:t>
            </w:r>
            <w:r>
              <w:rPr>
                <w:bCs/>
                <w:szCs w:val="21"/>
              </w:rPr>
              <w:t>药学</w:t>
            </w:r>
            <w:r>
              <w:rPr>
                <w:rFonts w:hint="eastAsia"/>
                <w:bCs/>
                <w:szCs w:val="21"/>
              </w:rPr>
              <w:t>人员不可或缺的一份力量</w:t>
            </w:r>
            <w:r>
              <w:rPr>
                <w:bCs/>
                <w:szCs w:val="21"/>
              </w:rPr>
              <w:t>。</w:t>
            </w:r>
          </w:p>
          <w:p w14:paraId="69C25776">
            <w:pPr>
              <w:snapToGrid w:val="0"/>
              <w:ind w:firstLine="420" w:firstLineChars="200"/>
              <w:rPr>
                <w:bCs/>
                <w:szCs w:val="21"/>
              </w:rPr>
            </w:pPr>
            <w:r>
              <w:rPr>
                <w:bCs/>
                <w:szCs w:val="21"/>
              </w:rPr>
              <w:t>团队针对</w:t>
            </w:r>
            <w:r>
              <w:rPr>
                <w:rFonts w:hint="eastAsia"/>
                <w:bCs/>
                <w:szCs w:val="21"/>
              </w:rPr>
              <w:t>胎盘源性疾病治疗的重大临床需求，重点研究胎盘功能障碍的分子机制与病理特征，开发基于胎盘特异性标志物的创新药物及靶向递送系统，突破胎盘源性疾病治疗的瓶颈问题</w:t>
            </w:r>
            <w:r>
              <w:rPr>
                <w:bCs/>
                <w:szCs w:val="21"/>
              </w:rPr>
              <w:t>，</w:t>
            </w:r>
            <w:r>
              <w:rPr>
                <w:rFonts w:hint="eastAsia"/>
                <w:bCs/>
                <w:szCs w:val="21"/>
              </w:rPr>
              <w:t>即</w:t>
            </w:r>
            <w:r>
              <w:rPr>
                <w:bCs/>
                <w:szCs w:val="21"/>
              </w:rPr>
              <w:t>传统治疗面临</w:t>
            </w:r>
            <w:r>
              <w:rPr>
                <w:rFonts w:hint="eastAsia"/>
                <w:bCs/>
                <w:szCs w:val="21"/>
              </w:rPr>
              <w:t>经胎盘转运的</w:t>
            </w:r>
            <w:r>
              <w:rPr>
                <w:bCs/>
                <w:szCs w:val="21"/>
              </w:rPr>
              <w:t>胎儿药物暴露风险。团队创新</w:t>
            </w:r>
            <w:r>
              <w:rPr>
                <w:rFonts w:hint="eastAsia"/>
                <w:bCs/>
                <w:szCs w:val="21"/>
              </w:rPr>
              <w:t>性</w:t>
            </w:r>
            <w:r>
              <w:rPr>
                <w:bCs/>
                <w:szCs w:val="21"/>
              </w:rPr>
              <w:t>设计</w:t>
            </w:r>
            <w:r>
              <w:rPr>
                <w:rFonts w:hint="eastAsia"/>
                <w:bCs/>
                <w:szCs w:val="21"/>
              </w:rPr>
              <w:t>了</w:t>
            </w:r>
            <w:r>
              <w:rPr>
                <w:bCs/>
                <w:szCs w:val="21"/>
              </w:rPr>
              <w:t>胎盘</w:t>
            </w:r>
            <w:r>
              <w:rPr>
                <w:rFonts w:hint="eastAsia"/>
                <w:bCs/>
                <w:szCs w:val="21"/>
              </w:rPr>
              <w:t>驻</w:t>
            </w:r>
            <w:r>
              <w:rPr>
                <w:bCs/>
                <w:szCs w:val="21"/>
              </w:rPr>
              <w:t>留给药系统，深入研究纳米药物在胎盘中的转运机制，明确了胎盘滋养层细胞对不同纳米载体摄取能力的差异等关键影响因素。基于此，研发出iRGD修饰的他达拉非负载脂质体，显著改善了他达拉非治疗胎儿宫内生长受限的药代动力学特性，提升了治疗效果且降低了胎儿风险。同时，经研究确定500</w:t>
            </w:r>
            <w:r>
              <w:rPr>
                <w:rFonts w:hint="eastAsia"/>
                <w:bCs/>
                <w:szCs w:val="21"/>
              </w:rPr>
              <w:t xml:space="preserve"> </w:t>
            </w:r>
            <w:r>
              <w:rPr>
                <w:bCs/>
                <w:szCs w:val="21"/>
              </w:rPr>
              <w:t>nm脂质体在胎盘滞留效应方面表现最佳，为胎盘源性疾病治疗的药物递送提供了关键</w:t>
            </w:r>
            <w:r>
              <w:rPr>
                <w:rFonts w:hint="eastAsia"/>
                <w:bCs/>
                <w:szCs w:val="21"/>
              </w:rPr>
              <w:t>技术</w:t>
            </w:r>
            <w:r>
              <w:rPr>
                <w:bCs/>
                <w:szCs w:val="21"/>
              </w:rPr>
              <w:t>参数</w:t>
            </w:r>
            <w:r>
              <w:rPr>
                <w:rFonts w:hint="eastAsia"/>
                <w:bCs/>
                <w:szCs w:val="21"/>
              </w:rPr>
              <w:t>和技术平台</w:t>
            </w:r>
            <w:r>
              <w:rPr>
                <w:bCs/>
                <w:szCs w:val="21"/>
              </w:rPr>
              <w:t>。在早产干预研究中，针对</w:t>
            </w:r>
            <w:r>
              <w:rPr>
                <w:rFonts w:hint="eastAsia"/>
                <w:bCs/>
                <w:szCs w:val="21"/>
              </w:rPr>
              <w:t>宫缩抑制剂</w:t>
            </w:r>
            <w:r>
              <w:rPr>
                <w:bCs/>
                <w:szCs w:val="21"/>
              </w:rPr>
              <w:t>利托君的局限性，团队利用“子宫首过效应”研发出负载利托君的</w:t>
            </w:r>
            <w:r>
              <w:rPr>
                <w:rFonts w:hint="eastAsia"/>
                <w:bCs/>
                <w:szCs w:val="21"/>
              </w:rPr>
              <w:t>新型递药体系</w:t>
            </w:r>
            <w:r>
              <w:rPr>
                <w:bCs/>
                <w:szCs w:val="21"/>
              </w:rPr>
              <w:t>。通过妊娠小鼠实验，揭示了药物的子宫定位机制，为早产干预提供了更安全有效的药物选择，推动了相关治疗策略的发展。妊娠期子痫前期严重威胁母婴健康，团队结合其病理生理机制提出P–T–D策略，从胎盘发育异常、氧化应激等多个方面探索新兴药物干预方式。同时，明确了药学服务在子痫前期治疗中的关键方向，如药物安全性选择咨询、随访管理以及患者教育与心理支持等，有力提升了子痫前期的治疗效果与安全性。此外，团队深入研究妊娠期与哺乳期的免疫耐受机制，明确了母体免疫系统在这两个时期的变化规律。这一研究成果为合理用药提供了理论支撑，帮助药师在药学服务中充分考虑药物对免疫耐受的影响，保障母婴健康。</w:t>
            </w:r>
          </w:p>
          <w:p w14:paraId="5FA22CD9">
            <w:pPr>
              <w:snapToGrid w:val="0"/>
              <w:ind w:firstLine="420" w:firstLineChars="200"/>
              <w:rPr>
                <w:bCs/>
                <w:szCs w:val="21"/>
              </w:rPr>
            </w:pPr>
            <w:r>
              <w:rPr>
                <w:rFonts w:hint="eastAsia"/>
                <w:bCs/>
                <w:szCs w:val="21"/>
              </w:rPr>
              <w:t>妊娠期是使用药物的特殊时期，这个连贯的阶段在女性的人生中并不短暂，不可避免地存在用药可能。妊娠期用药，需要同时考虑药物对母体和胎儿的影响，必须从两个个体出发，权衡利弊才能作出用药选择或风险评估。由于妊娠期用药的研究涉及伦理原则，无法或很少进行前瞻性试验，很多药物在妊娠妇女中的应用经验少之又少，可获得的资料多少不一且较为分散，需要尽可能多地收集文献证据，并给出循证医学指导下的药学服务和药师建议。我院自</w:t>
            </w:r>
            <w:r>
              <w:rPr>
                <w:bCs/>
                <w:szCs w:val="21"/>
              </w:rPr>
              <w:t xml:space="preserve"> </w:t>
            </w:r>
            <w:r>
              <w:rPr>
                <w:rFonts w:hint="eastAsia"/>
                <w:bCs/>
                <w:szCs w:val="21"/>
              </w:rPr>
              <w:t>2015年8月开设了妊娠期哺乳期用药门诊，属于国内最早一批开展妊娠药学门诊的医院之一。在实践过程中，我院已建立起一整套妊娠用药咨询信息系统，并对就诊过程实行同质化要素和流程管理，是药学门诊服务的一个较大的进步和创新，并在省内外广泛开展学术交流。</w:t>
            </w:r>
            <w:r>
              <w:rPr>
                <w:bCs/>
                <w:szCs w:val="21"/>
              </w:rPr>
              <w:t>自开设药学门诊以来，累计</w:t>
            </w:r>
            <w:r>
              <w:rPr>
                <w:rFonts w:hint="eastAsia"/>
                <w:bCs/>
                <w:szCs w:val="21"/>
              </w:rPr>
              <w:t>门诊</w:t>
            </w:r>
            <w:r>
              <w:rPr>
                <w:bCs/>
                <w:szCs w:val="21"/>
              </w:rPr>
              <w:t>量达1.9万人次。团队培训了75位来自全国的进修药师，促进了先进药学服务理念和技术的传播。</w:t>
            </w:r>
            <w:r>
              <w:rPr>
                <w:rFonts w:hint="eastAsia"/>
                <w:bCs/>
                <w:szCs w:val="21"/>
              </w:rPr>
              <w:t>主编书籍</w:t>
            </w:r>
            <w:r>
              <w:rPr>
                <w:bCs/>
                <w:szCs w:val="21"/>
              </w:rPr>
              <w:t>《妊娠期哺乳期用药手册》专业著作，为临床用药提供了全面参考。编写的《妊娠用药咨询门诊患者随访规范》，实现了药学服务流程的标准化和同质化管理。在多学科诊疗团队中，药师积极参与复杂病例讨论，凭借专业知识为药物治疗方案提供科学建议，助力提高诊疗水平。</w:t>
            </w:r>
            <w:r>
              <w:rPr>
                <w:rFonts w:hint="eastAsia"/>
                <w:bCs/>
                <w:szCs w:val="21"/>
              </w:rPr>
              <w:t>临床用药监护构建了完善体系，通过个性化方案制定、临床多环节监测、不良反应监测工作持续强化、用药教育活动形式多样、处方审核与点评工作持续推进，全方位保障母婴用药安全。</w:t>
            </w:r>
          </w:p>
          <w:p w14:paraId="6B9F58A5">
            <w:pPr>
              <w:snapToGrid w:val="0"/>
              <w:ind w:firstLine="420" w:firstLineChars="200"/>
              <w:rPr>
                <w:bCs/>
                <w:szCs w:val="21"/>
              </w:rPr>
            </w:pPr>
            <w:r>
              <w:rPr>
                <w:rFonts w:hint="eastAsia"/>
                <w:bCs/>
                <w:szCs w:val="21"/>
              </w:rPr>
              <w:t>本</w:t>
            </w:r>
            <w:r>
              <w:rPr>
                <w:bCs/>
                <w:szCs w:val="21"/>
              </w:rPr>
              <w:t>项目成果显著</w:t>
            </w:r>
            <w:r>
              <w:rPr>
                <w:rFonts w:hint="eastAsia"/>
                <w:bCs/>
                <w:szCs w:val="21"/>
              </w:rPr>
              <w:t>，共发表相关SCI论文60余篇、主编出版相关书籍1本、副主编出版相关书籍1本、以第一起草人编写相关省团体标准1项。</w:t>
            </w:r>
            <w:r>
              <w:rPr>
                <w:bCs/>
                <w:szCs w:val="21"/>
              </w:rPr>
              <w:t>项目通过多种途径扩大影响力</w:t>
            </w:r>
            <w:r>
              <w:rPr>
                <w:rFonts w:hint="eastAsia"/>
                <w:bCs/>
                <w:szCs w:val="21"/>
              </w:rPr>
              <w:t>，成果推广应用于省内外十余家医疗单位，形成丰富的社会效益</w:t>
            </w:r>
            <w:r>
              <w:rPr>
                <w:bCs/>
                <w:szCs w:val="21"/>
              </w:rPr>
              <w:t>。</w:t>
            </w:r>
            <w:r>
              <w:rPr>
                <w:rFonts w:hint="eastAsia"/>
                <w:bCs/>
                <w:szCs w:val="21"/>
              </w:rPr>
              <w:t>在本项目的推广应用下，十余家医疗单位成功开设妊娠期哺乳期用药咨询门诊。截至2025年3月，以15家医疗机构的应用量计算，线下门诊咨询约为9955人次、互联网线上咨询约为10133人次、相关药师参与医疗机构内MDT约155次、参与专家会诊约201次、为院内职工提供妊娠期哺乳期用药咨询约3478次。此外，基于本项目，该团队同步进行</w:t>
            </w:r>
            <w:r>
              <w:rPr>
                <w:bCs/>
                <w:szCs w:val="21"/>
              </w:rPr>
              <w:t>随访服务，普及妊娠期哺乳期合理用药知识。利用互联网平台发布科普内容，与企业合作开展临床试验</w:t>
            </w:r>
            <w:r>
              <w:rPr>
                <w:rFonts w:hint="eastAsia"/>
                <w:bCs/>
                <w:szCs w:val="21"/>
              </w:rPr>
              <w:t>项目</w:t>
            </w:r>
            <w:r>
              <w:rPr>
                <w:bCs/>
                <w:szCs w:val="21"/>
              </w:rPr>
              <w:t>，促进产学研深度融合。与高校联合开展</w:t>
            </w:r>
            <w:r>
              <w:rPr>
                <w:rFonts w:hint="eastAsia"/>
                <w:bCs/>
                <w:szCs w:val="21"/>
              </w:rPr>
              <w:t>相关</w:t>
            </w:r>
            <w:r>
              <w:rPr>
                <w:bCs/>
                <w:szCs w:val="21"/>
              </w:rPr>
              <w:t>科研项目、建立实习基地，培养专业人才，提升团队科研实力。</w:t>
            </w:r>
          </w:p>
          <w:p w14:paraId="50EA42FB">
            <w:pPr>
              <w:snapToGrid w:val="0"/>
              <w:ind w:firstLine="420" w:firstLineChars="200"/>
              <w:rPr>
                <w:bCs/>
                <w:szCs w:val="21"/>
              </w:rPr>
            </w:pPr>
            <w:r>
              <w:rPr>
                <w:bCs/>
                <w:szCs w:val="21"/>
              </w:rPr>
              <w:t>本项目在</w:t>
            </w:r>
            <w:r>
              <w:rPr>
                <w:rFonts w:hint="eastAsia"/>
                <w:bCs/>
                <w:szCs w:val="21"/>
              </w:rPr>
              <w:t>妊娠期哺乳期用药</w:t>
            </w:r>
            <w:r>
              <w:rPr>
                <w:bCs/>
                <w:szCs w:val="21"/>
              </w:rPr>
              <w:t>研究、</w:t>
            </w:r>
            <w:r>
              <w:rPr>
                <w:rFonts w:hint="eastAsia"/>
                <w:bCs/>
                <w:szCs w:val="21"/>
              </w:rPr>
              <w:t>用药服务的</w:t>
            </w:r>
            <w:r>
              <w:rPr>
                <w:bCs/>
                <w:szCs w:val="21"/>
              </w:rPr>
              <w:t>实践与推广方面的全面成果，为保障母婴安全、推动妇幼健康药学事业发展</w:t>
            </w:r>
            <w:r>
              <w:rPr>
                <w:rFonts w:hint="eastAsia"/>
                <w:bCs/>
                <w:szCs w:val="21"/>
              </w:rPr>
              <w:t>中医、药、护三驾马车中</w:t>
            </w:r>
            <w:r>
              <w:rPr>
                <w:bCs/>
                <w:szCs w:val="21"/>
              </w:rPr>
              <w:t>提供了</w:t>
            </w:r>
            <w:r>
              <w:rPr>
                <w:rFonts w:hint="eastAsia"/>
                <w:bCs/>
                <w:szCs w:val="21"/>
              </w:rPr>
              <w:t>药学的</w:t>
            </w:r>
            <w:r>
              <w:rPr>
                <w:bCs/>
                <w:szCs w:val="21"/>
              </w:rPr>
              <w:t>有力支撑，</w:t>
            </w:r>
            <w:r>
              <w:rPr>
                <w:rFonts w:hint="eastAsia"/>
                <w:bCs/>
                <w:szCs w:val="21"/>
              </w:rPr>
              <w:t>在业界具有标杆性的示范作用，</w:t>
            </w:r>
            <w:r>
              <w:rPr>
                <w:bCs/>
                <w:szCs w:val="21"/>
              </w:rPr>
              <w:t>具有重要的临床价值和社会意义。</w:t>
            </w:r>
            <w:bookmarkEnd w:id="0"/>
          </w:p>
        </w:tc>
      </w:tr>
      <w:tr w14:paraId="1AC1F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499BF20F">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代表性论文目录、主要知识产权和标准规范等目录</w:t>
            </w:r>
          </w:p>
        </w:tc>
        <w:tc>
          <w:tcPr>
            <w:tcW w:w="6237" w:type="dxa"/>
            <w:vAlign w:val="center"/>
          </w:tcPr>
          <w:p w14:paraId="2535ED26">
            <w:pPr>
              <w:contextualSpacing/>
              <w:rPr>
                <w:rStyle w:val="8"/>
                <w:rFonts w:hint="eastAsia" w:ascii="宋体" w:hAnsi="宋体"/>
                <w:color w:val="auto"/>
                <w:sz w:val="21"/>
                <w:szCs w:val="21"/>
              </w:rPr>
            </w:pPr>
            <w:bookmarkStart w:id="1" w:name="OLE_LINK1"/>
            <w:r>
              <w:rPr>
                <w:rStyle w:val="8"/>
                <w:rFonts w:hint="eastAsia" w:ascii="宋体" w:hAnsi="宋体"/>
                <w:color w:val="auto"/>
                <w:sz w:val="21"/>
                <w:szCs w:val="21"/>
              </w:rPr>
              <w:t>代表性论文</w:t>
            </w:r>
          </w:p>
          <w:p w14:paraId="705FC4AE">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1</w:t>
            </w:r>
            <w:r>
              <w:rPr>
                <w:rStyle w:val="8"/>
                <w:rFonts w:hint="eastAsia" w:ascii="宋体" w:hAnsi="宋体"/>
                <w:b w:val="0"/>
                <w:bCs w:val="0"/>
                <w:color w:val="auto"/>
                <w:sz w:val="21"/>
                <w:szCs w:val="21"/>
              </w:rPr>
              <w:t>.</w:t>
            </w:r>
            <w:r>
              <w:rPr>
                <w:rStyle w:val="8"/>
                <w:rFonts w:ascii="宋体" w:hAnsi="宋体"/>
                <w:b w:val="0"/>
                <w:bCs w:val="0"/>
                <w:color w:val="auto"/>
                <w:sz w:val="21"/>
                <w:szCs w:val="21"/>
              </w:rPr>
              <w:t>Advance in placenta drug delivery: concern for placenta-originated disease therapy</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Drug delivery</w:t>
            </w:r>
            <w:r>
              <w:rPr>
                <w:rStyle w:val="8"/>
                <w:rFonts w:hint="eastAsia" w:ascii="宋体" w:hAnsi="宋体"/>
                <w:b w:val="0"/>
                <w:bCs w:val="0"/>
                <w:color w:val="auto"/>
                <w:sz w:val="21"/>
                <w:szCs w:val="21"/>
              </w:rPr>
              <w:t xml:space="preserve">; </w:t>
            </w:r>
            <w:r>
              <w:rPr>
                <w:rFonts w:ascii="宋体" w:hAnsi="宋体"/>
                <w:szCs w:val="21"/>
              </w:rPr>
              <w:t>Miao Tang</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Xiao Zhang</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Weidong Fei</w:t>
            </w:r>
            <w:r>
              <w:rPr>
                <w:rFonts w:ascii="宋体" w:hAnsi="宋体"/>
                <w:szCs w:val="21"/>
              </w:rPr>
              <w:t>,</w:t>
            </w:r>
            <w:r>
              <w:rPr>
                <w:rFonts w:hint="eastAsia" w:ascii="宋体" w:hAnsi="宋体"/>
                <w:szCs w:val="21"/>
              </w:rPr>
              <w:t xml:space="preserve"> </w:t>
            </w:r>
            <w:r>
              <w:rPr>
                <w:rFonts w:ascii="宋体" w:hAnsi="宋体"/>
                <w:szCs w:val="21"/>
              </w:rPr>
              <w:t>Yu Xin,</w:t>
            </w:r>
            <w:r>
              <w:rPr>
                <w:rFonts w:hint="eastAsia" w:ascii="宋体" w:hAnsi="宋体"/>
                <w:szCs w:val="21"/>
              </w:rPr>
              <w:t xml:space="preserve"> </w:t>
            </w:r>
            <w:r>
              <w:rPr>
                <w:rFonts w:ascii="宋体" w:hAnsi="宋体"/>
                <w:szCs w:val="21"/>
                <w:u w:val="single"/>
              </w:rPr>
              <w:t>Meng Zhang</w:t>
            </w:r>
            <w:r>
              <w:rPr>
                <w:rFonts w:ascii="宋体" w:hAnsi="宋体"/>
                <w:szCs w:val="21"/>
              </w:rPr>
              <w:t>,</w:t>
            </w:r>
            <w:r>
              <w:rPr>
                <w:rFonts w:hint="eastAsia" w:ascii="宋体" w:hAnsi="宋体"/>
                <w:szCs w:val="21"/>
              </w:rPr>
              <w:t xml:space="preserve"> </w:t>
            </w:r>
            <w:r>
              <w:rPr>
                <w:rFonts w:ascii="宋体" w:hAnsi="宋体"/>
                <w:szCs w:val="21"/>
                <w:u w:val="single"/>
              </w:rPr>
              <w:t>Yao Yao</w:t>
            </w:r>
            <w:r>
              <w:rPr>
                <w:rFonts w:ascii="宋体" w:hAnsi="宋体"/>
                <w:szCs w:val="21"/>
              </w:rPr>
              <w:t>,</w:t>
            </w:r>
            <w:r>
              <w:rPr>
                <w:rFonts w:hint="eastAsia" w:ascii="宋体" w:hAnsi="宋体"/>
                <w:szCs w:val="21"/>
              </w:rPr>
              <w:t xml:space="preserve"> </w:t>
            </w:r>
            <w:r>
              <w:rPr>
                <w:rFonts w:ascii="宋体" w:hAnsi="宋体"/>
                <w:szCs w:val="21"/>
              </w:rPr>
              <w:t>Yunchun Zhao,</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Dongli Sun</w:t>
            </w:r>
            <w:r>
              <w:rPr>
                <w:rFonts w:hint="eastAsia" w:ascii="宋体" w:hAnsi="宋体"/>
                <w:szCs w:val="21"/>
                <w:u w:val="single"/>
                <w:vertAlign w:val="superscript"/>
              </w:rPr>
              <w:t>*</w:t>
            </w:r>
            <w:r>
              <w:rPr>
                <w:rFonts w:hint="eastAsia" w:ascii="宋体" w:hAnsi="宋体"/>
                <w:szCs w:val="21"/>
              </w:rPr>
              <w:t>.</w:t>
            </w:r>
            <w:r>
              <w:rPr>
                <w:rFonts w:ascii="Segoe UI" w:hAnsi="Segoe UI" w:cs="Segoe UI"/>
                <w:color w:val="000000"/>
                <w:sz w:val="20"/>
                <w:shd w:val="clear" w:color="auto" w:fill="FFFFFF"/>
              </w:rPr>
              <w:t xml:space="preserve"> </w:t>
            </w:r>
            <w:r>
              <w:rPr>
                <w:rFonts w:ascii="宋体" w:hAnsi="宋体"/>
                <w:szCs w:val="21"/>
              </w:rPr>
              <w:t>2023 Dec;30(1):2184315.</w:t>
            </w:r>
          </w:p>
          <w:p w14:paraId="25094C23">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2</w:t>
            </w:r>
            <w:r>
              <w:rPr>
                <w:rStyle w:val="8"/>
                <w:rFonts w:hint="eastAsia" w:ascii="宋体" w:hAnsi="宋体"/>
                <w:b w:val="0"/>
                <w:bCs w:val="0"/>
                <w:color w:val="auto"/>
                <w:sz w:val="21"/>
                <w:szCs w:val="21"/>
              </w:rPr>
              <w:t>.</w:t>
            </w:r>
            <w:r>
              <w:rPr>
                <w:rStyle w:val="8"/>
                <w:rFonts w:ascii="宋体" w:hAnsi="宋体"/>
                <w:b w:val="0"/>
                <w:bCs w:val="0"/>
                <w:color w:val="auto"/>
                <w:sz w:val="21"/>
                <w:szCs w:val="21"/>
              </w:rPr>
              <w:t>Placenta-anchored tadalafil liposomes rescues intrauterine growth restriction through continuous placental blood perfusion improvement</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Journal of controlled release</w:t>
            </w:r>
            <w:r>
              <w:rPr>
                <w:rStyle w:val="8"/>
                <w:rFonts w:hint="eastAsia" w:ascii="宋体" w:hAnsi="宋体"/>
                <w:b w:val="0"/>
                <w:bCs w:val="0"/>
                <w:color w:val="auto"/>
                <w:sz w:val="21"/>
                <w:szCs w:val="21"/>
              </w:rPr>
              <w:t xml:space="preserve">; </w:t>
            </w:r>
            <w:r>
              <w:rPr>
                <w:rFonts w:ascii="宋体" w:hAnsi="宋体"/>
                <w:szCs w:val="21"/>
              </w:rPr>
              <w:t>Miao Tang</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rPr>
              <w:t>Yu Xin</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rPr>
              <w:t>Yunchun Zhao,</w:t>
            </w:r>
            <w:r>
              <w:rPr>
                <w:rFonts w:hint="eastAsia" w:ascii="宋体" w:hAnsi="宋体"/>
                <w:szCs w:val="21"/>
              </w:rPr>
              <w:t xml:space="preserve"> </w:t>
            </w:r>
            <w:r>
              <w:rPr>
                <w:rFonts w:ascii="宋体" w:hAnsi="宋体"/>
                <w:szCs w:val="21"/>
                <w:u w:val="single"/>
              </w:rPr>
              <w:t>Xiao Zhang</w:t>
            </w:r>
            <w:r>
              <w:rPr>
                <w:rFonts w:ascii="宋体" w:hAnsi="宋体"/>
                <w:szCs w:val="21"/>
              </w:rPr>
              <w:t>,</w:t>
            </w:r>
            <w:r>
              <w:rPr>
                <w:rFonts w:hint="eastAsia" w:ascii="宋体" w:hAnsi="宋体"/>
                <w:szCs w:val="21"/>
              </w:rPr>
              <w:t xml:space="preserve"> </w:t>
            </w:r>
            <w:r>
              <w:rPr>
                <w:rFonts w:ascii="宋体" w:hAnsi="宋体"/>
                <w:szCs w:val="21"/>
                <w:u w:val="single"/>
              </w:rPr>
              <w:t>Meng Zhang</w:t>
            </w:r>
            <w:r>
              <w:rPr>
                <w:rFonts w:ascii="宋体" w:hAnsi="宋体"/>
                <w:szCs w:val="21"/>
              </w:rPr>
              <w:t>,</w:t>
            </w:r>
            <w:r>
              <w:rPr>
                <w:rFonts w:hint="eastAsia" w:ascii="宋体" w:hAnsi="宋体"/>
                <w:szCs w:val="21"/>
              </w:rPr>
              <w:t xml:space="preserve"> </w:t>
            </w:r>
            <w:r>
              <w:rPr>
                <w:rFonts w:ascii="宋体" w:hAnsi="宋体"/>
                <w:szCs w:val="21"/>
                <w:u w:val="single"/>
              </w:rPr>
              <w:t>Dongli Sun</w:t>
            </w:r>
            <w:r>
              <w:rPr>
                <w:rFonts w:ascii="宋体" w:hAnsi="宋体"/>
                <w:szCs w:val="21"/>
              </w:rPr>
              <w:t>,</w:t>
            </w:r>
            <w:r>
              <w:rPr>
                <w:rFonts w:hint="eastAsia" w:ascii="宋体" w:hAnsi="宋体"/>
                <w:szCs w:val="21"/>
              </w:rPr>
              <w:t xml:space="preserve"> </w:t>
            </w:r>
            <w:r>
              <w:rPr>
                <w:rFonts w:ascii="宋体" w:hAnsi="宋体"/>
                <w:szCs w:val="21"/>
              </w:rPr>
              <w:t>Xiaojun Zhu,</w:t>
            </w:r>
            <w:r>
              <w:rPr>
                <w:rFonts w:hint="eastAsia" w:ascii="宋体" w:hAnsi="宋体"/>
                <w:szCs w:val="21"/>
              </w:rPr>
              <w:t xml:space="preserve"> </w:t>
            </w:r>
            <w:r>
              <w:rPr>
                <w:rFonts w:ascii="宋体" w:hAnsi="宋体"/>
                <w:szCs w:val="21"/>
                <w:u w:val="single"/>
              </w:rPr>
              <w:t>Yao Yao</w:t>
            </w:r>
            <w:r>
              <w:rPr>
                <w:rFonts w:ascii="宋体" w:hAnsi="宋体"/>
                <w:szCs w:val="21"/>
              </w:rPr>
              <w:t>,</w:t>
            </w:r>
            <w:r>
              <w:rPr>
                <w:rFonts w:hint="eastAsia" w:ascii="宋体" w:hAnsi="宋体"/>
                <w:szCs w:val="21"/>
              </w:rPr>
              <w:t xml:space="preserve"> </w:t>
            </w:r>
            <w:r>
              <w:rPr>
                <w:rFonts w:ascii="宋体" w:hAnsi="宋体"/>
                <w:szCs w:val="21"/>
                <w:u w:val="single"/>
              </w:rPr>
              <w:t>Weidong Fei</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2024 Apr;368:466-480.</w:t>
            </w:r>
          </w:p>
          <w:p w14:paraId="70BA972E">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3</w:t>
            </w:r>
            <w:r>
              <w:rPr>
                <w:rStyle w:val="8"/>
                <w:rFonts w:hint="eastAsia" w:ascii="宋体" w:hAnsi="宋体"/>
                <w:b w:val="0"/>
                <w:bCs w:val="0"/>
                <w:color w:val="auto"/>
                <w:sz w:val="21"/>
                <w:szCs w:val="21"/>
              </w:rPr>
              <w:t>.</w:t>
            </w:r>
            <w:r>
              <w:rPr>
                <w:rStyle w:val="8"/>
                <w:rFonts w:ascii="宋体" w:hAnsi="宋体"/>
                <w:b w:val="0"/>
                <w:bCs w:val="0"/>
                <w:color w:val="auto"/>
                <w:sz w:val="21"/>
                <w:szCs w:val="21"/>
              </w:rPr>
              <w:t>Size-dependent placental retention effect of liposomes in ICR pregnant mice: Potential superiority in placenta-derived disease therapy</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International journal of pharmaceutics</w:t>
            </w:r>
            <w:r>
              <w:rPr>
                <w:rStyle w:val="8"/>
                <w:rFonts w:hint="eastAsia" w:ascii="宋体" w:hAnsi="宋体"/>
                <w:b w:val="0"/>
                <w:bCs w:val="0"/>
                <w:color w:val="auto"/>
                <w:sz w:val="21"/>
                <w:szCs w:val="21"/>
              </w:rPr>
              <w:t xml:space="preserve">; </w:t>
            </w:r>
            <w:r>
              <w:rPr>
                <w:rFonts w:ascii="宋体" w:hAnsi="宋体"/>
                <w:szCs w:val="21"/>
              </w:rPr>
              <w:t>Miao Tang</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Xiao Zhang</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Dongli Sun</w:t>
            </w:r>
            <w:r>
              <w:rPr>
                <w:rFonts w:ascii="宋体" w:hAnsi="宋体"/>
                <w:szCs w:val="21"/>
              </w:rPr>
              <w:t>,</w:t>
            </w:r>
            <w:r>
              <w:rPr>
                <w:rFonts w:hint="eastAsia" w:ascii="宋体" w:hAnsi="宋体"/>
                <w:szCs w:val="21"/>
              </w:rPr>
              <w:t xml:space="preserve"> </w:t>
            </w:r>
            <w:r>
              <w:rPr>
                <w:rFonts w:ascii="宋体" w:hAnsi="宋体"/>
                <w:szCs w:val="21"/>
                <w:u w:val="single"/>
              </w:rPr>
              <w:t>Yao Yao</w:t>
            </w:r>
            <w:r>
              <w:rPr>
                <w:rFonts w:ascii="宋体" w:hAnsi="宋体"/>
                <w:szCs w:val="21"/>
              </w:rPr>
              <w:t>,</w:t>
            </w:r>
            <w:r>
              <w:rPr>
                <w:rFonts w:hint="eastAsia" w:ascii="宋体" w:hAnsi="宋体"/>
                <w:szCs w:val="21"/>
              </w:rPr>
              <w:t xml:space="preserve"> </w:t>
            </w:r>
            <w:r>
              <w:rPr>
                <w:rFonts w:ascii="宋体" w:hAnsi="宋体"/>
                <w:szCs w:val="21"/>
              </w:rPr>
              <w:t>Yunchun Zhao,</w:t>
            </w:r>
            <w:r>
              <w:rPr>
                <w:rFonts w:hint="eastAsia" w:ascii="宋体" w:hAnsi="宋体"/>
                <w:szCs w:val="21"/>
              </w:rPr>
              <w:t xml:space="preserve"> </w:t>
            </w:r>
            <w:r>
              <w:rPr>
                <w:rFonts w:ascii="宋体" w:hAnsi="宋体"/>
                <w:szCs w:val="21"/>
                <w:u w:val="single"/>
              </w:rPr>
              <w:t>Weidong Fei</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2022 Sep 25;625:122121.</w:t>
            </w:r>
          </w:p>
          <w:p w14:paraId="4146AFF4">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4</w:t>
            </w:r>
            <w:r>
              <w:rPr>
                <w:rStyle w:val="8"/>
                <w:rFonts w:hint="eastAsia" w:ascii="宋体" w:hAnsi="宋体"/>
                <w:b w:val="0"/>
                <w:bCs w:val="0"/>
                <w:color w:val="auto"/>
                <w:sz w:val="21"/>
                <w:szCs w:val="21"/>
              </w:rPr>
              <w:t>.</w:t>
            </w:r>
            <w:r>
              <w:rPr>
                <w:rStyle w:val="8"/>
                <w:rFonts w:ascii="宋体" w:hAnsi="宋体"/>
                <w:b w:val="0"/>
                <w:bCs w:val="0"/>
                <w:color w:val="auto"/>
                <w:sz w:val="21"/>
                <w:szCs w:val="21"/>
              </w:rPr>
              <w:t>Uterine first-pass effect: Unlocking the potential of vaginally administered ritodrine-loaded thermosensitive gel for uterine drug delivery</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European journal of pharmaceutical sciences</w:t>
            </w:r>
            <w:r>
              <w:rPr>
                <w:rStyle w:val="8"/>
                <w:rFonts w:hint="eastAsia" w:ascii="宋体" w:hAnsi="宋体"/>
                <w:b w:val="0"/>
                <w:bCs w:val="0"/>
                <w:color w:val="auto"/>
                <w:sz w:val="21"/>
                <w:szCs w:val="21"/>
              </w:rPr>
              <w:t xml:space="preserve">; </w:t>
            </w:r>
            <w:r>
              <w:rPr>
                <w:rFonts w:ascii="宋体" w:hAnsi="宋体"/>
                <w:szCs w:val="21"/>
              </w:rPr>
              <w:t>Yu Xin</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Weidong Fei</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Meng Zhang</w:t>
            </w:r>
            <w:r>
              <w:rPr>
                <w:rFonts w:ascii="宋体" w:hAnsi="宋体"/>
                <w:szCs w:val="21"/>
              </w:rPr>
              <w:t>,</w:t>
            </w:r>
            <w:r>
              <w:rPr>
                <w:rFonts w:hint="eastAsia" w:ascii="宋体" w:hAnsi="宋体"/>
                <w:szCs w:val="21"/>
              </w:rPr>
              <w:t xml:space="preserve"> </w:t>
            </w:r>
            <w:r>
              <w:rPr>
                <w:rFonts w:ascii="宋体" w:hAnsi="宋体"/>
                <w:szCs w:val="21"/>
                <w:u w:val="single"/>
              </w:rPr>
              <w:t>Yue Chen</w:t>
            </w:r>
            <w:r>
              <w:rPr>
                <w:rFonts w:ascii="宋体" w:hAnsi="宋体"/>
                <w:szCs w:val="21"/>
              </w:rPr>
              <w:t>,</w:t>
            </w:r>
            <w:r>
              <w:rPr>
                <w:rFonts w:hint="eastAsia" w:ascii="宋体" w:hAnsi="宋体"/>
                <w:szCs w:val="21"/>
              </w:rPr>
              <w:t xml:space="preserve"> </w:t>
            </w:r>
            <w:r>
              <w:rPr>
                <w:rFonts w:ascii="宋体" w:hAnsi="宋体"/>
                <w:szCs w:val="21"/>
              </w:rPr>
              <w:t>Yujie Peng,</w:t>
            </w:r>
            <w:r>
              <w:rPr>
                <w:rFonts w:hint="eastAsia" w:ascii="宋体" w:hAnsi="宋体"/>
                <w:szCs w:val="21"/>
              </w:rPr>
              <w:t xml:space="preserve"> </w:t>
            </w:r>
            <w:r>
              <w:rPr>
                <w:rFonts w:ascii="宋体" w:hAnsi="宋体"/>
                <w:szCs w:val="21"/>
                <w:u w:val="single"/>
              </w:rPr>
              <w:t>Dongli Sun</w:t>
            </w:r>
            <w:r>
              <w:rPr>
                <w:rFonts w:ascii="宋体" w:hAnsi="宋体"/>
                <w:szCs w:val="21"/>
              </w:rPr>
              <w:t>,</w:t>
            </w:r>
            <w:r>
              <w:rPr>
                <w:rFonts w:hint="eastAsia" w:ascii="宋体" w:hAnsi="宋体"/>
                <w:szCs w:val="21"/>
              </w:rPr>
              <w:t xml:space="preserve"> </w:t>
            </w:r>
            <w:r>
              <w:rPr>
                <w:rFonts w:ascii="宋体" w:hAnsi="宋体"/>
                <w:szCs w:val="21"/>
                <w:u w:val="single"/>
              </w:rPr>
              <w:t>Xiaoling Zheng</w:t>
            </w:r>
            <w:r>
              <w:rPr>
                <w:rFonts w:ascii="宋体" w:hAnsi="宋体"/>
                <w:szCs w:val="21"/>
              </w:rPr>
              <w:t>,</w:t>
            </w:r>
            <w:r>
              <w:rPr>
                <w:rFonts w:hint="eastAsia" w:ascii="宋体" w:hAnsi="宋体"/>
                <w:szCs w:val="21"/>
              </w:rPr>
              <w:t xml:space="preserve"> </w:t>
            </w:r>
            <w:r>
              <w:rPr>
                <w:rFonts w:ascii="宋体" w:hAnsi="宋体"/>
                <w:szCs w:val="21"/>
              </w:rPr>
              <w:t>Xiaojun Zhu,</w:t>
            </w:r>
            <w:r>
              <w:rPr>
                <w:rFonts w:hint="eastAsia" w:ascii="宋体" w:hAnsi="宋体"/>
                <w:szCs w:val="21"/>
              </w:rPr>
              <w:t xml:space="preserve"> </w:t>
            </w:r>
            <w:r>
              <w:rPr>
                <w:rFonts w:ascii="宋体" w:hAnsi="宋体"/>
                <w:szCs w:val="21"/>
              </w:rPr>
              <w:t>Yunchun Zhao</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2025 Jan 1:204:106945.</w:t>
            </w:r>
          </w:p>
          <w:p w14:paraId="4FD90160">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5</w:t>
            </w:r>
            <w:r>
              <w:rPr>
                <w:rStyle w:val="8"/>
                <w:rFonts w:hint="eastAsia" w:ascii="宋体" w:hAnsi="宋体"/>
                <w:b w:val="0"/>
                <w:bCs w:val="0"/>
                <w:color w:val="auto"/>
                <w:sz w:val="21"/>
                <w:szCs w:val="21"/>
              </w:rPr>
              <w:t>.</w:t>
            </w:r>
            <w:r>
              <w:rPr>
                <w:rStyle w:val="8"/>
                <w:rFonts w:ascii="宋体" w:hAnsi="宋体"/>
                <w:b w:val="0"/>
                <w:bCs w:val="0"/>
                <w:color w:val="auto"/>
                <w:sz w:val="21"/>
                <w:szCs w:val="21"/>
              </w:rPr>
              <w:t>Emerging pharmacologic interventions for pre-eclampsia treatment</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Expert opinion on therapeutic targets</w:t>
            </w:r>
            <w:r>
              <w:rPr>
                <w:rStyle w:val="8"/>
                <w:rFonts w:hint="eastAsia" w:ascii="宋体" w:hAnsi="宋体"/>
                <w:b w:val="0"/>
                <w:bCs w:val="0"/>
                <w:color w:val="auto"/>
                <w:sz w:val="21"/>
                <w:szCs w:val="21"/>
              </w:rPr>
              <w:t xml:space="preserve">; </w:t>
            </w:r>
            <w:r>
              <w:rPr>
                <w:rFonts w:ascii="宋体" w:hAnsi="宋体"/>
                <w:szCs w:val="21"/>
                <w:u w:val="single"/>
              </w:rPr>
              <w:t>Xiao Zhang</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Yue Chen</w:t>
            </w:r>
            <w:r>
              <w:rPr>
                <w:rFonts w:ascii="宋体" w:hAnsi="宋体"/>
                <w:szCs w:val="21"/>
              </w:rPr>
              <w:t>,</w:t>
            </w:r>
            <w:r>
              <w:rPr>
                <w:rFonts w:hint="eastAsia" w:ascii="宋体" w:hAnsi="宋体"/>
                <w:szCs w:val="21"/>
              </w:rPr>
              <w:t xml:space="preserve"> </w:t>
            </w:r>
            <w:r>
              <w:rPr>
                <w:rFonts w:ascii="宋体" w:hAnsi="宋体"/>
                <w:szCs w:val="21"/>
                <w:u w:val="single"/>
              </w:rPr>
              <w:t>Dongli Sun</w:t>
            </w:r>
            <w:r>
              <w:rPr>
                <w:rFonts w:ascii="宋体" w:hAnsi="宋体"/>
                <w:szCs w:val="21"/>
              </w:rPr>
              <w:t>,</w:t>
            </w:r>
            <w:r>
              <w:rPr>
                <w:rFonts w:hint="eastAsia" w:ascii="宋体" w:hAnsi="宋体"/>
                <w:szCs w:val="21"/>
              </w:rPr>
              <w:t xml:space="preserve"> </w:t>
            </w:r>
            <w:r>
              <w:rPr>
                <w:rFonts w:ascii="宋体" w:hAnsi="宋体"/>
                <w:szCs w:val="21"/>
              </w:rPr>
              <w:t>Xiaojun Zhu,</w:t>
            </w:r>
            <w:r>
              <w:rPr>
                <w:rFonts w:hint="eastAsia" w:ascii="宋体" w:hAnsi="宋体"/>
                <w:szCs w:val="21"/>
              </w:rPr>
              <w:t xml:space="preserve"> </w:t>
            </w:r>
            <w:r>
              <w:rPr>
                <w:rFonts w:ascii="宋体" w:hAnsi="宋体"/>
                <w:szCs w:val="21"/>
              </w:rPr>
              <w:t>Xia Ying,</w:t>
            </w:r>
            <w:r>
              <w:rPr>
                <w:rFonts w:hint="eastAsia" w:ascii="宋体" w:hAnsi="宋体"/>
                <w:szCs w:val="21"/>
              </w:rPr>
              <w:t xml:space="preserve"> </w:t>
            </w:r>
            <w:r>
              <w:rPr>
                <w:rFonts w:ascii="宋体" w:hAnsi="宋体"/>
                <w:szCs w:val="21"/>
                <w:u w:val="single"/>
              </w:rPr>
              <w:t>Yao Yao</w:t>
            </w:r>
            <w:r>
              <w:rPr>
                <w:rFonts w:ascii="宋体" w:hAnsi="宋体"/>
                <w:szCs w:val="21"/>
              </w:rPr>
              <w:t>,</w:t>
            </w:r>
            <w:r>
              <w:rPr>
                <w:rFonts w:hint="eastAsia" w:ascii="宋体" w:hAnsi="宋体"/>
                <w:szCs w:val="21"/>
              </w:rPr>
              <w:t xml:space="preserve"> </w:t>
            </w:r>
            <w:r>
              <w:rPr>
                <w:rFonts w:ascii="宋体" w:hAnsi="宋体"/>
                <w:szCs w:val="21"/>
                <w:u w:val="single"/>
              </w:rPr>
              <w:t>Weidong Fei</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2022 Aug;26(8):739-759.</w:t>
            </w:r>
          </w:p>
          <w:p w14:paraId="5316A2A1">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6</w:t>
            </w:r>
            <w:r>
              <w:rPr>
                <w:rStyle w:val="8"/>
                <w:rFonts w:hint="eastAsia" w:ascii="宋体" w:hAnsi="宋体"/>
                <w:b w:val="0"/>
                <w:bCs w:val="0"/>
                <w:color w:val="auto"/>
                <w:sz w:val="21"/>
                <w:szCs w:val="21"/>
              </w:rPr>
              <w:t>.</w:t>
            </w:r>
            <w:r>
              <w:rPr>
                <w:rStyle w:val="8"/>
                <w:rFonts w:ascii="宋体" w:hAnsi="宋体"/>
                <w:b w:val="0"/>
                <w:bCs w:val="0"/>
                <w:color w:val="auto"/>
                <w:sz w:val="21"/>
                <w:szCs w:val="21"/>
              </w:rPr>
              <w:t>Maternal-fetal immunity and recurrent spontaneous abortion</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American journal of reproductive immunology</w:t>
            </w:r>
            <w:r>
              <w:rPr>
                <w:rStyle w:val="8"/>
                <w:rFonts w:hint="eastAsia" w:ascii="宋体" w:hAnsi="宋体"/>
                <w:b w:val="0"/>
                <w:bCs w:val="0"/>
                <w:color w:val="auto"/>
                <w:sz w:val="21"/>
                <w:szCs w:val="21"/>
              </w:rPr>
              <w:t xml:space="preserve">; </w:t>
            </w:r>
            <w:r>
              <w:rPr>
                <w:rFonts w:ascii="宋体" w:hAnsi="宋体"/>
                <w:szCs w:val="21"/>
                <w:u w:val="single"/>
              </w:rPr>
              <w:t>Yao Yao</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Yiqing Ye</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rPr>
              <w:t>Jia Chen,</w:t>
            </w:r>
            <w:r>
              <w:rPr>
                <w:rFonts w:hint="eastAsia" w:ascii="宋体" w:hAnsi="宋体"/>
                <w:szCs w:val="21"/>
              </w:rPr>
              <w:t xml:space="preserve"> </w:t>
            </w:r>
            <w:r>
              <w:rPr>
                <w:rFonts w:ascii="宋体" w:hAnsi="宋体"/>
                <w:szCs w:val="21"/>
              </w:rPr>
              <w:t>Meng Zhang,</w:t>
            </w:r>
            <w:r>
              <w:rPr>
                <w:rFonts w:hint="eastAsia" w:ascii="宋体" w:hAnsi="宋体"/>
                <w:szCs w:val="21"/>
              </w:rPr>
              <w:t xml:space="preserve"> </w:t>
            </w:r>
            <w:r>
              <w:rPr>
                <w:rFonts w:ascii="宋体" w:hAnsi="宋体"/>
                <w:szCs w:val="21"/>
              </w:rPr>
              <w:t>Xiaoyu Cai</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2024 May;91(5):e13859.</w:t>
            </w:r>
          </w:p>
          <w:p w14:paraId="2669E3C4">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7</w:t>
            </w:r>
            <w:r>
              <w:rPr>
                <w:rStyle w:val="8"/>
                <w:rFonts w:hint="eastAsia" w:ascii="宋体" w:hAnsi="宋体"/>
                <w:b w:val="0"/>
                <w:bCs w:val="0"/>
                <w:color w:val="auto"/>
                <w:sz w:val="21"/>
                <w:szCs w:val="21"/>
              </w:rPr>
              <w:t>.</w:t>
            </w:r>
            <w:r>
              <w:rPr>
                <w:rStyle w:val="8"/>
                <w:rFonts w:ascii="宋体" w:hAnsi="宋体"/>
                <w:b w:val="0"/>
                <w:bCs w:val="0"/>
                <w:color w:val="auto"/>
                <w:sz w:val="21"/>
                <w:szCs w:val="21"/>
              </w:rPr>
              <w:t>Regulating Gut Microbiome: Therapeutic Strategy for Rheumatoid Arthritis During Pregnancy and Lactation</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Frontiers in pharmacology</w:t>
            </w:r>
            <w:r>
              <w:rPr>
                <w:rStyle w:val="8"/>
                <w:rFonts w:hint="eastAsia" w:ascii="宋体" w:hAnsi="宋体"/>
                <w:b w:val="0"/>
                <w:bCs w:val="0"/>
                <w:color w:val="auto"/>
                <w:sz w:val="21"/>
                <w:szCs w:val="21"/>
              </w:rPr>
              <w:t xml:space="preserve">; </w:t>
            </w:r>
            <w:r>
              <w:rPr>
                <w:rFonts w:ascii="宋体" w:hAnsi="宋体"/>
                <w:szCs w:val="21"/>
                <w:u w:val="single"/>
              </w:rPr>
              <w:t>Yao Yao</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rPr>
              <w:t>Xiaoyu Cai</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Weidong Fei</w:t>
            </w:r>
            <w:r>
              <w:rPr>
                <w:rFonts w:ascii="宋体" w:hAnsi="宋体"/>
                <w:szCs w:val="21"/>
              </w:rPr>
              <w:t>,</w:t>
            </w:r>
            <w:r>
              <w:rPr>
                <w:rFonts w:hint="eastAsia" w:ascii="宋体" w:hAnsi="宋体"/>
                <w:szCs w:val="21"/>
              </w:rPr>
              <w:t xml:space="preserve"> </w:t>
            </w:r>
            <w:r>
              <w:rPr>
                <w:rFonts w:ascii="宋体" w:hAnsi="宋体"/>
                <w:szCs w:val="21"/>
              </w:rPr>
              <w:t>Fujia Ren,</w:t>
            </w:r>
            <w:r>
              <w:rPr>
                <w:rFonts w:hint="eastAsia" w:ascii="宋体" w:hAnsi="宋体"/>
                <w:szCs w:val="21"/>
              </w:rPr>
              <w:t xml:space="preserve"> </w:t>
            </w:r>
            <w:r>
              <w:rPr>
                <w:rFonts w:ascii="宋体" w:hAnsi="宋体"/>
                <w:szCs w:val="21"/>
              </w:rPr>
              <w:t>Fengmei Wang,</w:t>
            </w:r>
            <w:r>
              <w:rPr>
                <w:rFonts w:hint="eastAsia" w:ascii="宋体" w:hAnsi="宋体"/>
                <w:szCs w:val="21"/>
              </w:rPr>
              <w:t xml:space="preserve"> </w:t>
            </w:r>
            <w:r>
              <w:rPr>
                <w:rFonts w:ascii="宋体" w:hAnsi="宋体"/>
                <w:szCs w:val="21"/>
              </w:rPr>
              <w:t>Xiaofei Luan,</w:t>
            </w:r>
            <w:r>
              <w:rPr>
                <w:rFonts w:hint="eastAsia" w:ascii="宋体" w:hAnsi="宋体"/>
                <w:szCs w:val="21"/>
              </w:rPr>
              <w:t xml:space="preserve"> </w:t>
            </w:r>
            <w:r>
              <w:rPr>
                <w:rFonts w:ascii="宋体" w:hAnsi="宋体"/>
                <w:szCs w:val="21"/>
              </w:rPr>
              <w:t>Fengying Chen</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2020 Nov 11;11:594042. </w:t>
            </w:r>
          </w:p>
          <w:p w14:paraId="4753918C">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8</w:t>
            </w:r>
            <w:r>
              <w:rPr>
                <w:rStyle w:val="8"/>
                <w:rFonts w:hint="eastAsia" w:ascii="宋体" w:hAnsi="宋体"/>
                <w:b w:val="0"/>
                <w:bCs w:val="0"/>
                <w:color w:val="auto"/>
                <w:sz w:val="21"/>
                <w:szCs w:val="21"/>
              </w:rPr>
              <w:t>.</w:t>
            </w:r>
            <w:r>
              <w:rPr>
                <w:rStyle w:val="8"/>
                <w:rFonts w:ascii="宋体" w:hAnsi="宋体"/>
                <w:b w:val="0"/>
                <w:bCs w:val="0"/>
                <w:color w:val="auto"/>
                <w:sz w:val="21"/>
                <w:szCs w:val="21"/>
              </w:rPr>
              <w:t>The Role of Microbiomes in Pregnant Women and Offspring: Research Progress of Recent Years</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Frontiers in pharmacology</w:t>
            </w:r>
            <w:r>
              <w:rPr>
                <w:rStyle w:val="8"/>
                <w:rFonts w:hint="eastAsia" w:ascii="宋体" w:hAnsi="宋体"/>
                <w:b w:val="0"/>
                <w:bCs w:val="0"/>
                <w:color w:val="auto"/>
                <w:sz w:val="21"/>
                <w:szCs w:val="21"/>
              </w:rPr>
              <w:t xml:space="preserve">; </w:t>
            </w:r>
            <w:r>
              <w:rPr>
                <w:rFonts w:ascii="宋体" w:hAnsi="宋体"/>
                <w:szCs w:val="21"/>
                <w:u w:val="single"/>
              </w:rPr>
              <w:t>Yao Yao</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rPr>
              <w:t>Xiaoyu Cai</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rPr>
              <w:t>Chunyan Chen,</w:t>
            </w:r>
            <w:r>
              <w:rPr>
                <w:rFonts w:hint="eastAsia" w:ascii="宋体" w:hAnsi="宋体"/>
                <w:szCs w:val="21"/>
              </w:rPr>
              <w:t xml:space="preserve"> </w:t>
            </w:r>
            <w:r>
              <w:rPr>
                <w:rFonts w:ascii="宋体" w:hAnsi="宋体"/>
                <w:szCs w:val="21"/>
              </w:rPr>
              <w:t>Hui Fang,</w:t>
            </w:r>
            <w:r>
              <w:rPr>
                <w:rFonts w:hint="eastAsia" w:ascii="宋体" w:hAnsi="宋体"/>
                <w:szCs w:val="21"/>
              </w:rPr>
              <w:t xml:space="preserve"> </w:t>
            </w:r>
            <w:r>
              <w:rPr>
                <w:rFonts w:ascii="宋体" w:hAnsi="宋体"/>
                <w:szCs w:val="21"/>
              </w:rPr>
              <w:t>Yunchun Zhao,</w:t>
            </w:r>
            <w:r>
              <w:rPr>
                <w:rFonts w:hint="eastAsia" w:ascii="宋体" w:hAnsi="宋体"/>
                <w:szCs w:val="21"/>
              </w:rPr>
              <w:t xml:space="preserve"> </w:t>
            </w:r>
            <w:r>
              <w:rPr>
                <w:rFonts w:ascii="宋体" w:hAnsi="宋体"/>
                <w:szCs w:val="21"/>
                <w:u w:val="single"/>
              </w:rPr>
              <w:t>Weidong Fei</w:t>
            </w:r>
            <w:r>
              <w:rPr>
                <w:rFonts w:ascii="宋体" w:hAnsi="宋体"/>
                <w:szCs w:val="21"/>
              </w:rPr>
              <w:t>,</w:t>
            </w:r>
            <w:r>
              <w:rPr>
                <w:rFonts w:hint="eastAsia" w:ascii="宋体" w:hAnsi="宋体"/>
                <w:szCs w:val="21"/>
              </w:rPr>
              <w:t xml:space="preserve"> </w:t>
            </w:r>
            <w:r>
              <w:rPr>
                <w:rFonts w:ascii="宋体" w:hAnsi="宋体"/>
                <w:szCs w:val="21"/>
              </w:rPr>
              <w:t>Fengying Chen</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2020 May 8;11:643.</w:t>
            </w:r>
          </w:p>
          <w:p w14:paraId="6C037C4D">
            <w:pPr>
              <w:contextualSpacing/>
              <w:rPr>
                <w:rStyle w:val="8"/>
                <w:rFonts w:hint="eastAsia" w:ascii="宋体" w:hAnsi="宋体"/>
                <w:b w:val="0"/>
                <w:bCs w:val="0"/>
                <w:color w:val="auto"/>
                <w:sz w:val="21"/>
                <w:szCs w:val="21"/>
              </w:rPr>
            </w:pPr>
            <w:r>
              <w:rPr>
                <w:rStyle w:val="8"/>
                <w:rFonts w:ascii="宋体" w:hAnsi="宋体"/>
                <w:b w:val="0"/>
                <w:bCs w:val="0"/>
                <w:color w:val="auto"/>
                <w:sz w:val="21"/>
                <w:szCs w:val="21"/>
              </w:rPr>
              <w:t>9</w:t>
            </w:r>
            <w:r>
              <w:rPr>
                <w:rStyle w:val="8"/>
                <w:rFonts w:hint="eastAsia" w:ascii="宋体" w:hAnsi="宋体"/>
                <w:b w:val="0"/>
                <w:bCs w:val="0"/>
                <w:color w:val="auto"/>
                <w:sz w:val="21"/>
                <w:szCs w:val="21"/>
              </w:rPr>
              <w:t>.</w:t>
            </w:r>
            <w:r>
              <w:rPr>
                <w:rStyle w:val="8"/>
                <w:rFonts w:ascii="宋体" w:hAnsi="宋体"/>
                <w:b w:val="0"/>
                <w:bCs w:val="0"/>
                <w:color w:val="auto"/>
                <w:sz w:val="21"/>
                <w:szCs w:val="21"/>
              </w:rPr>
              <w:t>The Role of Microbiota in Infant Health: From Early Life to Adulthood</w:t>
            </w:r>
            <w:r>
              <w:rPr>
                <w:rStyle w:val="8"/>
                <w:rFonts w:hint="eastAsia" w:ascii="宋体" w:hAnsi="宋体"/>
                <w:b w:val="0"/>
                <w:bCs w:val="0"/>
                <w:color w:val="auto"/>
                <w:sz w:val="21"/>
                <w:szCs w:val="21"/>
              </w:rPr>
              <w:t xml:space="preserve">, </w:t>
            </w:r>
            <w:r>
              <w:rPr>
                <w:rStyle w:val="8"/>
                <w:rFonts w:ascii="宋体" w:hAnsi="宋体"/>
                <w:b w:val="0"/>
                <w:bCs w:val="0"/>
                <w:color w:val="auto"/>
                <w:sz w:val="21"/>
                <w:szCs w:val="21"/>
              </w:rPr>
              <w:t>Frontiers in immunology</w:t>
            </w:r>
            <w:r>
              <w:rPr>
                <w:rStyle w:val="8"/>
                <w:rFonts w:hint="eastAsia" w:ascii="宋体" w:hAnsi="宋体"/>
                <w:b w:val="0"/>
                <w:bCs w:val="0"/>
                <w:color w:val="auto"/>
                <w:sz w:val="21"/>
                <w:szCs w:val="21"/>
              </w:rPr>
              <w:t xml:space="preserve">; </w:t>
            </w:r>
            <w:r>
              <w:rPr>
                <w:rFonts w:ascii="宋体" w:hAnsi="宋体"/>
                <w:szCs w:val="21"/>
                <w:u w:val="single"/>
              </w:rPr>
              <w:t>Yao Yao</w:t>
            </w:r>
            <w:r>
              <w:rPr>
                <w:rFonts w:hint="eastAsia" w:ascii="宋体" w:hAnsi="宋体"/>
                <w:szCs w:val="21"/>
                <w:u w:val="single"/>
                <w:vertAlign w:val="superscript"/>
              </w:rPr>
              <w:t>#</w:t>
            </w:r>
            <w:r>
              <w:rPr>
                <w:rFonts w:ascii="宋体" w:hAnsi="宋体"/>
                <w:szCs w:val="21"/>
              </w:rPr>
              <w:t>,</w:t>
            </w:r>
            <w:r>
              <w:rPr>
                <w:rFonts w:hint="eastAsia" w:ascii="宋体" w:hAnsi="宋体"/>
                <w:szCs w:val="21"/>
              </w:rPr>
              <w:t xml:space="preserve"> </w:t>
            </w:r>
            <w:r>
              <w:rPr>
                <w:rFonts w:ascii="宋体" w:hAnsi="宋体"/>
                <w:szCs w:val="21"/>
              </w:rPr>
              <w:t>Xiaoyu Cai</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Yiqing Ye</w:t>
            </w:r>
            <w:r>
              <w:rPr>
                <w:rFonts w:ascii="宋体" w:hAnsi="宋体"/>
                <w:szCs w:val="21"/>
              </w:rPr>
              <w:t>,</w:t>
            </w:r>
            <w:r>
              <w:rPr>
                <w:rFonts w:hint="eastAsia" w:ascii="宋体" w:hAnsi="宋体"/>
                <w:szCs w:val="21"/>
              </w:rPr>
              <w:t xml:space="preserve"> </w:t>
            </w:r>
            <w:r>
              <w:rPr>
                <w:rFonts w:ascii="宋体" w:hAnsi="宋体"/>
                <w:szCs w:val="21"/>
                <w:u w:val="single"/>
              </w:rPr>
              <w:t>Fengmei Wang</w:t>
            </w:r>
            <w:r>
              <w:rPr>
                <w:rFonts w:ascii="宋体" w:hAnsi="宋体"/>
                <w:szCs w:val="21"/>
              </w:rPr>
              <w:t>,</w:t>
            </w:r>
            <w:r>
              <w:rPr>
                <w:rFonts w:hint="eastAsia" w:ascii="宋体" w:hAnsi="宋体"/>
                <w:szCs w:val="21"/>
              </w:rPr>
              <w:t xml:space="preserve"> </w:t>
            </w:r>
            <w:r>
              <w:rPr>
                <w:rFonts w:ascii="宋体" w:hAnsi="宋体"/>
                <w:szCs w:val="21"/>
              </w:rPr>
              <w:t>Fengying Chen</w:t>
            </w:r>
            <w:r>
              <w:rPr>
                <w:rFonts w:hint="eastAsia" w:ascii="宋体" w:hAnsi="宋体"/>
                <w:szCs w:val="21"/>
                <w:vertAlign w:val="superscript"/>
              </w:rPr>
              <w:t>*</w:t>
            </w:r>
            <w:r>
              <w:rPr>
                <w:rFonts w:ascii="宋体" w:hAnsi="宋体"/>
                <w:szCs w:val="21"/>
              </w:rPr>
              <w:t>,</w:t>
            </w:r>
            <w:r>
              <w:rPr>
                <w:rFonts w:hint="eastAsia" w:ascii="宋体" w:hAnsi="宋体"/>
                <w:szCs w:val="21"/>
              </w:rPr>
              <w:t xml:space="preserve"> </w:t>
            </w:r>
            <w:r>
              <w:rPr>
                <w:rFonts w:ascii="宋体" w:hAnsi="宋体"/>
                <w:szCs w:val="21"/>
                <w:u w:val="single"/>
              </w:rPr>
              <w:t>Caihong Zheng</w:t>
            </w:r>
            <w:r>
              <w:rPr>
                <w:rFonts w:hint="eastAsia" w:ascii="宋体" w:hAnsi="宋体"/>
                <w:szCs w:val="21"/>
                <w:u w:val="single"/>
                <w:vertAlign w:val="superscript"/>
              </w:rPr>
              <w:t>*</w:t>
            </w:r>
            <w:r>
              <w:rPr>
                <w:rFonts w:hint="eastAsia" w:ascii="宋体" w:hAnsi="宋体"/>
                <w:szCs w:val="21"/>
              </w:rPr>
              <w:t xml:space="preserve">; </w:t>
            </w:r>
            <w:r>
              <w:rPr>
                <w:rFonts w:ascii="宋体" w:hAnsi="宋体"/>
                <w:szCs w:val="21"/>
              </w:rPr>
              <w:t>2021 Oct 7;12:708472.</w:t>
            </w:r>
          </w:p>
          <w:p w14:paraId="2E77B790">
            <w:pPr>
              <w:contextualSpacing/>
              <w:rPr>
                <w:rStyle w:val="8"/>
                <w:rFonts w:hint="eastAsia" w:ascii="宋体" w:hAnsi="宋体"/>
                <w:b w:val="0"/>
                <w:bCs w:val="0"/>
                <w:color w:val="auto"/>
                <w:sz w:val="21"/>
                <w:szCs w:val="21"/>
              </w:rPr>
            </w:pPr>
            <w:r>
              <w:rPr>
                <w:rStyle w:val="8"/>
                <w:rFonts w:hint="eastAsia" w:ascii="宋体" w:hAnsi="宋体"/>
                <w:b w:val="0"/>
                <w:bCs w:val="0"/>
                <w:color w:val="auto"/>
                <w:sz w:val="21"/>
                <w:szCs w:val="21"/>
              </w:rPr>
              <w:t>10.妊娠期哺乳期药物咨询门诊的开设与实践，实用药物与临床，叶淑雅</w:t>
            </w:r>
            <w:r>
              <w:rPr>
                <w:rStyle w:val="8"/>
                <w:rFonts w:hint="eastAsia" w:ascii="宋体" w:hAnsi="宋体"/>
                <w:b w:val="0"/>
                <w:bCs w:val="0"/>
                <w:color w:val="auto"/>
                <w:sz w:val="21"/>
                <w:szCs w:val="21"/>
                <w:vertAlign w:val="superscript"/>
              </w:rPr>
              <w:t>#</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郑彩虹</w:t>
            </w:r>
            <w:r>
              <w:rPr>
                <w:rStyle w:val="8"/>
                <w:rFonts w:hint="eastAsia" w:ascii="宋体" w:hAnsi="宋体"/>
                <w:b w:val="0"/>
                <w:bCs w:val="0"/>
                <w:color w:val="auto"/>
                <w:sz w:val="21"/>
                <w:szCs w:val="21"/>
                <w:u w:val="single"/>
                <w:vertAlign w:val="superscript"/>
              </w:rPr>
              <w:t>*</w:t>
            </w:r>
            <w:r>
              <w:rPr>
                <w:rStyle w:val="8"/>
                <w:rFonts w:hint="eastAsia" w:ascii="宋体" w:hAnsi="宋体"/>
                <w:b w:val="0"/>
                <w:bCs w:val="0"/>
                <w:color w:val="auto"/>
                <w:sz w:val="21"/>
                <w:szCs w:val="21"/>
              </w:rPr>
              <w:t>，2021,24(1): 91-96。</w:t>
            </w:r>
          </w:p>
          <w:p w14:paraId="68ECABF7">
            <w:pPr>
              <w:contextualSpacing/>
              <w:rPr>
                <w:rStyle w:val="8"/>
                <w:rFonts w:hint="eastAsia" w:ascii="宋体" w:hAnsi="宋体"/>
                <w:color w:val="auto"/>
                <w:sz w:val="21"/>
                <w:szCs w:val="21"/>
              </w:rPr>
            </w:pPr>
          </w:p>
          <w:p w14:paraId="002BE162">
            <w:pPr>
              <w:contextualSpacing/>
              <w:rPr>
                <w:rStyle w:val="8"/>
                <w:rFonts w:hint="eastAsia" w:ascii="宋体" w:hAnsi="宋体"/>
                <w:color w:val="auto"/>
                <w:sz w:val="21"/>
                <w:szCs w:val="21"/>
              </w:rPr>
            </w:pPr>
            <w:r>
              <w:rPr>
                <w:rStyle w:val="8"/>
                <w:rFonts w:hint="eastAsia" w:ascii="宋体" w:hAnsi="宋体"/>
                <w:color w:val="auto"/>
                <w:sz w:val="21"/>
                <w:szCs w:val="21"/>
              </w:rPr>
              <w:t>主要知识产权和标准规范</w:t>
            </w:r>
          </w:p>
          <w:p w14:paraId="2E5A1CF9">
            <w:pPr>
              <w:contextualSpacing/>
              <w:rPr>
                <w:rStyle w:val="8"/>
                <w:rFonts w:hint="eastAsia" w:ascii="宋体" w:hAnsi="宋体"/>
                <w:b w:val="0"/>
                <w:bCs w:val="0"/>
                <w:color w:val="auto"/>
                <w:sz w:val="21"/>
                <w:szCs w:val="21"/>
              </w:rPr>
            </w:pPr>
            <w:r>
              <w:rPr>
                <w:rStyle w:val="8"/>
                <w:rFonts w:hint="eastAsia" w:ascii="宋体" w:hAnsi="宋体"/>
                <w:b w:val="0"/>
                <w:bCs w:val="0"/>
                <w:color w:val="auto"/>
                <w:sz w:val="21"/>
                <w:szCs w:val="21"/>
              </w:rPr>
              <w:t>1.著作，妊娠期哺乳期用药手册，ISBN 978-7-117-35073-0，人民卫生出版社，本项目参与人：</w:t>
            </w:r>
            <w:r>
              <w:rPr>
                <w:rStyle w:val="8"/>
                <w:rFonts w:hint="eastAsia" w:ascii="宋体" w:hAnsi="宋体"/>
                <w:b w:val="0"/>
                <w:bCs w:val="0"/>
                <w:color w:val="auto"/>
                <w:sz w:val="21"/>
                <w:szCs w:val="21"/>
                <w:u w:val="single"/>
              </w:rPr>
              <w:t>郑彩虹（主编）</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叶轶青</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孙冬黎（编写秘书）</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吴凡</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吴巧爱</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汪凤梅</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张骁</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陈玥</w:t>
            </w:r>
            <w:r>
              <w:rPr>
                <w:rStyle w:val="8"/>
                <w:rFonts w:hint="eastAsia" w:ascii="宋体" w:hAnsi="宋体"/>
                <w:b w:val="0"/>
                <w:bCs w:val="0"/>
                <w:color w:val="auto"/>
                <w:sz w:val="21"/>
                <w:szCs w:val="21"/>
              </w:rPr>
              <w:t>；</w:t>
            </w:r>
          </w:p>
          <w:p w14:paraId="521648CF">
            <w:pPr>
              <w:contextualSpacing/>
              <w:rPr>
                <w:rStyle w:val="8"/>
                <w:rFonts w:hint="eastAsia" w:ascii="宋体" w:hAnsi="宋体"/>
                <w:b w:val="0"/>
                <w:bCs w:val="0"/>
                <w:color w:val="auto"/>
                <w:sz w:val="21"/>
                <w:szCs w:val="21"/>
              </w:rPr>
            </w:pPr>
            <w:r>
              <w:rPr>
                <w:rStyle w:val="8"/>
                <w:rFonts w:hint="eastAsia" w:ascii="宋体" w:hAnsi="宋体"/>
                <w:b w:val="0"/>
                <w:bCs w:val="0"/>
                <w:color w:val="auto"/>
                <w:sz w:val="21"/>
                <w:szCs w:val="21"/>
              </w:rPr>
              <w:t>2.著作，妊娠期哺乳期用药咨询案例与分析，ISBN 978-7117-36851-3，人民卫生出版社，本项目参与人：</w:t>
            </w:r>
            <w:r>
              <w:rPr>
                <w:rStyle w:val="8"/>
                <w:rFonts w:hint="eastAsia" w:ascii="宋体" w:hAnsi="宋体"/>
                <w:b w:val="0"/>
                <w:bCs w:val="0"/>
                <w:color w:val="auto"/>
                <w:sz w:val="21"/>
                <w:szCs w:val="21"/>
                <w:u w:val="single"/>
              </w:rPr>
              <w:t>郑彩虹（副主编）</w:t>
            </w:r>
            <w:r>
              <w:rPr>
                <w:rStyle w:val="8"/>
                <w:rFonts w:hint="eastAsia" w:ascii="宋体" w:hAnsi="宋体"/>
                <w:b w:val="0"/>
                <w:bCs w:val="0"/>
                <w:color w:val="auto"/>
                <w:sz w:val="21"/>
                <w:szCs w:val="21"/>
              </w:rPr>
              <w:t>、</w:t>
            </w:r>
            <w:r>
              <w:rPr>
                <w:rStyle w:val="8"/>
                <w:rFonts w:hint="eastAsia" w:ascii="宋体" w:hAnsi="宋体"/>
                <w:b w:val="0"/>
                <w:bCs w:val="0"/>
                <w:color w:val="auto"/>
                <w:sz w:val="21"/>
                <w:szCs w:val="21"/>
                <w:u w:val="single"/>
              </w:rPr>
              <w:t>汪凤梅</w:t>
            </w:r>
            <w:r>
              <w:rPr>
                <w:rStyle w:val="8"/>
                <w:rFonts w:hint="eastAsia" w:ascii="宋体" w:hAnsi="宋体"/>
                <w:b w:val="0"/>
                <w:bCs w:val="0"/>
                <w:color w:val="auto"/>
                <w:sz w:val="21"/>
                <w:szCs w:val="21"/>
              </w:rPr>
              <w:t>；</w:t>
            </w:r>
          </w:p>
          <w:p w14:paraId="3DACFD67">
            <w:pPr>
              <w:contextualSpacing/>
              <w:rPr>
                <w:rStyle w:val="8"/>
                <w:rFonts w:hint="eastAsia" w:ascii="宋体" w:hAnsi="宋体"/>
                <w:b w:val="0"/>
                <w:bCs w:val="0"/>
                <w:color w:val="auto"/>
                <w:sz w:val="21"/>
                <w:szCs w:val="21"/>
              </w:rPr>
            </w:pPr>
            <w:r>
              <w:rPr>
                <w:rStyle w:val="8"/>
                <w:rFonts w:hint="eastAsia" w:ascii="宋体" w:hAnsi="宋体"/>
                <w:b w:val="0"/>
                <w:bCs w:val="0"/>
                <w:color w:val="auto"/>
                <w:sz w:val="21"/>
                <w:szCs w:val="21"/>
              </w:rPr>
              <w:t>3.浙江省团体标准，妊娠用药咨询门诊患者随访规范，T/ZCHSP 006—2024，第一起草人：</w:t>
            </w:r>
            <w:r>
              <w:rPr>
                <w:rStyle w:val="8"/>
                <w:rFonts w:hint="eastAsia" w:ascii="宋体" w:hAnsi="宋体"/>
                <w:b w:val="0"/>
                <w:bCs w:val="0"/>
                <w:color w:val="auto"/>
                <w:sz w:val="21"/>
                <w:szCs w:val="21"/>
                <w:u w:val="single"/>
              </w:rPr>
              <w:t>郑彩虹</w:t>
            </w:r>
            <w:r>
              <w:rPr>
                <w:rStyle w:val="8"/>
                <w:rFonts w:hint="eastAsia" w:ascii="宋体" w:hAnsi="宋体"/>
                <w:b w:val="0"/>
                <w:bCs w:val="0"/>
                <w:color w:val="auto"/>
                <w:sz w:val="21"/>
                <w:szCs w:val="21"/>
              </w:rPr>
              <w:t>。</w:t>
            </w:r>
            <w:bookmarkEnd w:id="1"/>
          </w:p>
        </w:tc>
      </w:tr>
    </w:tbl>
    <w:p w14:paraId="7F139566">
      <w:pPr>
        <w:adjustRightInd w:val="0"/>
        <w:snapToGrid w:val="0"/>
        <w:spacing w:line="560" w:lineRule="exact"/>
        <w:rPr>
          <w:rFonts w:eastAsia="仿宋_GB2312"/>
          <w:sz w:val="32"/>
          <w:szCs w:val="32"/>
        </w:rPr>
      </w:pPr>
    </w:p>
    <w:p w14:paraId="438B447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71F28C9-0FB3-45B9-8287-6421F8217022}"/>
  </w:font>
  <w:font w:name="Arial">
    <w:panose1 w:val="020B0604020202020204"/>
    <w:charset w:val="01"/>
    <w:family w:val="swiss"/>
    <w:pitch w:val="default"/>
    <w:sig w:usb0="E0002EFF" w:usb1="C000785B" w:usb2="00000009" w:usb3="00000000" w:csb0="400001FF" w:csb1="FFFF0000"/>
    <w:embedRegular r:id="rId2" w:fontKey="{B1550767-0094-455B-9DA6-9F5FDFA5094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0FACBBB-3968-4347-9A2F-A75BD80AB235}"/>
  </w:font>
  <w:font w:name="Symbol">
    <w:panose1 w:val="05050102010706020507"/>
    <w:charset w:val="02"/>
    <w:family w:val="roman"/>
    <w:pitch w:val="default"/>
    <w:sig w:usb0="00000000" w:usb1="00000000" w:usb2="00000000" w:usb3="00000000" w:csb0="80000000" w:csb1="00000000"/>
    <w:embedRegular r:id="rId4" w:fontKey="{876AC1FD-DBED-4252-9E06-B0740DD73970}"/>
  </w:font>
  <w:font w:name="Calibri">
    <w:panose1 w:val="020F0502020204030204"/>
    <w:charset w:val="00"/>
    <w:family w:val="swiss"/>
    <w:pitch w:val="default"/>
    <w:sig w:usb0="E4002EFF" w:usb1="C200247B" w:usb2="00000009" w:usb3="00000000" w:csb0="200001FF" w:csb1="00000000"/>
    <w:embedRegular r:id="rId5" w:fontKey="{4142C373-D466-471B-B3DA-41BB298DA81A}"/>
  </w:font>
  <w:font w:name="方正小标宋简体">
    <w:altName w:val="微软雅黑"/>
    <w:panose1 w:val="00000000000000000000"/>
    <w:charset w:val="86"/>
    <w:family w:val="script"/>
    <w:pitch w:val="default"/>
    <w:sig w:usb0="00000000" w:usb1="00000000" w:usb2="00000012" w:usb3="00000000" w:csb0="00040001" w:csb1="00000000"/>
    <w:embedRegular r:id="rId6" w:fontKey="{7803A312-E17E-45ED-9714-48A69297ACEF}"/>
  </w:font>
  <w:font w:name="微软雅黑">
    <w:panose1 w:val="020B0503020204020204"/>
    <w:charset w:val="86"/>
    <w:family w:val="swiss"/>
    <w:pitch w:val="default"/>
    <w:sig w:usb0="80000287" w:usb1="2ACF3C50" w:usb2="00000016" w:usb3="00000000" w:csb0="0004001F" w:csb1="00000000"/>
    <w:embedRegular r:id="rId7" w:fontKey="{02BF18C7-2603-400E-8380-BA6E04FFAEF7}"/>
  </w:font>
  <w:font w:name="仿宋">
    <w:panose1 w:val="02010609060101010101"/>
    <w:charset w:val="86"/>
    <w:family w:val="modern"/>
    <w:pitch w:val="default"/>
    <w:sig w:usb0="800002BF" w:usb1="38CF7CFA" w:usb2="00000016" w:usb3="00000000" w:csb0="00040001" w:csb1="00000000"/>
    <w:embedRegular r:id="rId8" w:fontKey="{FE05B959-0D8B-445A-A010-21DA88C064B5}"/>
  </w:font>
  <w:font w:name="Segoe UI">
    <w:panose1 w:val="020B0502040204020203"/>
    <w:charset w:val="00"/>
    <w:family w:val="swiss"/>
    <w:pitch w:val="default"/>
    <w:sig w:usb0="E4002EFF" w:usb1="C000E47F" w:usb2="00000009" w:usb3="00000000" w:csb0="200001FF" w:csb1="00000000"/>
    <w:embedRegular r:id="rId9" w:fontKey="{A12941CB-78CD-415F-A25F-4B84FC0772CD}"/>
  </w:font>
  <w:font w:name="仿宋_GB2312">
    <w:altName w:val="仿宋"/>
    <w:panose1 w:val="00000000000000000000"/>
    <w:charset w:val="86"/>
    <w:family w:val="modern"/>
    <w:pitch w:val="default"/>
    <w:sig w:usb0="00000000" w:usb1="00000000" w:usb2="00000010" w:usb3="00000000" w:csb0="00040000" w:csb1="00000000"/>
    <w:embedRegular r:id="rId10" w:fontKey="{5E74CC45-562E-460E-9D43-D6A061754C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wZjk0NmY0MmMwZWQ2YzE2NjlmMjg1YmZlNGM5ZWUifQ=="/>
  </w:docVars>
  <w:rsids>
    <w:rsidRoot w:val="000E6961"/>
    <w:rsid w:val="00024E2D"/>
    <w:rsid w:val="00073BFB"/>
    <w:rsid w:val="000C0715"/>
    <w:rsid w:val="000E6961"/>
    <w:rsid w:val="00113DB6"/>
    <w:rsid w:val="0013140E"/>
    <w:rsid w:val="00165FFF"/>
    <w:rsid w:val="00182C92"/>
    <w:rsid w:val="001B2E2A"/>
    <w:rsid w:val="001B42D5"/>
    <w:rsid w:val="001B5E5E"/>
    <w:rsid w:val="001E714E"/>
    <w:rsid w:val="001F17BF"/>
    <w:rsid w:val="00201667"/>
    <w:rsid w:val="00206707"/>
    <w:rsid w:val="0029320B"/>
    <w:rsid w:val="002A7902"/>
    <w:rsid w:val="002C7F28"/>
    <w:rsid w:val="002E14EB"/>
    <w:rsid w:val="002E7477"/>
    <w:rsid w:val="0033682D"/>
    <w:rsid w:val="00346696"/>
    <w:rsid w:val="00361649"/>
    <w:rsid w:val="003703C3"/>
    <w:rsid w:val="00372606"/>
    <w:rsid w:val="003C7BAF"/>
    <w:rsid w:val="003E2769"/>
    <w:rsid w:val="00405548"/>
    <w:rsid w:val="00420B69"/>
    <w:rsid w:val="004364E5"/>
    <w:rsid w:val="004676AC"/>
    <w:rsid w:val="0047501B"/>
    <w:rsid w:val="004D169A"/>
    <w:rsid w:val="004D5006"/>
    <w:rsid w:val="00506C6C"/>
    <w:rsid w:val="005307B4"/>
    <w:rsid w:val="005446FD"/>
    <w:rsid w:val="0056200D"/>
    <w:rsid w:val="005776A9"/>
    <w:rsid w:val="0058144E"/>
    <w:rsid w:val="00597283"/>
    <w:rsid w:val="005974E8"/>
    <w:rsid w:val="005A2AF6"/>
    <w:rsid w:val="005A4AF0"/>
    <w:rsid w:val="005A5C7A"/>
    <w:rsid w:val="005D1C3C"/>
    <w:rsid w:val="005D5FD7"/>
    <w:rsid w:val="0060314B"/>
    <w:rsid w:val="00622A62"/>
    <w:rsid w:val="00626FF5"/>
    <w:rsid w:val="00662290"/>
    <w:rsid w:val="006756F6"/>
    <w:rsid w:val="00676051"/>
    <w:rsid w:val="00687ECA"/>
    <w:rsid w:val="00694B90"/>
    <w:rsid w:val="006A5C18"/>
    <w:rsid w:val="006C1D1B"/>
    <w:rsid w:val="006C2E72"/>
    <w:rsid w:val="0073337B"/>
    <w:rsid w:val="00804EC2"/>
    <w:rsid w:val="00810F20"/>
    <w:rsid w:val="00841BF4"/>
    <w:rsid w:val="008953E3"/>
    <w:rsid w:val="008B0CE3"/>
    <w:rsid w:val="00906CAA"/>
    <w:rsid w:val="009144AC"/>
    <w:rsid w:val="00923696"/>
    <w:rsid w:val="009756AE"/>
    <w:rsid w:val="009C118F"/>
    <w:rsid w:val="009E2D88"/>
    <w:rsid w:val="00A34FE6"/>
    <w:rsid w:val="00A702BF"/>
    <w:rsid w:val="00AE35F1"/>
    <w:rsid w:val="00B14082"/>
    <w:rsid w:val="00B52F9E"/>
    <w:rsid w:val="00B90BF8"/>
    <w:rsid w:val="00B969B5"/>
    <w:rsid w:val="00BA377C"/>
    <w:rsid w:val="00BB3A7F"/>
    <w:rsid w:val="00BF75FA"/>
    <w:rsid w:val="00C520CD"/>
    <w:rsid w:val="00C768A7"/>
    <w:rsid w:val="00CD2972"/>
    <w:rsid w:val="00CD2F0E"/>
    <w:rsid w:val="00CE508D"/>
    <w:rsid w:val="00D0326F"/>
    <w:rsid w:val="00D03C36"/>
    <w:rsid w:val="00D258AB"/>
    <w:rsid w:val="00D436DA"/>
    <w:rsid w:val="00D474AB"/>
    <w:rsid w:val="00D73CB0"/>
    <w:rsid w:val="00D862E4"/>
    <w:rsid w:val="00DC691D"/>
    <w:rsid w:val="00DF0EDD"/>
    <w:rsid w:val="00E03016"/>
    <w:rsid w:val="00E11D64"/>
    <w:rsid w:val="00E15D02"/>
    <w:rsid w:val="00E34D43"/>
    <w:rsid w:val="00E73368"/>
    <w:rsid w:val="00EA7F07"/>
    <w:rsid w:val="00EB50BD"/>
    <w:rsid w:val="00EB5230"/>
    <w:rsid w:val="00EB7E68"/>
    <w:rsid w:val="00EC54C1"/>
    <w:rsid w:val="00F67E2F"/>
    <w:rsid w:val="00F76549"/>
    <w:rsid w:val="00F875AF"/>
    <w:rsid w:val="00FB4ACA"/>
    <w:rsid w:val="00FB575C"/>
    <w:rsid w:val="00FC7FFD"/>
    <w:rsid w:val="00FD10EB"/>
    <w:rsid w:val="00FD6948"/>
    <w:rsid w:val="00FE15B7"/>
    <w:rsid w:val="00FE3307"/>
    <w:rsid w:val="043B2EAD"/>
    <w:rsid w:val="067A4B73"/>
    <w:rsid w:val="10172994"/>
    <w:rsid w:val="11935F6F"/>
    <w:rsid w:val="13554FAD"/>
    <w:rsid w:val="183E6A73"/>
    <w:rsid w:val="1DD124E0"/>
    <w:rsid w:val="22C757DC"/>
    <w:rsid w:val="2D5E1836"/>
    <w:rsid w:val="2FCB019F"/>
    <w:rsid w:val="30334471"/>
    <w:rsid w:val="34F479C9"/>
    <w:rsid w:val="368B3C8B"/>
    <w:rsid w:val="41F90570"/>
    <w:rsid w:val="459F64B2"/>
    <w:rsid w:val="4A714A31"/>
    <w:rsid w:val="554E2448"/>
    <w:rsid w:val="56AA0AF4"/>
    <w:rsid w:val="5DE038A0"/>
    <w:rsid w:val="62D1698F"/>
    <w:rsid w:val="638D29FA"/>
    <w:rsid w:val="69D0270C"/>
    <w:rsid w:val="6B122D3D"/>
    <w:rsid w:val="6F2B6C4A"/>
    <w:rsid w:val="75C1563E"/>
    <w:rsid w:val="76A61B9C"/>
    <w:rsid w:val="78E37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7"/>
    <w:qFormat/>
    <w:uiPriority w:val="9"/>
    <w:pPr>
      <w:keepNext/>
      <w:keepLines/>
      <w:widowControl/>
      <w:spacing w:before="340" w:after="330" w:line="578" w:lineRule="auto"/>
      <w:jc w:val="left"/>
      <w:outlineLvl w:val="0"/>
    </w:pPr>
    <w:rPr>
      <w:b/>
      <w:bCs/>
      <w:kern w:val="44"/>
      <w:sz w:val="44"/>
      <w:szCs w:val="44"/>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tabs>
        <w:tab w:val="center" w:pos="4153"/>
        <w:tab w:val="right" w:pos="8306"/>
      </w:tabs>
      <w:snapToGrid w:val="0"/>
      <w:jc w:val="center"/>
    </w:pPr>
    <w:rPr>
      <w:sz w:val="18"/>
      <w:szCs w:val="18"/>
    </w:rPr>
  </w:style>
  <w:style w:type="character" w:customStyle="1" w:styleId="7">
    <w:name w:val="标题 1 字符"/>
    <w:basedOn w:val="6"/>
    <w:link w:val="2"/>
    <w:qFormat/>
    <w:uiPriority w:val="9"/>
    <w:rPr>
      <w:rFonts w:ascii="Times New Roman" w:hAnsi="Times New Roman" w:eastAsia="宋体" w:cs="Times New Roman"/>
      <w:b/>
      <w:bCs/>
      <w:kern w:val="44"/>
      <w:sz w:val="44"/>
      <w:szCs w:val="44"/>
    </w:rPr>
  </w:style>
  <w:style w:type="character" w:customStyle="1" w:styleId="8">
    <w:name w:val="title1"/>
    <w:qFormat/>
    <w:uiPriority w:val="0"/>
    <w:rPr>
      <w:b/>
      <w:bCs/>
      <w:color w:val="999900"/>
      <w:sz w:val="24"/>
      <w:szCs w:val="24"/>
    </w:rPr>
  </w:style>
  <w:style w:type="character" w:customStyle="1" w:styleId="9">
    <w:name w:val="页眉 字符"/>
    <w:basedOn w:val="6"/>
    <w:link w:val="4"/>
    <w:qFormat/>
    <w:uiPriority w:val="99"/>
    <w:rPr>
      <w:rFonts w:ascii="Times New Roman" w:hAnsi="Times New Roman" w:eastAsia="宋体" w:cs="Times New Roman"/>
      <w:kern w:val="2"/>
      <w:sz w:val="18"/>
      <w:szCs w:val="18"/>
    </w:rPr>
  </w:style>
  <w:style w:type="character" w:customStyle="1" w:styleId="10">
    <w:name w:val="页脚 字符"/>
    <w:basedOn w:val="6"/>
    <w:link w:val="3"/>
    <w:qFormat/>
    <w:uiPriority w:val="99"/>
    <w:rPr>
      <w:rFonts w:ascii="Times New Roman" w:hAnsi="Times New Roman" w:eastAsia="宋体" w:cs="Times New Roman"/>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2828</Words>
  <Characters>4647</Characters>
  <Lines>35</Lines>
  <Paragraphs>9</Paragraphs>
  <TotalTime>283</TotalTime>
  <ScaleCrop>false</ScaleCrop>
  <LinksUpToDate>false</LinksUpToDate>
  <CharactersWithSpaces>4951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2025-04-09T02:48:00Z</dcterms:created>
  <dc:creator>Administrator</dc:creator>
  <cp:lastModifiedBy>吴子康</cp:lastModifiedBy>
  <dcterms:modified xsi:type="dcterms:W3CDTF">2025-04-15T07:59:47Z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E819C524FEF04C928088B5EAAFC5528D_13</vt:lpwstr>
  </property>
  <property fmtid="{D5CDD505-2E9C-101B-9397-08002B2CF9AE}" pid="4" name="KSOTemplateDocerSaveRecord">
    <vt:lpwstr>eyJoZGlkIjoiZGMxYjIzMTZjMTRhZTY2ZTM3OTYwZGQwYzE3YmIwNGUiLCJ1c2VySWQiOiIyNTk1OTk4MzUifQ==</vt:lpwstr>
  </property>
</Properties>
</file>