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F4BF13">
      <w:pPr>
        <w:jc w:val="center"/>
        <w:rPr>
          <w:rStyle w:val="10"/>
          <w:rFonts w:eastAsia="方正小标宋简体"/>
          <w:bCs w:val="0"/>
          <w:color w:val="auto"/>
          <w:sz w:val="36"/>
          <w:szCs w:val="36"/>
        </w:rPr>
      </w:pPr>
      <w:r>
        <w:rPr>
          <w:rStyle w:val="10"/>
          <w:rFonts w:hint="eastAsia" w:ascii="微软雅黑" w:hAnsi="微软雅黑" w:eastAsia="微软雅黑" w:cs="微软雅黑"/>
          <w:color w:val="auto"/>
          <w:sz w:val="36"/>
          <w:szCs w:val="36"/>
        </w:rPr>
        <w:t>第六届妇幼健康科学技术奖公示信息表</w:t>
      </w:r>
    </w:p>
    <w:p w14:paraId="6F530ED8">
      <w:pPr>
        <w:spacing w:line="440" w:lineRule="exact"/>
        <w:rPr>
          <w:rFonts w:hint="eastAsia" w:ascii="宋体" w:hAnsi="宋体"/>
          <w:sz w:val="28"/>
          <w:szCs w:val="24"/>
        </w:rPr>
      </w:pPr>
      <w:r>
        <w:rPr>
          <w:rFonts w:ascii="宋体" w:hAnsi="宋体"/>
          <w:b/>
          <w:bCs/>
          <w:sz w:val="28"/>
          <w:szCs w:val="24"/>
        </w:rPr>
        <w:t>提名奖项：</w:t>
      </w:r>
      <w:r>
        <w:rPr>
          <w:rFonts w:hint="eastAsia" w:eastAsia="仿宋"/>
          <w:b/>
          <w:bCs/>
          <w:sz w:val="30"/>
          <w:szCs w:val="30"/>
        </w:rPr>
        <w:t>科技成果奖</w:t>
      </w:r>
    </w:p>
    <w:tbl>
      <w:tblPr>
        <w:tblStyle w:val="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37"/>
      </w:tblGrid>
      <w:tr w14:paraId="0FFC05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 w14:paraId="606D7797">
            <w:pPr>
              <w:jc w:val="center"/>
              <w:rPr>
                <w:rStyle w:val="10"/>
                <w:rFonts w:hint="eastAsia" w:ascii="宋体" w:hAnsi="宋体"/>
                <w:b w:val="0"/>
                <w:bCs w:val="0"/>
                <w:color w:val="auto"/>
                <w:sz w:val="28"/>
              </w:rPr>
            </w:pPr>
            <w:r>
              <w:rPr>
                <w:rStyle w:val="10"/>
                <w:rFonts w:hint="eastAsia" w:ascii="宋体" w:hAnsi="宋体"/>
                <w:b w:val="0"/>
                <w:bCs w:val="0"/>
                <w:color w:val="auto"/>
                <w:sz w:val="28"/>
              </w:rPr>
              <w:t>项目</w:t>
            </w:r>
            <w:r>
              <w:rPr>
                <w:rStyle w:val="10"/>
                <w:rFonts w:ascii="宋体" w:hAnsi="宋体"/>
                <w:b w:val="0"/>
                <w:bCs w:val="0"/>
                <w:color w:val="auto"/>
                <w:sz w:val="28"/>
              </w:rPr>
              <w:t>名称</w:t>
            </w:r>
          </w:p>
        </w:tc>
        <w:tc>
          <w:tcPr>
            <w:tcW w:w="6237" w:type="dxa"/>
            <w:vAlign w:val="center"/>
          </w:tcPr>
          <w:p w14:paraId="6291D743">
            <w:pPr>
              <w:jc w:val="center"/>
              <w:rPr>
                <w:rStyle w:val="10"/>
                <w:rFonts w:hint="eastAsia" w:ascii="宋体" w:hAnsi="宋体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10"/>
                <w:rFonts w:hint="eastAsia" w:ascii="宋体" w:hAnsi="宋体"/>
                <w:b w:val="0"/>
                <w:bCs w:val="0"/>
                <w:color w:val="auto"/>
                <w:sz w:val="28"/>
                <w:szCs w:val="28"/>
              </w:rPr>
              <w:t>早产精准防治体系建立及机制研究</w:t>
            </w:r>
          </w:p>
        </w:tc>
      </w:tr>
      <w:tr w14:paraId="121D28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269" w:type="dxa"/>
            <w:vAlign w:val="center"/>
          </w:tcPr>
          <w:p w14:paraId="5267EEA6">
            <w:pPr>
              <w:jc w:val="center"/>
              <w:rPr>
                <w:rStyle w:val="10"/>
                <w:rFonts w:hint="eastAsia" w:ascii="宋体" w:hAnsi="宋体" w:cstheme="minorBidi"/>
                <w:b w:val="0"/>
                <w:bCs w:val="0"/>
                <w:color w:val="auto"/>
                <w:sz w:val="28"/>
              </w:rPr>
            </w:pPr>
            <w:r>
              <w:rPr>
                <w:rStyle w:val="10"/>
                <w:rFonts w:hint="eastAsia" w:ascii="宋体" w:hAnsi="宋体" w:cstheme="minorBidi"/>
                <w:b w:val="0"/>
                <w:bCs w:val="0"/>
                <w:color w:val="auto"/>
                <w:sz w:val="28"/>
              </w:rPr>
              <w:t>推荐单位</w:t>
            </w:r>
          </w:p>
        </w:tc>
        <w:tc>
          <w:tcPr>
            <w:tcW w:w="6237" w:type="dxa"/>
            <w:vAlign w:val="center"/>
          </w:tcPr>
          <w:p w14:paraId="783B32E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浙江大学医学院附属妇产科医院</w:t>
            </w:r>
          </w:p>
        </w:tc>
      </w:tr>
      <w:tr w14:paraId="0BAB0A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2269" w:type="dxa"/>
            <w:vAlign w:val="center"/>
          </w:tcPr>
          <w:p w14:paraId="03A0F8F5">
            <w:pPr>
              <w:jc w:val="center"/>
              <w:rPr>
                <w:rStyle w:val="10"/>
                <w:rFonts w:hint="eastAsia" w:ascii="宋体" w:hAnsi="宋体" w:cstheme="minorBidi"/>
                <w:b w:val="0"/>
                <w:bCs w:val="0"/>
                <w:color w:val="auto"/>
                <w:sz w:val="28"/>
              </w:rPr>
            </w:pPr>
            <w:r>
              <w:rPr>
                <w:rStyle w:val="10"/>
                <w:rFonts w:hint="eastAsia" w:ascii="宋体" w:hAnsi="宋体" w:cstheme="minorBidi"/>
                <w:b w:val="0"/>
                <w:bCs w:val="0"/>
                <w:color w:val="auto"/>
                <w:sz w:val="28"/>
              </w:rPr>
              <w:t>主要完成</w:t>
            </w:r>
            <w:bookmarkStart w:id="0" w:name="_GoBack"/>
            <w:bookmarkEnd w:id="0"/>
            <w:r>
              <w:rPr>
                <w:rStyle w:val="10"/>
                <w:rFonts w:hint="eastAsia" w:ascii="宋体" w:hAnsi="宋体" w:cstheme="minorBidi"/>
                <w:b w:val="0"/>
                <w:bCs w:val="0"/>
                <w:color w:val="auto"/>
                <w:sz w:val="28"/>
              </w:rPr>
              <w:t>单位</w:t>
            </w:r>
          </w:p>
        </w:tc>
        <w:tc>
          <w:tcPr>
            <w:tcW w:w="6237" w:type="dxa"/>
            <w:vAlign w:val="center"/>
          </w:tcPr>
          <w:p w14:paraId="490FDF46">
            <w:pPr>
              <w:spacing w:line="440" w:lineRule="exact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浙江大学医学院附属妇产科医院</w:t>
            </w:r>
            <w:r>
              <w:rPr>
                <w:rFonts w:hint="eastAsia"/>
                <w:sz w:val="28"/>
                <w:szCs w:val="28"/>
                <w:lang w:eastAsia="zh-CN"/>
              </w:rPr>
              <w:t>、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浙江大学、</w:t>
            </w:r>
            <w:r>
              <w:rPr>
                <w:rFonts w:hint="eastAsia"/>
                <w:sz w:val="28"/>
                <w:szCs w:val="28"/>
              </w:rPr>
              <w:t>湖州市妇幼保健院</w:t>
            </w:r>
          </w:p>
        </w:tc>
      </w:tr>
      <w:tr w14:paraId="592082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3BBCAF00">
            <w:pPr>
              <w:jc w:val="center"/>
              <w:rPr>
                <w:rStyle w:val="10"/>
                <w:rFonts w:hint="eastAsia" w:ascii="宋体" w:hAnsi="宋体" w:cstheme="minorBidi"/>
                <w:b w:val="0"/>
                <w:bCs w:val="0"/>
                <w:color w:val="auto"/>
                <w:sz w:val="28"/>
              </w:rPr>
            </w:pPr>
            <w:r>
              <w:rPr>
                <w:rStyle w:val="10"/>
                <w:rFonts w:hint="eastAsia" w:ascii="宋体" w:hAnsi="宋体" w:cstheme="minorBidi"/>
                <w:b w:val="0"/>
                <w:bCs w:val="0"/>
                <w:color w:val="auto"/>
                <w:sz w:val="28"/>
              </w:rPr>
              <w:t>主要完成人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509268F1">
            <w:pPr>
              <w:spacing w:line="4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姓名、排名、职称、单位</w:t>
            </w:r>
          </w:p>
          <w:p w14:paraId="1BD0CC81">
            <w:pPr>
              <w:spacing w:line="4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罗琼，1，教授、主任医师，浙江大学医学院附属妇产科医院</w:t>
            </w:r>
          </w:p>
          <w:p w14:paraId="34423A5E">
            <w:pPr>
              <w:spacing w:line="4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胡宁，2，研究员，浙江大学</w:t>
            </w:r>
          </w:p>
          <w:p w14:paraId="6BC60941">
            <w:pPr>
              <w:spacing w:line="4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李新，3，教授，浙江大学医学院附属妇产科医院</w:t>
            </w:r>
          </w:p>
          <w:p w14:paraId="275DEC0A">
            <w:pPr>
              <w:spacing w:line="4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郑伟增，4，副主任技师，浙江大学医学院附属妇产科医院</w:t>
            </w:r>
          </w:p>
          <w:p w14:paraId="593504FD">
            <w:pPr>
              <w:spacing w:line="4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严恺，5，副主任技师，浙江大学医学院附属妇产科医院</w:t>
            </w:r>
          </w:p>
          <w:p w14:paraId="620D3114">
            <w:pPr>
              <w:spacing w:line="4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赵柏惠，6，主任医师，浙江大学医学院附属妇产科医院</w:t>
            </w:r>
          </w:p>
          <w:p w14:paraId="60346E87">
            <w:pPr>
              <w:spacing w:line="4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蒋沛月，7，副主任医师，浙江大学医学院附属妇产科医院</w:t>
            </w:r>
          </w:p>
          <w:p w14:paraId="2F20BDEF">
            <w:pPr>
              <w:spacing w:line="4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杨蒙蒙，8，副主任医师，浙江大学医学院附属妇产科医院</w:t>
            </w:r>
          </w:p>
          <w:p w14:paraId="1623425C">
            <w:pPr>
              <w:spacing w:line="4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吕旻，9，主治医师，浙江大学医学院附属妇产科医院</w:t>
            </w:r>
          </w:p>
          <w:p w14:paraId="61B5704D">
            <w:pPr>
              <w:spacing w:line="4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韩昊特，10，特聘研究员，浙江大学医学院附属妇产科医院</w:t>
            </w:r>
          </w:p>
          <w:p w14:paraId="08A2329C">
            <w:pPr>
              <w:spacing w:line="4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邱丽萍，11，副主任医师，湖州市妇幼保健院</w:t>
            </w:r>
          </w:p>
          <w:p w14:paraId="28F2AC40">
            <w:pPr>
              <w:spacing w:line="4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蒋颖，12，副主任医师，浙江大学医学院附属妇产科医院</w:t>
            </w:r>
          </w:p>
          <w:p w14:paraId="5FCF09F5">
            <w:pPr>
              <w:spacing w:line="4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陈诚，13，主治医师，浙江大学医学院附属妇产科医院</w:t>
            </w:r>
          </w:p>
          <w:p w14:paraId="6582771D">
            <w:pPr>
              <w:spacing w:line="4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魏娟，14，博士研究生，浙江大学医学院附属妇产科医院</w:t>
            </w:r>
          </w:p>
        </w:tc>
      </w:tr>
      <w:tr w14:paraId="6A9E42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8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4F3B6914">
            <w:pPr>
              <w:jc w:val="center"/>
              <w:rPr>
                <w:rStyle w:val="10"/>
                <w:rFonts w:hint="eastAsia" w:ascii="宋体" w:hAnsi="宋体" w:cstheme="minorBidi"/>
                <w:b w:val="0"/>
                <w:bCs w:val="0"/>
                <w:color w:val="auto"/>
                <w:sz w:val="28"/>
              </w:rPr>
            </w:pPr>
            <w:r>
              <w:rPr>
                <w:rStyle w:val="10"/>
                <w:rFonts w:hint="eastAsia" w:ascii="宋体" w:hAnsi="宋体" w:cstheme="minorBidi"/>
                <w:b w:val="0"/>
                <w:bCs w:val="0"/>
                <w:color w:val="auto"/>
                <w:sz w:val="28"/>
              </w:rPr>
              <w:t>项目简介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3792E4EC">
            <w:pPr>
              <w:adjustRightInd w:val="0"/>
              <w:snapToGrid w:val="0"/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早产是导致围产儿死亡及病残的首要病因，本团队多年专注于早产领域热点和难点，系统性开展“筛查-预测-治疗”早产精准防控体系及机制研究，形成基于早产靶标的精准预测及个性化诊疗策略，推动早产精准防治。</w:t>
            </w:r>
          </w:p>
          <w:p w14:paraId="1964F3AD">
            <w:pPr>
              <w:adjustRightInd w:val="0"/>
              <w:snapToGrid w:val="0"/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1）</w:t>
            </w:r>
            <w:r>
              <w:rPr>
                <w:rFonts w:hint="eastAsia"/>
                <w:b/>
                <w:bCs/>
                <w:szCs w:val="21"/>
              </w:rPr>
              <w:t>探索早产精准筛查标记物，创新遗传性出生缺陷无创筛查技术，实现高敏感性、高特异性染色体和单基因遗传病联合筛查：</w:t>
            </w:r>
            <w:r>
              <w:rPr>
                <w:rFonts w:hint="eastAsia"/>
                <w:szCs w:val="21"/>
              </w:rPr>
              <w:t>①创新筛选PAPP2、GPX3和NID1组成三联标志物，构建早产预测模型，国际多中心验证显示AUROC达0.80~0.93，显著优于现有IBP4/SHBG模型（AUROC 0.77），为早产精准预测提供新工具。②推动NIPT2.0技术临床转化，基于协同等位基因靶向富集测序技术，实现染色体非整倍体、基因组病及单基因变异同步检测，敏感性和特异性分别达98.5%和99.3%，检出率较常规NIPT提升60.7%，已在全国18家医院推广，惠及9万名孕妇。获国际权威专家高度认可，参与制定《NIPT2.0临床应用策略专家共识》。</w:t>
            </w:r>
          </w:p>
          <w:p w14:paraId="50E4E154">
            <w:pPr>
              <w:adjustRightInd w:val="0"/>
              <w:snapToGrid w:val="0"/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2）</w:t>
            </w:r>
            <w:r>
              <w:rPr>
                <w:rFonts w:hint="eastAsia"/>
                <w:b/>
                <w:bCs/>
                <w:szCs w:val="21"/>
              </w:rPr>
              <w:t>基于多模态影像组学（超声和MRI）的医源性早产预警系统；基于机器学习技术，开发并验证产前抑郁等预测模型：</w:t>
            </w:r>
            <w:r>
              <w:rPr>
                <w:rFonts w:hint="eastAsia"/>
                <w:szCs w:val="21"/>
              </w:rPr>
              <w:t>①基于超声和MRI影像组学的医源性早产预警系统：首创跨孕期序列预测框架（早/中/晚孕），显著提升宫颈超声预测早产准确性。在1926例临床验证中，预测准确率达83%（传统方法50%-70%）；采用半监督算法实现胎盘MRI自动分割，创新性构建影像组学-深度学习联合模型。在420例临床验证中，对子痫前期（PE）合并胎儿生长受限（FGR）亚组鉴别效能显著（AUC=0.918），单纯PE鉴别AUC达0.742，为精准识别医源性早产及不良妊娠结局早期预警提供依据。②构建产前抑郁预测模型：不同妊娠阶段均能稳定识别抑郁高危孕妇（AUC 0.687-0.710），为早产高危孕妇围产期抑郁症的预测提供重要科学依据。</w:t>
            </w:r>
          </w:p>
          <w:p w14:paraId="77A5372B">
            <w:pPr>
              <w:adjustRightInd w:val="0"/>
              <w:snapToGrid w:val="0"/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3）</w:t>
            </w:r>
            <w:r>
              <w:rPr>
                <w:rFonts w:hint="eastAsia"/>
                <w:b/>
                <w:bCs/>
                <w:szCs w:val="21"/>
              </w:rPr>
              <w:t>创新早产治疗体系，构建炎症性早产药物筛选平台及气体信号分子动态监测平台，优化早产术式与流程提升早产儿预后：</w:t>
            </w:r>
            <w:r>
              <w:rPr>
                <w:rFonts w:hint="eastAsia"/>
                <w:szCs w:val="21"/>
              </w:rPr>
              <w:t>①建立炎症性早产体外模型，集成电生理传感与光学钙成像技术，为早产机制药物筛选提供依据；结合化学捕获方法与高活体兼容性荧光显微成像技术，实现活体动态监测气体信号分子波动、超高特异性荧光响应及细胞器级多重成像，为解析早产气体信号分子时空调控机制、开发早期诊断方法及干预策略提供关键技术支撑；②首创“无针法”腹腔镜下预防性宫颈环扎新术式，无需分离子宫动脉，损伤小、效果好，获国际权威期刊AJOG发表及指南引用；创新羊膜囊回纳方法的紧急环扎术式，显著降低羊膜囊回纳失败率，医源性胎膜破裂风险降至0，保胎成功率提升至76%，年均救治超100例难免流产患者，挽救120余名新生儿。③优化产时宫外手术（EXIT）体系，突破胎儿-胎盘循环维持技术壁垒，原创研发宫腔填充装置及脐带保温套管，将循环维持时间延长至150分钟，为复杂畸形修复提供时间窗，手术成功率达100%，出生后28天存活率100%，显著优于未行EXIT患儿（69.57%）。</w:t>
            </w:r>
          </w:p>
          <w:p w14:paraId="2097622E">
            <w:pPr>
              <w:adjustRightInd w:val="0"/>
              <w:snapToGrid w:val="0"/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项目成员获“国家优秀青年医师”等荣誉称号十余人次。成果在国内多家省级医院推广应用，整体技术处于国际领先水平。受邀担任荷兰IEEE Medical Measurements &amp; Applications分会主席，发表SCI论文120余篇，牵头或参编早产领域相关标准/专家共识5部，参编著作/教材5部，授权发明专利15项，实用新型专利6项。主办30余次相关学术研讨会或继续教育班，培训相关业务骨干逾6000人次。</w:t>
            </w:r>
          </w:p>
        </w:tc>
      </w:tr>
      <w:tr w14:paraId="5B44D5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269" w:type="dxa"/>
            <w:vAlign w:val="center"/>
          </w:tcPr>
          <w:p w14:paraId="546DB0C9">
            <w:pPr>
              <w:jc w:val="center"/>
              <w:rPr>
                <w:rStyle w:val="10"/>
                <w:rFonts w:hint="eastAsia" w:ascii="宋体" w:hAnsi="宋体" w:cstheme="minorBidi"/>
                <w:b w:val="0"/>
                <w:bCs w:val="0"/>
                <w:color w:val="auto"/>
                <w:sz w:val="28"/>
              </w:rPr>
            </w:pPr>
            <w:r>
              <w:rPr>
                <w:rStyle w:val="10"/>
                <w:rFonts w:hint="eastAsia" w:ascii="宋体" w:hAnsi="宋体" w:cstheme="minorBidi"/>
                <w:b w:val="0"/>
                <w:bCs w:val="0"/>
                <w:color w:val="auto"/>
                <w:sz w:val="28"/>
              </w:rPr>
              <w:t>代表性论文目录、主要知识产权和标准规范等目录</w:t>
            </w:r>
          </w:p>
        </w:tc>
        <w:tc>
          <w:tcPr>
            <w:tcW w:w="6237" w:type="dxa"/>
            <w:vAlign w:val="center"/>
          </w:tcPr>
          <w:p w14:paraId="212417C6">
            <w:pPr>
              <w:contextualSpacing/>
              <w:jc w:val="left"/>
              <w:rPr>
                <w:rStyle w:val="10"/>
                <w:color w:val="auto"/>
                <w:sz w:val="21"/>
                <w:szCs w:val="21"/>
              </w:rPr>
            </w:pPr>
            <w:r>
              <w:rPr>
                <w:rStyle w:val="10"/>
                <w:color w:val="auto"/>
                <w:sz w:val="21"/>
                <w:szCs w:val="21"/>
              </w:rPr>
              <w:t>代表性论文</w:t>
            </w:r>
          </w:p>
          <w:p w14:paraId="190A3C02">
            <w:pPr>
              <w:pStyle w:val="13"/>
              <w:numPr>
                <w:ilvl w:val="0"/>
                <w:numId w:val="1"/>
              </w:numPr>
              <w:ind w:firstLineChars="0"/>
              <w:contextualSpacing/>
              <w:rPr>
                <w:bCs/>
                <w:szCs w:val="21"/>
              </w:rPr>
            </w:pPr>
            <w:r>
              <w:rPr>
                <w:rFonts w:hint="eastAsia" w:eastAsia="仿宋"/>
                <w:bCs/>
                <w:szCs w:val="21"/>
              </w:rPr>
              <w:t>Prospective prenatal cell-free DNA screening for genetic conditions of heterogenous etiologies. Jinglan Zhang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>#</w:t>
            </w:r>
            <w:r>
              <w:rPr>
                <w:rFonts w:hint="eastAsia" w:eastAsia="仿宋"/>
                <w:bCs/>
                <w:szCs w:val="21"/>
              </w:rPr>
              <w:t>*, Yanting Wu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>#</w:t>
            </w:r>
            <w:r>
              <w:rPr>
                <w:rFonts w:hint="eastAsia" w:eastAsia="仿宋"/>
                <w:bCs/>
                <w:szCs w:val="21"/>
              </w:rPr>
              <w:t>, Songchang Chen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>#</w:t>
            </w:r>
            <w:r>
              <w:rPr>
                <w:rFonts w:hint="eastAsia" w:eastAsia="仿宋"/>
                <w:bCs/>
                <w:szCs w:val="21"/>
              </w:rPr>
              <w:t xml:space="preserve">, </w:t>
            </w:r>
            <w:r>
              <w:rPr>
                <w:rFonts w:eastAsia="仿宋"/>
                <w:bCs/>
                <w:szCs w:val="21"/>
              </w:rPr>
              <w:t>Qiong Luo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>#</w:t>
            </w:r>
            <w:r>
              <w:rPr>
                <w:rFonts w:hint="eastAsia" w:eastAsia="仿宋"/>
                <w:bCs/>
                <w:szCs w:val="21"/>
              </w:rPr>
              <w:t>, Hui Xi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>#</w:t>
            </w:r>
            <w:r>
              <w:rPr>
                <w:rFonts w:hint="eastAsia" w:eastAsia="仿宋"/>
                <w:bCs/>
                <w:szCs w:val="21"/>
              </w:rPr>
              <w:t xml:space="preserve">, Jianli Li, Xiaomei Qin, Ying Peng, Na Ma, Bingxin Yang, Xiang Qiu, Weiliang Lu, 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>Yuan</w:t>
            </w:r>
            <w:r>
              <w:rPr>
                <w:rFonts w:hint="eastAsia" w:eastAsia="仿宋"/>
                <w:bCs/>
                <w:szCs w:val="21"/>
              </w:rPr>
              <w:t xml:space="preserve"> Chen, Ying Jiang, Panpan Chen, Yifeng Liu, Chen Zhang, Zhiwei Zhang, Yu Xiong, Jie Shen, Huan Liang, Yunyun Ren, Chunmei Ying, Minyue Dong, Xiaotian Li, Congjian Xu, Hua Wang*, Dan Zhang*, Chenming Xu*, Hefeng Huang*. Nature Medicine. </w:t>
            </w:r>
            <w:r>
              <w:rPr>
                <w:rFonts w:eastAsia="仿宋"/>
                <w:bCs/>
                <w:szCs w:val="21"/>
              </w:rPr>
              <w:t>2024 Feb;30(2):470-479</w:t>
            </w:r>
          </w:p>
          <w:p w14:paraId="5DFA6AF8">
            <w:pPr>
              <w:pStyle w:val="13"/>
              <w:numPr>
                <w:ilvl w:val="0"/>
                <w:numId w:val="1"/>
              </w:numPr>
              <w:ind w:firstLineChars="0"/>
              <w:contextualSpacing/>
              <w:rPr>
                <w:bCs/>
                <w:szCs w:val="21"/>
              </w:rPr>
            </w:pPr>
            <w:r>
              <w:rPr>
                <w:rFonts w:eastAsia="仿宋"/>
                <w:bCs/>
                <w:szCs w:val="21"/>
              </w:rPr>
              <w:t xml:space="preserve">Laparoscopic abdominal cerclage during pregnancy: a simplified approach. </w:t>
            </w:r>
            <w:r>
              <w:rPr>
                <w:rFonts w:hint="eastAsia" w:eastAsia="仿宋"/>
                <w:bCs/>
                <w:szCs w:val="21"/>
              </w:rPr>
              <w:t>Baihui Zhao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>#</w:t>
            </w:r>
            <w:r>
              <w:rPr>
                <w:rFonts w:hint="eastAsia" w:eastAsia="仿宋"/>
                <w:bCs/>
                <w:szCs w:val="21"/>
              </w:rPr>
              <w:t xml:space="preserve">, Tian Dong, Yuan Chen, Mengmeng Yang, Qiong Luo*. </w:t>
            </w:r>
            <w:r>
              <w:rPr>
                <w:rFonts w:eastAsia="仿宋"/>
                <w:bCs/>
                <w:szCs w:val="21"/>
              </w:rPr>
              <w:t>American Journal of Obstetrics and Gynecology</w:t>
            </w:r>
            <w:r>
              <w:rPr>
                <w:rFonts w:hint="eastAsia" w:eastAsia="仿宋"/>
                <w:bCs/>
                <w:szCs w:val="21"/>
              </w:rPr>
              <w:t xml:space="preserve">. </w:t>
            </w:r>
            <w:r>
              <w:rPr>
                <w:rFonts w:eastAsia="仿宋"/>
                <w:bCs/>
                <w:szCs w:val="21"/>
              </w:rPr>
              <w:t>2022 Aug;227(2):333-337</w:t>
            </w:r>
          </w:p>
          <w:p w14:paraId="5433931A">
            <w:pPr>
              <w:pStyle w:val="13"/>
              <w:numPr>
                <w:ilvl w:val="0"/>
                <w:numId w:val="1"/>
              </w:numPr>
              <w:ind w:firstLineChars="0"/>
              <w:contextualSpacing/>
              <w:rPr>
                <w:rStyle w:val="10"/>
                <w:b w:val="0"/>
                <w:color w:val="auto"/>
                <w:sz w:val="21"/>
                <w:szCs w:val="21"/>
              </w:rPr>
            </w:pPr>
            <w:r>
              <w:rPr>
                <w:rStyle w:val="10"/>
                <w:b w:val="0"/>
                <w:color w:val="auto"/>
                <w:sz w:val="21"/>
                <w:szCs w:val="21"/>
              </w:rPr>
              <w:t>Association of blood metal exposure with testosterone and hemoglobin: A cross-sectional study in Hangzhou Birth Cohort Study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>.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 xml:space="preserve"> Qiong Luo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>#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>, Hao Zhao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>#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>, Ying Jiang, Jing Guo, Na Lv, Jun Tang, Shuai Li, Dan Zhang*, Rongpan Bai*, Guangdi Chen*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 xml:space="preserve">. 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>Environmental International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 xml:space="preserve">. 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>2020 Mar;136:105451</w:t>
            </w:r>
          </w:p>
          <w:p w14:paraId="378FD66E">
            <w:pPr>
              <w:pStyle w:val="13"/>
              <w:numPr>
                <w:ilvl w:val="0"/>
                <w:numId w:val="1"/>
              </w:numPr>
              <w:ind w:firstLineChars="0"/>
              <w:contextualSpacing/>
              <w:rPr>
                <w:rStyle w:val="10"/>
                <w:b w:val="0"/>
                <w:color w:val="auto"/>
                <w:sz w:val="21"/>
                <w:szCs w:val="21"/>
              </w:rPr>
            </w:pPr>
            <w:r>
              <w:rPr>
                <w:rStyle w:val="10"/>
                <w:b w:val="0"/>
                <w:color w:val="auto"/>
                <w:sz w:val="21"/>
                <w:szCs w:val="21"/>
              </w:rPr>
              <w:t>Altered expression of long noncoding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 xml:space="preserve"> 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>RNA MEG3 in the offspring of gestational diabetes mellitus induces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 xml:space="preserve"> 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>impaired glucose tolerance in adulthood.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 xml:space="preserve"> 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>Meng Meng Yang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>#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>, Juan Wei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>#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>, Li Li Xu, Yi Shang Yan, Yuan Chen, Min Lv, Ying Jiang*, Qiong Luo*. Acta Diabetologica. 2024;61(1):79-90</w:t>
            </w:r>
          </w:p>
          <w:p w14:paraId="78B5CBE6">
            <w:pPr>
              <w:pStyle w:val="13"/>
              <w:numPr>
                <w:ilvl w:val="0"/>
                <w:numId w:val="1"/>
              </w:numPr>
              <w:ind w:firstLineChars="0"/>
              <w:contextualSpacing/>
              <w:rPr>
                <w:rStyle w:val="10"/>
                <w:b w:val="0"/>
                <w:color w:val="auto"/>
                <w:sz w:val="21"/>
                <w:szCs w:val="21"/>
              </w:rPr>
            </w:pPr>
            <w:r>
              <w:rPr>
                <w:rStyle w:val="10"/>
                <w:b w:val="0"/>
                <w:color w:val="auto"/>
                <w:sz w:val="21"/>
                <w:szCs w:val="21"/>
              </w:rPr>
              <w:t>Efficacy of ultrasound-indicated cerclage in twin pregnancies: a retrospective case-control study matched by cervical length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>.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 xml:space="preserve"> Liping Qiu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>#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>, Min Lv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>#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>, Cheng Chen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>#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>, Juan Li, Baihui Zhao*, Qiong Luo*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 xml:space="preserve">. 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>American Journal of Obstetrics &amp; Gynecology MFM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 xml:space="preserve">. 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>2023 Mar;5(3):100847</w:t>
            </w:r>
          </w:p>
          <w:p w14:paraId="0F6FAF5F">
            <w:pPr>
              <w:pStyle w:val="13"/>
              <w:numPr>
                <w:ilvl w:val="0"/>
                <w:numId w:val="1"/>
              </w:numPr>
              <w:ind w:firstLineChars="0"/>
              <w:contextualSpacing/>
              <w:rPr>
                <w:rFonts w:eastAsia="楷体"/>
              </w:rPr>
            </w:pPr>
            <w:r>
              <w:rPr>
                <w:rFonts w:eastAsia="楷体"/>
              </w:rPr>
              <w:t>Association of Corpus Callosum Development With Fetal Growth Restriction and Maternal Preeclampsia or Gestational Hypertension. Weizeng Zheng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>#</w:t>
            </w:r>
            <w:r>
              <w:rPr>
                <w:rFonts w:eastAsia="楷体"/>
              </w:rPr>
              <w:t>, Xiaodan Zhang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>#</w:t>
            </w:r>
            <w:r>
              <w:rPr>
                <w:rFonts w:eastAsia="楷体"/>
              </w:rPr>
              <w:t>, Yan Feng, Bingqing Liu, Jiajun Zhu, Yu Zou, Jiale Qin, Baohua Li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>*</w:t>
            </w:r>
            <w:r>
              <w:rPr>
                <w:rFonts w:hint="eastAsia" w:eastAsia="楷体"/>
              </w:rPr>
              <w:t xml:space="preserve">. </w:t>
            </w:r>
            <w:r>
              <w:rPr>
                <w:rFonts w:eastAsia="楷体"/>
              </w:rPr>
              <w:t>Jama Network Open. 2022 Aug 1;5(8):e2226696</w:t>
            </w:r>
          </w:p>
          <w:p w14:paraId="31CCD997">
            <w:pPr>
              <w:pStyle w:val="13"/>
              <w:numPr>
                <w:ilvl w:val="0"/>
                <w:numId w:val="1"/>
              </w:numPr>
              <w:ind w:firstLineChars="0"/>
              <w:contextualSpacing/>
              <w:rPr>
                <w:rStyle w:val="10"/>
                <w:b w:val="0"/>
                <w:color w:val="auto"/>
                <w:sz w:val="21"/>
                <w:szCs w:val="21"/>
              </w:rPr>
            </w:pPr>
            <w:r>
              <w:rPr>
                <w:rStyle w:val="10"/>
                <w:b w:val="0"/>
                <w:color w:val="auto"/>
                <w:sz w:val="21"/>
                <w:szCs w:val="21"/>
              </w:rPr>
              <w:t>Elevating intracellular action potential recording in cardiomyocytes: A precision-enhanced and biosafe single-pulse electroporation system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 xml:space="preserve">. 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>Haote Han#, Chunlian Qin#, Dongxin Xu#, Surajit Kar , Fernando A. Castro, Zhen Wang*, Jiaru Fang*, Yunlong Zhao*, Ning Hu*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>.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 xml:space="preserve"> Biosensors and Bioelectronics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>.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 xml:space="preserve"> 2024 Feb 15;246:115860</w:t>
            </w:r>
          </w:p>
          <w:p w14:paraId="1F735397">
            <w:pPr>
              <w:pStyle w:val="13"/>
              <w:numPr>
                <w:ilvl w:val="0"/>
                <w:numId w:val="1"/>
              </w:numPr>
              <w:ind w:firstLineChars="0"/>
              <w:contextualSpacing/>
              <w:rPr>
                <w:bCs/>
                <w:szCs w:val="21"/>
              </w:rPr>
            </w:pPr>
            <w:r>
              <w:rPr>
                <w:rStyle w:val="10"/>
                <w:b w:val="0"/>
                <w:color w:val="auto"/>
                <w:sz w:val="21"/>
                <w:szCs w:val="21"/>
              </w:rPr>
              <w:t>1,2,4,5-Tetrazine-tethered probes for fluorogenically imaging superoxide in live cells with ultrahigh specificity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 xml:space="preserve">. 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>Xuefeng Jiang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>#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>, Min Li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>#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>, Yule Wang, Chao Wang, Yingchao Wang, Tianruo Shen, Lili Shen, Xiaogang Liu, Yi Wang*, Xin Li*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 xml:space="preserve">. </w:t>
            </w:r>
            <w:r>
              <w:rPr>
                <w:rStyle w:val="10"/>
                <w:b w:val="0"/>
                <w:color w:val="auto"/>
                <w:sz w:val="21"/>
                <w:szCs w:val="21"/>
              </w:rPr>
              <w:t>Nature Communications</w:t>
            </w:r>
            <w:r>
              <w:rPr>
                <w:rStyle w:val="10"/>
                <w:rFonts w:hint="eastAsia"/>
                <w:b w:val="0"/>
                <w:color w:val="auto"/>
                <w:sz w:val="21"/>
                <w:szCs w:val="21"/>
              </w:rPr>
              <w:t xml:space="preserve">. </w:t>
            </w:r>
            <w:r>
              <w:rPr>
                <w:bCs/>
                <w:szCs w:val="21"/>
              </w:rPr>
              <w:t>2023 Mar 14;14(1):1401</w:t>
            </w:r>
          </w:p>
          <w:p w14:paraId="41F0F774">
            <w:pPr>
              <w:pStyle w:val="13"/>
              <w:numPr>
                <w:ilvl w:val="0"/>
                <w:numId w:val="1"/>
              </w:numPr>
              <w:ind w:firstLineChars="0"/>
              <w:contextualSpacing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Targeting JUNB to modulate M2 macrophage polarization in preeclampsia. Peiyue Jiang#, Xiaojun Zhu, Ying Jiang, Hetong Li, Qiong Luo*. Biochimica et Biophysica Acta （BBA）. </w:t>
            </w:r>
            <w:r>
              <w:rPr>
                <w:bCs/>
                <w:szCs w:val="21"/>
              </w:rPr>
              <w:t>2024 Aug;1870(6):167194</w:t>
            </w:r>
          </w:p>
          <w:p w14:paraId="13D8086C">
            <w:pPr>
              <w:pStyle w:val="13"/>
              <w:numPr>
                <w:ilvl w:val="0"/>
                <w:numId w:val="1"/>
              </w:numPr>
              <w:ind w:firstLineChars="0"/>
              <w:contextualSpacing/>
              <w:rPr>
                <w:bCs/>
                <w:szCs w:val="21"/>
              </w:rPr>
            </w:pPr>
            <w:r>
              <w:rPr>
                <w:bCs/>
                <w:szCs w:val="21"/>
              </w:rPr>
              <w:t>Case Report: Identification Pathogenic Abnormal Splicing of BBS1 Causing Bardet-Biedl Syndrome Type I (BBS1) due to Missense Mutation</w:t>
            </w:r>
            <w:r>
              <w:rPr>
                <w:rFonts w:hint="eastAsia"/>
                <w:bCs/>
                <w:szCs w:val="21"/>
              </w:rPr>
              <w:t>.</w:t>
            </w:r>
            <w:r>
              <w:rPr>
                <w:bCs/>
                <w:szCs w:val="21"/>
              </w:rPr>
              <w:t xml:space="preserve"> Kai Yan#, Yixi Sun, Yanmei Yang, Bei Liu, Minyue Dong *</w:t>
            </w:r>
            <w:r>
              <w:rPr>
                <w:rFonts w:hint="eastAsia"/>
                <w:bCs/>
                <w:szCs w:val="21"/>
              </w:rPr>
              <w:t xml:space="preserve">. </w:t>
            </w:r>
            <w:r>
              <w:rPr>
                <w:bCs/>
                <w:szCs w:val="21"/>
              </w:rPr>
              <w:t>Frontiers in Genetics</w:t>
            </w:r>
            <w:r>
              <w:rPr>
                <w:rFonts w:hint="eastAsia"/>
                <w:bCs/>
                <w:szCs w:val="21"/>
              </w:rPr>
              <w:t xml:space="preserve">. </w:t>
            </w:r>
            <w:r>
              <w:rPr>
                <w:bCs/>
                <w:szCs w:val="21"/>
              </w:rPr>
              <w:t>2022 May 27;13:849562</w:t>
            </w:r>
          </w:p>
          <w:p w14:paraId="1A6B3150">
            <w:pPr>
              <w:contextualSpacing/>
              <w:rPr>
                <w:rStyle w:val="10"/>
                <w:color w:val="auto"/>
                <w:sz w:val="21"/>
                <w:szCs w:val="21"/>
              </w:rPr>
            </w:pPr>
            <w:r>
              <w:rPr>
                <w:rStyle w:val="10"/>
                <w:rFonts w:hint="eastAsia"/>
                <w:color w:val="auto"/>
                <w:sz w:val="21"/>
                <w:szCs w:val="21"/>
              </w:rPr>
              <w:t>主要知识产权和标准规范等</w:t>
            </w:r>
          </w:p>
          <w:p w14:paraId="0293005E">
            <w:pPr>
              <w:pStyle w:val="13"/>
              <w:numPr>
                <w:ilvl w:val="0"/>
                <w:numId w:val="2"/>
              </w:numPr>
              <w:ind w:firstLineChars="0"/>
              <w:contextualSpacing/>
              <w:rPr>
                <w:rStyle w:val="10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Style w:val="10"/>
                <w:rFonts w:hint="eastAsia"/>
                <w:b w:val="0"/>
                <w:bCs w:val="0"/>
                <w:color w:val="auto"/>
                <w:sz w:val="21"/>
                <w:szCs w:val="21"/>
              </w:rPr>
              <w:t>专家共识，新一代无创产前筛查技术NIPT2.0临床应用策略专家共识，中国，2024年10月10日，中华医学遗传学杂志，徐晨明；阴赪宏；尹爱华；刘珊玲；蒋宇林；罗琼；王华；黄荷凤</w:t>
            </w:r>
          </w:p>
          <w:p w14:paraId="644A6FA3">
            <w:pPr>
              <w:pStyle w:val="13"/>
              <w:numPr>
                <w:ilvl w:val="0"/>
                <w:numId w:val="2"/>
              </w:numPr>
              <w:ind w:firstLineChars="0"/>
              <w:contextualSpacing/>
              <w:rPr>
                <w:rStyle w:val="10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Style w:val="10"/>
                <w:rFonts w:hint="eastAsia"/>
                <w:b w:val="0"/>
                <w:bCs w:val="0"/>
                <w:color w:val="auto"/>
                <w:sz w:val="21"/>
                <w:szCs w:val="21"/>
              </w:rPr>
              <w:t>发明专利，一种检测蛋白质巯基亚硝基化的荧光探针及其制备和应用，中国，CN 106279277 B，2018年04月10日，ZL201610647578.5，浙江大学，李新；邵世怡；韩峰；卢应梅；胡永洲</w:t>
            </w:r>
          </w:p>
          <w:p w14:paraId="07B52CA7">
            <w:pPr>
              <w:pStyle w:val="13"/>
              <w:numPr>
                <w:ilvl w:val="0"/>
                <w:numId w:val="2"/>
              </w:numPr>
              <w:ind w:firstLineChars="0"/>
              <w:contextualSpacing/>
              <w:rPr>
                <w:rStyle w:val="10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Style w:val="10"/>
                <w:rFonts w:hint="eastAsia"/>
                <w:b w:val="0"/>
                <w:bCs w:val="0"/>
                <w:color w:val="auto"/>
                <w:sz w:val="21"/>
                <w:szCs w:val="21"/>
              </w:rPr>
              <w:t>发明专利，一种检测自噬流的荧光探针及其制备和应用，中国，CN 106220664 B ，2018年06月22日，ZL 2016 10653607.9 ，浙江大学，雷雨；陶蓉蓉；任文明；韩峰；胡有洪；胡永洲</w:t>
            </w:r>
          </w:p>
          <w:p w14:paraId="3446B94E">
            <w:pPr>
              <w:pStyle w:val="13"/>
              <w:numPr>
                <w:ilvl w:val="0"/>
                <w:numId w:val="2"/>
              </w:numPr>
              <w:ind w:firstLineChars="0"/>
              <w:contextualSpacing/>
              <w:rPr>
                <w:rStyle w:val="10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Style w:val="10"/>
                <w:rFonts w:hint="eastAsia"/>
                <w:b w:val="0"/>
                <w:bCs w:val="0"/>
                <w:color w:val="auto"/>
                <w:sz w:val="21"/>
                <w:szCs w:val="21"/>
              </w:rPr>
              <w:t>发明专利，一种检测过氧化氢活性的荧光探针及制备和应用，中国，CN 107325062 B，2020年05月12日，ZL 2017 10651377.7，浙江大学，李新；王成坤；程娟；韩峰；卢应梅；胡永洲</w:t>
            </w:r>
          </w:p>
          <w:p w14:paraId="553ECD0B">
            <w:pPr>
              <w:pStyle w:val="13"/>
              <w:numPr>
                <w:ilvl w:val="0"/>
                <w:numId w:val="2"/>
              </w:numPr>
              <w:ind w:firstLineChars="0"/>
              <w:contextualSpacing/>
              <w:rPr>
                <w:rStyle w:val="10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Style w:val="10"/>
                <w:rFonts w:hint="eastAsia"/>
                <w:b w:val="0"/>
                <w:bCs w:val="0"/>
                <w:color w:val="auto"/>
                <w:sz w:val="21"/>
                <w:szCs w:val="21"/>
              </w:rPr>
              <w:t>发明专利，含巯基荧光化合物或其硫酯衍生物及制备和应用，中国，CN 111269160 A，2020年06月12日，ZL 2020 10147958.9，浙江大学，李新；李佳；胡永洲；臧奕；郭瑞；张雨恬</w:t>
            </w:r>
          </w:p>
          <w:p w14:paraId="59A5EF1C">
            <w:pPr>
              <w:pStyle w:val="13"/>
              <w:numPr>
                <w:ilvl w:val="0"/>
                <w:numId w:val="2"/>
              </w:numPr>
              <w:ind w:firstLineChars="0"/>
              <w:contextualSpacing/>
              <w:rPr>
                <w:rStyle w:val="10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Style w:val="10"/>
                <w:rFonts w:hint="eastAsia"/>
                <w:b w:val="0"/>
                <w:bCs w:val="0"/>
                <w:color w:val="auto"/>
                <w:sz w:val="21"/>
                <w:szCs w:val="21"/>
              </w:rPr>
              <w:t>实用新型专利，一种宫颈环扎专用辅助器具，中国，CN 215306544 U，2021年12月28日，ZL 2021 2 0089364.7，浙江大学医学院附属妇产科医院，董添；罗琼；赵柏惠；濮玉群</w:t>
            </w:r>
          </w:p>
          <w:p w14:paraId="4DD2EEAC">
            <w:pPr>
              <w:pStyle w:val="13"/>
              <w:numPr>
                <w:ilvl w:val="0"/>
                <w:numId w:val="2"/>
              </w:numPr>
              <w:ind w:firstLineChars="0"/>
              <w:contextualSpacing/>
              <w:rPr>
                <w:rStyle w:val="10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Style w:val="10"/>
                <w:rFonts w:hint="eastAsia"/>
                <w:b w:val="0"/>
                <w:bCs w:val="0"/>
                <w:color w:val="auto"/>
                <w:sz w:val="21"/>
                <w:szCs w:val="21"/>
              </w:rPr>
              <w:t>实用新型专利，一种产时宫外手术用宫腔填充装置，中国，CN 214434429 U，2021年10月22日，ZL202022882422.X，浙江大学医学院附属妇产科医院，罗琼；赵柏惠；董添</w:t>
            </w:r>
          </w:p>
          <w:p w14:paraId="301B0CBC">
            <w:pPr>
              <w:pStyle w:val="13"/>
              <w:numPr>
                <w:ilvl w:val="0"/>
                <w:numId w:val="2"/>
              </w:numPr>
              <w:ind w:firstLineChars="0"/>
              <w:contextualSpacing/>
              <w:rPr>
                <w:rStyle w:val="10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Style w:val="10"/>
                <w:rFonts w:hint="eastAsia"/>
                <w:b w:val="0"/>
                <w:bCs w:val="0"/>
                <w:color w:val="auto"/>
                <w:sz w:val="21"/>
                <w:szCs w:val="21"/>
              </w:rPr>
              <w:t>实用新型专利，一种脐带保温管套结构，中国，CN 213525537 U，2021年6月25日，ZL 2020 2 1684736.2，浙江大学医学院附属妇产科医院，罗琼；董添；赵柏惠</w:t>
            </w:r>
          </w:p>
          <w:p w14:paraId="3B3BB14F">
            <w:pPr>
              <w:pStyle w:val="13"/>
              <w:numPr>
                <w:ilvl w:val="0"/>
                <w:numId w:val="2"/>
              </w:numPr>
              <w:ind w:firstLineChars="0"/>
              <w:contextualSpacing/>
              <w:rPr>
                <w:rStyle w:val="10"/>
                <w:rFonts w:hint="eastAsia" w:ascii="宋体" w:hAnsi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Style w:val="10"/>
                <w:rFonts w:hint="eastAsia"/>
                <w:b w:val="0"/>
                <w:bCs w:val="0"/>
                <w:color w:val="auto"/>
                <w:sz w:val="21"/>
                <w:szCs w:val="21"/>
              </w:rPr>
              <w:t>实用新型专利，一种负压宫腔填塞止血装置，中国，CN 214966129 U，2021年12月03日，ZL202023122709.9，浙江大学医学院附属妇产科医院，罗琼；赵柏惠；董添</w:t>
            </w:r>
          </w:p>
          <w:p w14:paraId="725252F1">
            <w:pPr>
              <w:pStyle w:val="13"/>
              <w:numPr>
                <w:ilvl w:val="0"/>
                <w:numId w:val="2"/>
              </w:numPr>
              <w:ind w:firstLineChars="0"/>
              <w:contextualSpacing/>
              <w:rPr>
                <w:rStyle w:val="10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Style w:val="10"/>
                <w:rFonts w:hint="eastAsia"/>
                <w:b w:val="0"/>
                <w:bCs w:val="0"/>
                <w:color w:val="auto"/>
                <w:sz w:val="21"/>
                <w:szCs w:val="21"/>
              </w:rPr>
              <w:t>计算机软件著作权，骨盆三维重建分娩方式评估系统[简称:NBPS]V1.3.0，中国，2023SR0470618，2022年12月25日，软著登字第11057789号，浙江大学医学院附属妇产科医院</w:t>
            </w:r>
          </w:p>
        </w:tc>
      </w:tr>
    </w:tbl>
    <w:p w14:paraId="7AC6E819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3BC3108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3F889E6-CF9B-4B7C-A42B-90883910852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C635ABA-5848-48E8-AC47-E1CEB3F39B0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7810922-6645-4295-9F76-D99F98C550C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2ACF3AC-8FAB-4564-9A32-75A14B35DEA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F36C915A-0373-4221-9C70-84CA9A40A3E1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6" w:fontKey="{57978767-1BF4-420B-B901-ACE1981D08AF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6E00CFFA-1C9A-411A-88F9-8FD2F1DECDD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50D385A2-4990-45AC-B195-0F30375FA4CF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A403AB64-9BA0-44C6-9298-AD91AF83D908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10" w:fontKey="{BCDD010A-4243-484B-9BB0-C054B7DDF7E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8B11BE"/>
    <w:multiLevelType w:val="multilevel"/>
    <w:tmpl w:val="168B11BE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327E4FF5"/>
    <w:multiLevelType w:val="multilevel"/>
    <w:tmpl w:val="327E4FF5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wZjk0NmY0MmMwZWQ2YzE2NjlmMjg1YmZlNGM5ZWUifQ=="/>
  </w:docVars>
  <w:rsids>
    <w:rsidRoot w:val="000E6961"/>
    <w:rsid w:val="0001663B"/>
    <w:rsid w:val="000229B3"/>
    <w:rsid w:val="000242B1"/>
    <w:rsid w:val="00024E2D"/>
    <w:rsid w:val="00026A06"/>
    <w:rsid w:val="00034DCA"/>
    <w:rsid w:val="000553F3"/>
    <w:rsid w:val="00066A3F"/>
    <w:rsid w:val="00067BEE"/>
    <w:rsid w:val="00086A03"/>
    <w:rsid w:val="0009304C"/>
    <w:rsid w:val="00097071"/>
    <w:rsid w:val="000C0715"/>
    <w:rsid w:val="000C59B7"/>
    <w:rsid w:val="000E0C38"/>
    <w:rsid w:val="000E14D7"/>
    <w:rsid w:val="000E6961"/>
    <w:rsid w:val="00112C33"/>
    <w:rsid w:val="0013140E"/>
    <w:rsid w:val="001464A4"/>
    <w:rsid w:val="00160F26"/>
    <w:rsid w:val="00165FFF"/>
    <w:rsid w:val="00170248"/>
    <w:rsid w:val="00172CCD"/>
    <w:rsid w:val="00182C92"/>
    <w:rsid w:val="001B42D5"/>
    <w:rsid w:val="001D5A4B"/>
    <w:rsid w:val="001F17BF"/>
    <w:rsid w:val="00201667"/>
    <w:rsid w:val="00206707"/>
    <w:rsid w:val="00210E1B"/>
    <w:rsid w:val="00214355"/>
    <w:rsid w:val="0023222B"/>
    <w:rsid w:val="0023611B"/>
    <w:rsid w:val="0024156D"/>
    <w:rsid w:val="00254FA0"/>
    <w:rsid w:val="0026159C"/>
    <w:rsid w:val="0029320B"/>
    <w:rsid w:val="002A7902"/>
    <w:rsid w:val="002C44E7"/>
    <w:rsid w:val="002D638F"/>
    <w:rsid w:val="002E0A8C"/>
    <w:rsid w:val="002E1962"/>
    <w:rsid w:val="002F3F47"/>
    <w:rsid w:val="00303F5C"/>
    <w:rsid w:val="00312AEE"/>
    <w:rsid w:val="00313626"/>
    <w:rsid w:val="003239AD"/>
    <w:rsid w:val="003255C4"/>
    <w:rsid w:val="00346696"/>
    <w:rsid w:val="00350B09"/>
    <w:rsid w:val="00375CAA"/>
    <w:rsid w:val="003851DD"/>
    <w:rsid w:val="0039324F"/>
    <w:rsid w:val="003A2072"/>
    <w:rsid w:val="003C7BAF"/>
    <w:rsid w:val="003D0821"/>
    <w:rsid w:val="003F263E"/>
    <w:rsid w:val="00405548"/>
    <w:rsid w:val="004138C0"/>
    <w:rsid w:val="004445F5"/>
    <w:rsid w:val="004472E4"/>
    <w:rsid w:val="004514A3"/>
    <w:rsid w:val="004676AC"/>
    <w:rsid w:val="0047501B"/>
    <w:rsid w:val="0048620E"/>
    <w:rsid w:val="00494B30"/>
    <w:rsid w:val="004D5ED7"/>
    <w:rsid w:val="004F57C2"/>
    <w:rsid w:val="00506C6C"/>
    <w:rsid w:val="005223B7"/>
    <w:rsid w:val="00523162"/>
    <w:rsid w:val="005446FD"/>
    <w:rsid w:val="00557681"/>
    <w:rsid w:val="005613B1"/>
    <w:rsid w:val="0056200D"/>
    <w:rsid w:val="00570858"/>
    <w:rsid w:val="005776A9"/>
    <w:rsid w:val="00597283"/>
    <w:rsid w:val="005A2AF6"/>
    <w:rsid w:val="005A5C7A"/>
    <w:rsid w:val="005B1E1D"/>
    <w:rsid w:val="005D1C3C"/>
    <w:rsid w:val="005D5FD7"/>
    <w:rsid w:val="005E2622"/>
    <w:rsid w:val="005F01F0"/>
    <w:rsid w:val="00605F80"/>
    <w:rsid w:val="00621EA7"/>
    <w:rsid w:val="00622A62"/>
    <w:rsid w:val="00626FF5"/>
    <w:rsid w:val="0063129C"/>
    <w:rsid w:val="00635F72"/>
    <w:rsid w:val="00657211"/>
    <w:rsid w:val="006756F6"/>
    <w:rsid w:val="0068126E"/>
    <w:rsid w:val="006A1E0F"/>
    <w:rsid w:val="006A289C"/>
    <w:rsid w:val="006C1D1B"/>
    <w:rsid w:val="006D15D3"/>
    <w:rsid w:val="006E0170"/>
    <w:rsid w:val="0072576C"/>
    <w:rsid w:val="00753387"/>
    <w:rsid w:val="00753ECD"/>
    <w:rsid w:val="00766E19"/>
    <w:rsid w:val="00794CE3"/>
    <w:rsid w:val="007F15E2"/>
    <w:rsid w:val="00810F20"/>
    <w:rsid w:val="0081144E"/>
    <w:rsid w:val="008268EF"/>
    <w:rsid w:val="00837B19"/>
    <w:rsid w:val="00841BF4"/>
    <w:rsid w:val="00862E6A"/>
    <w:rsid w:val="00870360"/>
    <w:rsid w:val="00887E34"/>
    <w:rsid w:val="0089070B"/>
    <w:rsid w:val="00892BEF"/>
    <w:rsid w:val="008A55EC"/>
    <w:rsid w:val="008B0CE3"/>
    <w:rsid w:val="008C6E55"/>
    <w:rsid w:val="008D1EE1"/>
    <w:rsid w:val="008D264C"/>
    <w:rsid w:val="008D274F"/>
    <w:rsid w:val="009050D1"/>
    <w:rsid w:val="00906CAA"/>
    <w:rsid w:val="00920987"/>
    <w:rsid w:val="00923696"/>
    <w:rsid w:val="00946E2E"/>
    <w:rsid w:val="00946EFD"/>
    <w:rsid w:val="00950B47"/>
    <w:rsid w:val="00964050"/>
    <w:rsid w:val="00970FC9"/>
    <w:rsid w:val="00973482"/>
    <w:rsid w:val="00976808"/>
    <w:rsid w:val="0099209C"/>
    <w:rsid w:val="00995FE7"/>
    <w:rsid w:val="009A2824"/>
    <w:rsid w:val="009F4122"/>
    <w:rsid w:val="009F5017"/>
    <w:rsid w:val="00A01E48"/>
    <w:rsid w:val="00A34C92"/>
    <w:rsid w:val="00A34FE6"/>
    <w:rsid w:val="00A45ED2"/>
    <w:rsid w:val="00A632BD"/>
    <w:rsid w:val="00A66A05"/>
    <w:rsid w:val="00A676F6"/>
    <w:rsid w:val="00A75256"/>
    <w:rsid w:val="00A8724D"/>
    <w:rsid w:val="00AA135C"/>
    <w:rsid w:val="00AC3A69"/>
    <w:rsid w:val="00AE35F1"/>
    <w:rsid w:val="00AF263C"/>
    <w:rsid w:val="00B01CC7"/>
    <w:rsid w:val="00B03DB7"/>
    <w:rsid w:val="00B14082"/>
    <w:rsid w:val="00B154B7"/>
    <w:rsid w:val="00B62598"/>
    <w:rsid w:val="00B81004"/>
    <w:rsid w:val="00BA0301"/>
    <w:rsid w:val="00BC6510"/>
    <w:rsid w:val="00BD4338"/>
    <w:rsid w:val="00BD5D55"/>
    <w:rsid w:val="00BE4FE9"/>
    <w:rsid w:val="00BF3526"/>
    <w:rsid w:val="00BF75FA"/>
    <w:rsid w:val="00C06200"/>
    <w:rsid w:val="00C1192E"/>
    <w:rsid w:val="00C258C5"/>
    <w:rsid w:val="00C35C89"/>
    <w:rsid w:val="00C41220"/>
    <w:rsid w:val="00C46B84"/>
    <w:rsid w:val="00C51176"/>
    <w:rsid w:val="00CB4F44"/>
    <w:rsid w:val="00CB5BE8"/>
    <w:rsid w:val="00CE2A40"/>
    <w:rsid w:val="00CF42E7"/>
    <w:rsid w:val="00CF7E82"/>
    <w:rsid w:val="00D03C36"/>
    <w:rsid w:val="00D4317F"/>
    <w:rsid w:val="00D474AB"/>
    <w:rsid w:val="00D51CE1"/>
    <w:rsid w:val="00D537F9"/>
    <w:rsid w:val="00D70D49"/>
    <w:rsid w:val="00D84953"/>
    <w:rsid w:val="00D93514"/>
    <w:rsid w:val="00D969E8"/>
    <w:rsid w:val="00DD3E70"/>
    <w:rsid w:val="00E0122F"/>
    <w:rsid w:val="00E03E83"/>
    <w:rsid w:val="00E11D64"/>
    <w:rsid w:val="00E14225"/>
    <w:rsid w:val="00E15D02"/>
    <w:rsid w:val="00E609EC"/>
    <w:rsid w:val="00E73E57"/>
    <w:rsid w:val="00EB50BD"/>
    <w:rsid w:val="00EC2668"/>
    <w:rsid w:val="00EC3963"/>
    <w:rsid w:val="00ED64A0"/>
    <w:rsid w:val="00EF298F"/>
    <w:rsid w:val="00EF2B97"/>
    <w:rsid w:val="00F120D6"/>
    <w:rsid w:val="00F22EBF"/>
    <w:rsid w:val="00F366ED"/>
    <w:rsid w:val="00F4302D"/>
    <w:rsid w:val="00F80649"/>
    <w:rsid w:val="00FB575C"/>
    <w:rsid w:val="00FC131B"/>
    <w:rsid w:val="00FD10EB"/>
    <w:rsid w:val="00FD13C4"/>
    <w:rsid w:val="00FE590F"/>
    <w:rsid w:val="00FE6633"/>
    <w:rsid w:val="00FF5254"/>
    <w:rsid w:val="00FF66D2"/>
    <w:rsid w:val="00FF67E6"/>
    <w:rsid w:val="043B2EAD"/>
    <w:rsid w:val="055049B7"/>
    <w:rsid w:val="067A4B73"/>
    <w:rsid w:val="10172994"/>
    <w:rsid w:val="10376767"/>
    <w:rsid w:val="11935F6F"/>
    <w:rsid w:val="13554FAD"/>
    <w:rsid w:val="183E6A73"/>
    <w:rsid w:val="1DD124E0"/>
    <w:rsid w:val="22C757DC"/>
    <w:rsid w:val="239A780D"/>
    <w:rsid w:val="2D5E1836"/>
    <w:rsid w:val="2FCB019F"/>
    <w:rsid w:val="30334471"/>
    <w:rsid w:val="34F479C9"/>
    <w:rsid w:val="368B3C8B"/>
    <w:rsid w:val="41F90570"/>
    <w:rsid w:val="459F64B2"/>
    <w:rsid w:val="4A714A31"/>
    <w:rsid w:val="554E2448"/>
    <w:rsid w:val="56AA0AF4"/>
    <w:rsid w:val="5DE038A0"/>
    <w:rsid w:val="62D1698F"/>
    <w:rsid w:val="638D29FA"/>
    <w:rsid w:val="69D0270C"/>
    <w:rsid w:val="6B122D3D"/>
    <w:rsid w:val="75C1563E"/>
    <w:rsid w:val="76A61B9C"/>
    <w:rsid w:val="78E3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4"/>
    <w:unhideWhenUsed/>
    <w:qFormat/>
    <w:uiPriority w:val="99"/>
    <w:pPr>
      <w:jc w:val="left"/>
    </w:pPr>
    <w:rPr>
      <w:rFonts w:asciiTheme="minorHAnsi" w:hAnsiTheme="minorHAnsi" w:eastAsiaTheme="minorEastAsia" w:cstheme="minorBidi"/>
      <w:szCs w:val="22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annotation reference"/>
    <w:basedOn w:val="7"/>
    <w:semiHidden/>
    <w:unhideWhenUsed/>
    <w:qFormat/>
    <w:uiPriority w:val="99"/>
    <w:rPr>
      <w:sz w:val="21"/>
      <w:szCs w:val="21"/>
    </w:rPr>
  </w:style>
  <w:style w:type="character" w:customStyle="1" w:styleId="9">
    <w:name w:val="标题 1 字符"/>
    <w:basedOn w:val="7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0">
    <w:name w:val="title1"/>
    <w:qFormat/>
    <w:uiPriority w:val="0"/>
    <w:rPr>
      <w:b/>
      <w:bCs/>
      <w:color w:val="999900"/>
      <w:sz w:val="24"/>
      <w:szCs w:val="24"/>
    </w:rPr>
  </w:style>
  <w:style w:type="character" w:customStyle="1" w:styleId="11">
    <w:name w:val="页眉 字符"/>
    <w:basedOn w:val="7"/>
    <w:link w:val="5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页脚 字符"/>
    <w:basedOn w:val="7"/>
    <w:link w:val="4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4">
    <w:name w:val="批注文字 字符"/>
    <w:basedOn w:val="7"/>
    <w:link w:val="3"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2796</Words>
  <Characters>5304</Characters>
  <Lines>432</Lines>
  <Paragraphs>525</Paragraphs>
  <TotalTime>0</TotalTime>
  <ScaleCrop>false</ScaleCrop>
  <LinksUpToDate>false</LinksUpToDate>
  <CharactersWithSpaces>5725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2025-04-09T02:48:00Z</dcterms:created>
  <dc:creator>Administrator</dc:creator>
  <cp:lastModifiedBy>吴子康</cp:lastModifiedBy>
  <dcterms:modified xsi:type="dcterms:W3CDTF">2025-04-15T08:01:51Z</dcterms:modified>
  <cp:revision>107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AD70530B1AE449F480860C1A761239C7_13</vt:lpwstr>
  </property>
  <property fmtid="{D5CDD505-2E9C-101B-9397-08002B2CF9AE}" pid="4" name="KSOTemplateDocerSaveRecord">
    <vt:lpwstr>eyJoZGlkIjoiZGMxYjIzMTZjMTRhZTY2ZTM3OTYwZGQwYzE3YmIwNGUiLCJ1c2VySWQiOiIyNTk1OTk4MzUifQ==</vt:lpwstr>
  </property>
</Properties>
</file>