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BED229">
      <w:pPr>
        <w:jc w:val="center"/>
        <w:rPr>
          <w:rStyle w:val="8"/>
          <w:rFonts w:eastAsia="方正小标宋简体"/>
          <w:bCs w:val="0"/>
          <w:color w:val="auto"/>
          <w:sz w:val="36"/>
          <w:szCs w:val="36"/>
        </w:rPr>
      </w:pPr>
      <w:r>
        <w:rPr>
          <w:rStyle w:val="8"/>
          <w:rFonts w:hint="eastAsia" w:ascii="微软雅黑" w:hAnsi="微软雅黑" w:eastAsia="微软雅黑" w:cs="微软雅黑"/>
          <w:color w:val="auto"/>
          <w:sz w:val="36"/>
          <w:szCs w:val="36"/>
        </w:rPr>
        <w:t>华夏医学科技奖公示信息表</w:t>
      </w:r>
    </w:p>
    <w:p w14:paraId="37EECFE6">
      <w:pPr>
        <w:spacing w:line="440" w:lineRule="exact"/>
        <w:rPr>
          <w:rFonts w:ascii="宋体" w:hAnsi="宋体"/>
          <w:sz w:val="28"/>
          <w:szCs w:val="24"/>
        </w:rPr>
      </w:pPr>
      <w:r>
        <w:rPr>
          <w:rFonts w:ascii="宋体" w:hAnsi="宋体"/>
          <w:b/>
          <w:bCs/>
          <w:sz w:val="28"/>
          <w:szCs w:val="24"/>
        </w:rPr>
        <w:t>提名奖项：</w:t>
      </w:r>
      <w:r>
        <w:rPr>
          <w:rFonts w:hint="eastAsia" w:ascii="宋体" w:hAnsi="宋体"/>
          <w:bCs/>
          <w:color w:val="000000"/>
          <w:sz w:val="28"/>
          <w:szCs w:val="28"/>
        </w:rPr>
        <w:t>科学技术奖</w:t>
      </w:r>
    </w:p>
    <w:tbl>
      <w:tblPr>
        <w:tblStyle w:val="5"/>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700B0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07E1C849">
            <w:pPr>
              <w:jc w:val="center"/>
              <w:rPr>
                <w:rStyle w:val="8"/>
                <w:rFonts w:ascii="宋体" w:hAnsi="宋体"/>
                <w:b w:val="0"/>
                <w:bCs w:val="0"/>
                <w:color w:val="auto"/>
                <w:sz w:val="28"/>
              </w:rPr>
            </w:pPr>
            <w:r>
              <w:rPr>
                <w:rStyle w:val="8"/>
                <w:rFonts w:hint="eastAsia" w:ascii="宋体" w:hAnsi="宋体"/>
                <w:b w:val="0"/>
                <w:bCs w:val="0"/>
                <w:color w:val="auto"/>
                <w:sz w:val="28"/>
              </w:rPr>
              <w:t>项目</w:t>
            </w:r>
            <w:r>
              <w:rPr>
                <w:rStyle w:val="8"/>
                <w:rFonts w:ascii="宋体" w:hAnsi="宋体"/>
                <w:b w:val="0"/>
                <w:bCs w:val="0"/>
                <w:color w:val="auto"/>
                <w:sz w:val="28"/>
              </w:rPr>
              <w:t>名称</w:t>
            </w:r>
          </w:p>
        </w:tc>
        <w:tc>
          <w:tcPr>
            <w:tcW w:w="6237" w:type="dxa"/>
            <w:vAlign w:val="center"/>
          </w:tcPr>
          <w:p w14:paraId="3B1F2985">
            <w:pPr>
              <w:jc w:val="center"/>
              <w:rPr>
                <w:rStyle w:val="8"/>
                <w:rFonts w:ascii="宋体" w:hAnsi="宋体"/>
                <w:b w:val="0"/>
                <w:bCs w:val="0"/>
                <w:color w:val="auto"/>
                <w:sz w:val="28"/>
              </w:rPr>
            </w:pPr>
            <w:r>
              <w:rPr>
                <w:rStyle w:val="8"/>
                <w:rFonts w:hint="eastAsia" w:ascii="宋体" w:hAnsi="宋体"/>
                <w:b w:val="0"/>
                <w:bCs w:val="0"/>
                <w:color w:val="auto"/>
                <w:sz w:val="28"/>
              </w:rPr>
              <w:t>宫颈癌精准筛查与防治关键技术创新及推广</w:t>
            </w:r>
          </w:p>
        </w:tc>
      </w:tr>
      <w:tr w14:paraId="734E1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42AF52CB">
            <w:pPr>
              <w:jc w:val="center"/>
              <w:rPr>
                <w:rStyle w:val="8"/>
                <w:rFonts w:hint="eastAsia" w:ascii="宋体" w:hAnsi="宋体" w:cstheme="minorBidi"/>
                <w:b w:val="0"/>
                <w:bCs w:val="0"/>
                <w:color w:val="auto"/>
                <w:sz w:val="28"/>
              </w:rPr>
            </w:pPr>
            <w:r>
              <w:rPr>
                <w:rStyle w:val="8"/>
                <w:rFonts w:hint="eastAsia" w:ascii="宋体" w:hAnsi="宋体" w:cstheme="minorBidi"/>
                <w:b w:val="0"/>
                <w:bCs w:val="0"/>
                <w:color w:val="auto"/>
                <w:sz w:val="28"/>
              </w:rPr>
              <w:t>推荐单位</w:t>
            </w:r>
          </w:p>
        </w:tc>
        <w:tc>
          <w:tcPr>
            <w:tcW w:w="6237" w:type="dxa"/>
            <w:vAlign w:val="center"/>
          </w:tcPr>
          <w:p w14:paraId="1BD7BA50">
            <w:pPr>
              <w:jc w:val="center"/>
              <w:rPr>
                <w:rStyle w:val="8"/>
                <w:rFonts w:ascii="宋体" w:hAnsi="宋体"/>
                <w:b w:val="0"/>
                <w:bCs w:val="0"/>
                <w:color w:val="auto"/>
                <w:sz w:val="28"/>
              </w:rPr>
            </w:pPr>
            <w:r>
              <w:rPr>
                <w:rStyle w:val="8"/>
                <w:rFonts w:hint="eastAsia" w:ascii="宋体" w:hAnsi="宋体"/>
                <w:b w:val="0"/>
                <w:bCs w:val="0"/>
                <w:color w:val="auto"/>
                <w:sz w:val="28"/>
              </w:rPr>
              <w:t>浙江大学</w:t>
            </w:r>
          </w:p>
        </w:tc>
      </w:tr>
      <w:tr w14:paraId="11AF8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14:paraId="209F57E8">
            <w:pPr>
              <w:jc w:val="center"/>
              <w:rPr>
                <w:rStyle w:val="8"/>
                <w:rFonts w:hint="eastAsia" w:ascii="宋体" w:hAnsi="宋体" w:cstheme="minorBidi"/>
                <w:b w:val="0"/>
                <w:bCs w:val="0"/>
                <w:color w:val="auto"/>
                <w:sz w:val="28"/>
              </w:rPr>
            </w:pPr>
            <w:r>
              <w:rPr>
                <w:rStyle w:val="8"/>
                <w:rFonts w:hint="eastAsia" w:ascii="宋体" w:hAnsi="宋体" w:cstheme="minorBidi"/>
                <w:b w:val="0"/>
                <w:bCs w:val="0"/>
                <w:color w:val="auto"/>
                <w:sz w:val="28"/>
              </w:rPr>
              <w:t>主要完成单位</w:t>
            </w:r>
          </w:p>
        </w:tc>
        <w:tc>
          <w:tcPr>
            <w:tcW w:w="6237" w:type="dxa"/>
            <w:vAlign w:val="center"/>
          </w:tcPr>
          <w:p w14:paraId="592BA7D5">
            <w:pPr>
              <w:widowControl/>
              <w:shd w:val="clear" w:color="auto" w:fill="FFFFFF"/>
              <w:spacing w:line="360" w:lineRule="auto"/>
              <w:rPr>
                <w:rFonts w:ascii="宋体" w:hAnsi="宋体"/>
                <w:szCs w:val="21"/>
              </w:rPr>
            </w:pPr>
            <w:r>
              <w:rPr>
                <w:rFonts w:hint="eastAsia" w:ascii="宋体" w:hAnsi="宋体"/>
                <w:szCs w:val="21"/>
              </w:rPr>
              <w:t>浙江大学医学院附属妇产科医院、华中科技大学同济医学院附属同济医院、上海市东方医院（同济大学附属东方医院）、杭州德同生物技术有限公司、武汉凯德维斯医学检验实验室有限公司</w:t>
            </w:r>
          </w:p>
        </w:tc>
      </w:tr>
      <w:tr w14:paraId="4E9A3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4DAF6059">
            <w:pPr>
              <w:jc w:val="center"/>
              <w:rPr>
                <w:rStyle w:val="8"/>
                <w:rFonts w:hint="eastAsia" w:ascii="宋体" w:hAnsi="宋体" w:cstheme="minorBidi"/>
                <w:b w:val="0"/>
                <w:bCs w:val="0"/>
                <w:color w:val="auto"/>
                <w:sz w:val="28"/>
              </w:rPr>
            </w:pPr>
            <w:r>
              <w:rPr>
                <w:rStyle w:val="8"/>
                <w:rFonts w:hint="eastAsia" w:ascii="宋体" w:hAnsi="宋体" w:cstheme="minorBidi"/>
                <w:b w:val="0"/>
                <w:bCs w:val="0"/>
                <w:color w:val="auto"/>
                <w:sz w:val="28"/>
              </w:rPr>
              <w:t>主要完成人</w:t>
            </w:r>
          </w:p>
        </w:tc>
        <w:tc>
          <w:tcPr>
            <w:tcW w:w="6237" w:type="dxa"/>
            <w:tcBorders>
              <w:left w:val="single" w:color="auto" w:sz="4" w:space="0"/>
            </w:tcBorders>
            <w:vAlign w:val="center"/>
          </w:tcPr>
          <w:p w14:paraId="6B5C708F">
            <w:pPr>
              <w:spacing w:line="440" w:lineRule="exact"/>
              <w:rPr>
                <w:rFonts w:ascii="宋体" w:hAnsi="宋体"/>
                <w:szCs w:val="21"/>
              </w:rPr>
            </w:pPr>
            <w:r>
              <w:rPr>
                <w:rFonts w:hint="eastAsia" w:ascii="宋体" w:hAnsi="宋体"/>
                <w:szCs w:val="21"/>
              </w:rPr>
              <w:t>姓名、排名、职称、单位</w:t>
            </w:r>
          </w:p>
          <w:p w14:paraId="76BBA62F">
            <w:pPr>
              <w:spacing w:line="440" w:lineRule="exact"/>
              <w:rPr>
                <w:rFonts w:ascii="宋体" w:hAnsi="宋体"/>
                <w:szCs w:val="21"/>
              </w:rPr>
            </w:pPr>
            <w:r>
              <w:rPr>
                <w:rFonts w:hint="eastAsia" w:ascii="宋体" w:hAnsi="宋体"/>
                <w:szCs w:val="21"/>
              </w:rPr>
              <w:t>汪辉，1，主任医师，浙江大学医学院附属妇产科医院</w:t>
            </w:r>
          </w:p>
          <w:p w14:paraId="49344166">
            <w:pPr>
              <w:spacing w:line="440" w:lineRule="exact"/>
              <w:rPr>
                <w:rFonts w:ascii="宋体" w:hAnsi="宋体"/>
                <w:szCs w:val="21"/>
              </w:rPr>
            </w:pPr>
            <w:r>
              <w:rPr>
                <w:rFonts w:hint="eastAsia" w:ascii="宋体" w:hAnsi="宋体"/>
                <w:szCs w:val="21"/>
              </w:rPr>
              <w:t>李晓，2，主任医师，浙江大学医学院附属妇产科医院</w:t>
            </w:r>
          </w:p>
          <w:p w14:paraId="36ECE511">
            <w:pPr>
              <w:spacing w:line="440" w:lineRule="exact"/>
              <w:rPr>
                <w:rFonts w:ascii="宋体" w:hAnsi="宋体"/>
                <w:szCs w:val="21"/>
              </w:rPr>
            </w:pPr>
            <w:r>
              <w:rPr>
                <w:rFonts w:hint="eastAsia" w:ascii="宋体" w:hAnsi="宋体"/>
                <w:szCs w:val="21"/>
              </w:rPr>
              <w:t>李芳，3，主任医师，上海市东方医院（同济大学附属东方医院）</w:t>
            </w:r>
          </w:p>
          <w:p w14:paraId="691E7588">
            <w:pPr>
              <w:spacing w:line="440" w:lineRule="exact"/>
              <w:rPr>
                <w:rFonts w:ascii="宋体" w:hAnsi="宋体"/>
                <w:szCs w:val="21"/>
              </w:rPr>
            </w:pPr>
            <w:r>
              <w:rPr>
                <w:rFonts w:hint="eastAsia" w:ascii="宋体" w:hAnsi="宋体"/>
                <w:szCs w:val="21"/>
              </w:rPr>
              <w:t>马丁，4，主任医师，华中科技大学同济医学院附属同济医院</w:t>
            </w:r>
          </w:p>
          <w:p w14:paraId="5BD5C80E">
            <w:pPr>
              <w:spacing w:line="440" w:lineRule="exact"/>
              <w:rPr>
                <w:rFonts w:ascii="宋体" w:hAnsi="宋体"/>
                <w:szCs w:val="21"/>
              </w:rPr>
            </w:pPr>
            <w:r>
              <w:rPr>
                <w:rFonts w:hint="eastAsia" w:ascii="宋体" w:hAnsi="宋体"/>
                <w:szCs w:val="21"/>
              </w:rPr>
              <w:t>程晓东，5，主任医师，浙江大学医学院附属妇产科医院</w:t>
            </w:r>
          </w:p>
          <w:p w14:paraId="7F9B641B">
            <w:pPr>
              <w:spacing w:line="440" w:lineRule="exact"/>
              <w:rPr>
                <w:rFonts w:ascii="宋体" w:hAnsi="宋体"/>
                <w:szCs w:val="21"/>
              </w:rPr>
            </w:pPr>
            <w:r>
              <w:rPr>
                <w:rFonts w:hint="eastAsia" w:ascii="宋体" w:hAnsi="宋体"/>
                <w:szCs w:val="21"/>
              </w:rPr>
              <w:t>王新宇，6，主任医师，浙江大学医学院附属第一医院</w:t>
            </w:r>
            <w:bookmarkStart w:id="0" w:name="_GoBack"/>
            <w:bookmarkEnd w:id="0"/>
          </w:p>
          <w:p w14:paraId="69E6B504">
            <w:pPr>
              <w:spacing w:line="440" w:lineRule="exact"/>
              <w:rPr>
                <w:rFonts w:ascii="宋体" w:hAnsi="宋体"/>
                <w:szCs w:val="21"/>
              </w:rPr>
            </w:pPr>
            <w:r>
              <w:rPr>
                <w:rFonts w:hint="eastAsia" w:ascii="宋体" w:hAnsi="宋体"/>
                <w:szCs w:val="21"/>
              </w:rPr>
              <w:t>田训，7，主任医师，武汉市中心医院</w:t>
            </w:r>
          </w:p>
          <w:p w14:paraId="18861035">
            <w:pPr>
              <w:spacing w:line="440" w:lineRule="exact"/>
              <w:rPr>
                <w:rFonts w:ascii="宋体" w:hAnsi="宋体"/>
                <w:szCs w:val="21"/>
              </w:rPr>
            </w:pPr>
            <w:r>
              <w:rPr>
                <w:rFonts w:hint="eastAsia" w:ascii="宋体" w:hAnsi="宋体"/>
                <w:szCs w:val="21"/>
              </w:rPr>
              <w:t>许君芬，8，副主任医师，浙江大学医学院附属妇产科医院</w:t>
            </w:r>
          </w:p>
          <w:p w14:paraId="63BCE0F7">
            <w:pPr>
              <w:spacing w:line="440" w:lineRule="exact"/>
              <w:rPr>
                <w:rFonts w:ascii="宋体" w:hAnsi="宋体"/>
                <w:szCs w:val="21"/>
              </w:rPr>
            </w:pPr>
            <w:r>
              <w:rPr>
                <w:rFonts w:hint="eastAsia" w:ascii="宋体" w:hAnsi="宋体"/>
                <w:szCs w:val="21"/>
              </w:rPr>
              <w:t>傅云峰，9，主任医师，浙江大学医学院附属妇产科医院</w:t>
            </w:r>
          </w:p>
          <w:p w14:paraId="389CB889">
            <w:pPr>
              <w:spacing w:line="440" w:lineRule="exact"/>
              <w:rPr>
                <w:rFonts w:ascii="宋体" w:hAnsi="宋体"/>
                <w:szCs w:val="21"/>
              </w:rPr>
            </w:pPr>
            <w:r>
              <w:rPr>
                <w:rFonts w:hint="eastAsia" w:ascii="宋体" w:hAnsi="宋体"/>
                <w:szCs w:val="21"/>
              </w:rPr>
              <w:t>吕炳建，10，主任医师，浙江大学医学院附属妇产科医院</w:t>
            </w:r>
          </w:p>
          <w:p w14:paraId="73CC8743">
            <w:pPr>
              <w:spacing w:line="440" w:lineRule="exact"/>
              <w:rPr>
                <w:rFonts w:ascii="宋体" w:hAnsi="宋体"/>
                <w:szCs w:val="21"/>
              </w:rPr>
            </w:pPr>
            <w:r>
              <w:rPr>
                <w:rFonts w:hint="eastAsia" w:ascii="宋体" w:hAnsi="宋体"/>
                <w:szCs w:val="21"/>
              </w:rPr>
              <w:t>刘丽婷，11，住院医师，浙江大学医学院附属妇产科医院</w:t>
            </w:r>
          </w:p>
          <w:p w14:paraId="0D7E3D70">
            <w:pPr>
              <w:spacing w:line="440" w:lineRule="exact"/>
              <w:rPr>
                <w:rFonts w:ascii="宋体" w:hAnsi="宋体"/>
                <w:szCs w:val="21"/>
              </w:rPr>
            </w:pPr>
            <w:r>
              <w:rPr>
                <w:rFonts w:hint="eastAsia" w:ascii="宋体" w:hAnsi="宋体"/>
                <w:szCs w:val="21"/>
              </w:rPr>
              <w:t>王伟，12，住院医师，浙江大学医学院附属妇产科医院</w:t>
            </w:r>
          </w:p>
          <w:p w14:paraId="19699609">
            <w:pPr>
              <w:spacing w:line="440" w:lineRule="exact"/>
              <w:rPr>
                <w:rFonts w:ascii="宋体" w:hAnsi="宋体"/>
                <w:szCs w:val="21"/>
              </w:rPr>
            </w:pPr>
            <w:r>
              <w:rPr>
                <w:rFonts w:hint="eastAsia" w:ascii="宋体" w:hAnsi="宋体"/>
                <w:szCs w:val="21"/>
              </w:rPr>
              <w:t>华绍炳，13，高级工程师，杭州德同生物技术有限公司</w:t>
            </w:r>
          </w:p>
          <w:p w14:paraId="515ABFF4">
            <w:pPr>
              <w:spacing w:line="440" w:lineRule="exact"/>
              <w:rPr>
                <w:rFonts w:ascii="宋体" w:hAnsi="宋体"/>
                <w:szCs w:val="21"/>
              </w:rPr>
            </w:pPr>
            <w:r>
              <w:rPr>
                <w:rFonts w:hint="eastAsia" w:ascii="宋体" w:hAnsi="宋体"/>
                <w:szCs w:val="21"/>
              </w:rPr>
              <w:t>韩斌，14，高级工程师，杭州德同生物技术有限公司</w:t>
            </w:r>
          </w:p>
          <w:p w14:paraId="425F3EE5">
            <w:pPr>
              <w:spacing w:line="440" w:lineRule="exact"/>
              <w:rPr>
                <w:rFonts w:hint="eastAsia" w:ascii="宋体" w:hAnsi="宋体"/>
                <w:szCs w:val="21"/>
              </w:rPr>
            </w:pPr>
            <w:r>
              <w:rPr>
                <w:rFonts w:hint="eastAsia" w:ascii="宋体" w:hAnsi="宋体"/>
                <w:szCs w:val="21"/>
              </w:rPr>
              <w:t>陈世民，15，</w:t>
            </w:r>
            <w:r>
              <w:rPr>
                <w:rFonts w:hint="eastAsia" w:ascii="宋体" w:hAnsi="宋体"/>
                <w:szCs w:val="21"/>
                <w:lang w:val="en-US" w:eastAsia="zh-CN"/>
              </w:rPr>
              <w:t>无</w:t>
            </w:r>
            <w:r>
              <w:rPr>
                <w:rFonts w:hint="eastAsia" w:ascii="宋体" w:hAnsi="宋体"/>
                <w:szCs w:val="21"/>
              </w:rPr>
              <w:t>，武汉凯德维斯生物技术有限公司</w:t>
            </w:r>
          </w:p>
        </w:tc>
      </w:tr>
      <w:tr w14:paraId="0BED8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8" w:hRule="atLeast"/>
        </w:trPr>
        <w:tc>
          <w:tcPr>
            <w:tcW w:w="2269" w:type="dxa"/>
            <w:tcBorders>
              <w:right w:val="single" w:color="auto" w:sz="4" w:space="0"/>
            </w:tcBorders>
            <w:vAlign w:val="center"/>
          </w:tcPr>
          <w:p w14:paraId="00B802CC">
            <w:pPr>
              <w:jc w:val="center"/>
              <w:rPr>
                <w:rStyle w:val="8"/>
                <w:rFonts w:hint="eastAsia" w:ascii="宋体" w:hAnsi="宋体" w:cstheme="minorBidi"/>
                <w:b w:val="0"/>
                <w:bCs w:val="0"/>
                <w:color w:val="auto"/>
                <w:sz w:val="28"/>
              </w:rPr>
            </w:pPr>
            <w:r>
              <w:rPr>
                <w:rStyle w:val="8"/>
                <w:rFonts w:hint="eastAsia" w:ascii="宋体" w:hAnsi="宋体" w:cstheme="minorBidi"/>
                <w:b w:val="0"/>
                <w:bCs w:val="0"/>
                <w:color w:val="auto"/>
                <w:sz w:val="28"/>
              </w:rPr>
              <w:t>项目简介</w:t>
            </w:r>
          </w:p>
        </w:tc>
        <w:tc>
          <w:tcPr>
            <w:tcW w:w="6237" w:type="dxa"/>
            <w:tcBorders>
              <w:left w:val="single" w:color="auto" w:sz="4" w:space="0"/>
            </w:tcBorders>
            <w:vAlign w:val="center"/>
          </w:tcPr>
          <w:p w14:paraId="59DAD143">
            <w:pPr>
              <w:spacing w:line="360" w:lineRule="auto"/>
              <w:ind w:firstLine="420" w:firstLineChars="200"/>
              <w:rPr>
                <w:szCs w:val="21"/>
              </w:rPr>
            </w:pPr>
            <w:r>
              <w:rPr>
                <w:rFonts w:hint="eastAsia"/>
                <w:szCs w:val="21"/>
              </w:rPr>
              <w:t>我国每年筛查出约4500万高危HPV感染的适龄女性，其中宫颈癌患病约11万，死亡病例近6万。目前HPV疫苗无法全覆盖高危HPV型别，已有HPV筛查策略精度低，传统治疗导致女性生育力下降、不孕及卵巢功能丧失。然而，HPV感染整合致病分子机制不明、分层筛查技术匮乏、精准治疗方案缺失。项目组在国家基金、国家重点研发等资助下，围绕上述三大挑战性难题，取得如下创新成果。</w:t>
            </w:r>
          </w:p>
          <w:p w14:paraId="3A9AEB7B">
            <w:pPr>
              <w:spacing w:line="360" w:lineRule="auto"/>
              <w:ind w:firstLine="420" w:firstLineChars="200"/>
              <w:rPr>
                <w:szCs w:val="21"/>
              </w:rPr>
            </w:pPr>
            <w:r>
              <w:rPr>
                <w:rFonts w:hint="eastAsia"/>
                <w:szCs w:val="21"/>
              </w:rPr>
              <w:t>1.致病新机制。鉴定全球数量最多（3667个）的宫颈癌HPV感染整合位点，首次绘制了高频整合位点图谱，建立了“微同源”介导的HPV整合模型，发现了HPV非随机整合新机制，回答了困扰业界已久的HPV是否随机整合的争议，为甄别HPV感染高危人群奠定了理论基础。构建了miRNA-HPV基因互作网络图，阐明了miR-375 通过靶向 Sp1和miR-424 通过靶向Chk1参与宫颈癌进展的分子机制，被评价“可作为宫颈病变早期诊断的重要标志物，还能提供潜在治疗靶点”。</w:t>
            </w:r>
          </w:p>
          <w:p w14:paraId="644895FD">
            <w:pPr>
              <w:spacing w:line="360" w:lineRule="auto"/>
              <w:ind w:firstLine="420" w:firstLineChars="200"/>
              <w:rPr>
                <w:szCs w:val="21"/>
              </w:rPr>
            </w:pPr>
            <w:r>
              <w:rPr>
                <w:rFonts w:hint="eastAsia"/>
                <w:szCs w:val="21"/>
              </w:rPr>
              <w:t>2.筛查新策略。提出融合液相捕获和高通量测序的高危HPV整合检测新方法，开发了国际首个体外诊断HPV整合检测试剂盒；研发了首个基于杂交捕获技术的脱落细胞miRNA检测试剂盒。HPV整合试剂盒被国家药监局批准进入创新医疗器械审查绿色通道，已在30余家医院临床应用，为80%的HPV16/18感染女性免除了阴道镜检查。分层筛查方法被写入《中国子宫颈癌筛查指南》。</w:t>
            </w:r>
          </w:p>
          <w:p w14:paraId="4FAEEF9D">
            <w:pPr>
              <w:spacing w:line="360" w:lineRule="auto"/>
              <w:ind w:firstLine="420" w:firstLineChars="200"/>
              <w:rPr>
                <w:szCs w:val="21"/>
              </w:rPr>
            </w:pPr>
            <w:r>
              <w:rPr>
                <w:rFonts w:hint="eastAsia"/>
                <w:szCs w:val="21"/>
              </w:rPr>
              <w:t>3.治疗新方案。发明靶向HPV致癌基因的无创分子治疗技术，逆转了宫颈癌前病变，保护了有生育需求女性的宫颈机能和生育能力。建立宫颈癌化疗耐药多基因联合预测模型，准确率82.3%；提出未切除卵巢的早期宫颈癌患者术后辅助化疗新方法，保护了卵巢功能，突破了高复发风险的早期宫颈癌患者术后只能放疗的传统治疗，被写入《中国妇科肿瘤临床实践指南》。</w:t>
            </w:r>
          </w:p>
          <w:p w14:paraId="50EA42FB">
            <w:pPr>
              <w:spacing w:line="360" w:lineRule="auto"/>
              <w:ind w:firstLine="420" w:firstLineChars="200"/>
              <w:rPr>
                <w:rFonts w:hint="eastAsia"/>
                <w:szCs w:val="21"/>
              </w:rPr>
            </w:pPr>
            <w:r>
              <w:rPr>
                <w:rFonts w:hint="eastAsia"/>
                <w:szCs w:val="21"/>
              </w:rPr>
              <w:t>在N Nat Gent、Mol Ther等发表SCI论文83篇，他引2152次，授权国家发明专利29件，写入指南3部。邬堂春院士为组长的鉴定委员会评价“总体达到国际先进水平”。已在湘雅医院、齐鲁医院、华西二院等500余家医院推广应用，开展培训百余场，服务患者70余万人次。在美国妇科肿瘤年会做早期宫颈癌患者术后辅助化疗方法的特邀报告。成果写入全国规划教材《妇产科学》。第一完成人为中华医学会妇科肿瘤分会副主委，第一完成单位被国家卫健委纳入首批国家宫颈癌规范诊疗试点单位。</w:t>
            </w:r>
          </w:p>
        </w:tc>
      </w:tr>
      <w:tr w14:paraId="1AC1F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269" w:type="dxa"/>
            <w:vAlign w:val="center"/>
          </w:tcPr>
          <w:p w14:paraId="499BF20F">
            <w:pPr>
              <w:jc w:val="center"/>
              <w:rPr>
                <w:rStyle w:val="8"/>
                <w:rFonts w:hint="eastAsia" w:ascii="宋体" w:hAnsi="宋体" w:cstheme="minorBidi"/>
                <w:b w:val="0"/>
                <w:bCs w:val="0"/>
                <w:color w:val="auto"/>
                <w:sz w:val="28"/>
              </w:rPr>
            </w:pPr>
            <w:r>
              <w:rPr>
                <w:rStyle w:val="8"/>
                <w:rFonts w:hint="eastAsia" w:ascii="宋体" w:hAnsi="宋体" w:cstheme="minorBidi"/>
                <w:b w:val="0"/>
                <w:bCs w:val="0"/>
                <w:color w:val="auto"/>
                <w:sz w:val="28"/>
              </w:rPr>
              <w:t>代表性论文目录、主要知识产权和标准规范等目录</w:t>
            </w:r>
          </w:p>
        </w:tc>
        <w:tc>
          <w:tcPr>
            <w:tcW w:w="6237" w:type="dxa"/>
            <w:vAlign w:val="center"/>
          </w:tcPr>
          <w:p w14:paraId="1E92D050">
            <w:pPr>
              <w:contextualSpacing/>
              <w:jc w:val="left"/>
              <w:rPr>
                <w:rStyle w:val="8"/>
                <w:color w:val="auto"/>
                <w:sz w:val="21"/>
                <w:szCs w:val="21"/>
              </w:rPr>
            </w:pPr>
            <w:r>
              <w:rPr>
                <w:rStyle w:val="8"/>
                <w:color w:val="auto"/>
                <w:sz w:val="21"/>
                <w:szCs w:val="21"/>
              </w:rPr>
              <w:t>代表性论文</w:t>
            </w:r>
          </w:p>
          <w:p w14:paraId="4760DBCF">
            <w:pPr>
              <w:contextualSpacing/>
              <w:rPr>
                <w:rStyle w:val="8"/>
                <w:b w:val="0"/>
                <w:bCs w:val="0"/>
                <w:color w:val="auto"/>
                <w:sz w:val="21"/>
                <w:szCs w:val="21"/>
              </w:rPr>
            </w:pPr>
            <w:r>
              <w:rPr>
                <w:rStyle w:val="8"/>
                <w:b w:val="0"/>
                <w:bCs w:val="0"/>
                <w:color w:val="auto"/>
                <w:sz w:val="21"/>
                <w:szCs w:val="21"/>
              </w:rPr>
              <w:t>1 Genome-wide profiling of HPV integration in cervical cancer identifies clustered genomic hot spots and a potential microhomology-mediated integration mechanism.Hu Z, Zhu D, Wang W et al. Nat Genet;2015 Feb;47(2):158-63</w:t>
            </w:r>
          </w:p>
          <w:p w14:paraId="69DD7D52">
            <w:pPr>
              <w:contextualSpacing/>
              <w:rPr>
                <w:rStyle w:val="8"/>
                <w:b w:val="0"/>
                <w:bCs w:val="0"/>
                <w:color w:val="auto"/>
                <w:sz w:val="21"/>
                <w:szCs w:val="21"/>
              </w:rPr>
            </w:pPr>
            <w:r>
              <w:rPr>
                <w:rStyle w:val="8"/>
                <w:b w:val="0"/>
                <w:bCs w:val="0"/>
                <w:color w:val="auto"/>
                <w:sz w:val="21"/>
                <w:szCs w:val="21"/>
              </w:rPr>
              <w:t>2 Extended HPV Genotyping for Risk Assessment of Cervical Intraepithelial Neoplasia Grade 2/3 or Worse in a Cohort Study. Li X, Rao X, Wei MJ et al. J Natl Compr Canc Netw;2022 Aug;20(8):906-914</w:t>
            </w:r>
          </w:p>
          <w:p w14:paraId="711DACEB">
            <w:pPr>
              <w:contextualSpacing/>
              <w:rPr>
                <w:rStyle w:val="8"/>
                <w:b w:val="0"/>
                <w:bCs w:val="0"/>
                <w:color w:val="auto"/>
                <w:sz w:val="21"/>
                <w:szCs w:val="21"/>
              </w:rPr>
            </w:pPr>
            <w:r>
              <w:rPr>
                <w:rStyle w:val="8"/>
                <w:b w:val="0"/>
                <w:bCs w:val="0"/>
                <w:color w:val="auto"/>
                <w:sz w:val="21"/>
                <w:szCs w:val="21"/>
              </w:rPr>
              <w:t>3 A Fifteen-Gene Classifier to Predict Neoadjuvant Chemotherapy Responses in Patients with Stage IB to IIB Squamous Cervical Cancer, Tian X, Wang X, Cui Z et al. Adv Sci (Weinh); 2021 Mar 18;8(10):2001978.</w:t>
            </w:r>
          </w:p>
          <w:p w14:paraId="1A7FB66C">
            <w:pPr>
              <w:contextualSpacing/>
              <w:rPr>
                <w:rStyle w:val="8"/>
                <w:b w:val="0"/>
                <w:bCs w:val="0"/>
                <w:color w:val="auto"/>
                <w:sz w:val="21"/>
                <w:szCs w:val="21"/>
              </w:rPr>
            </w:pPr>
            <w:r>
              <w:rPr>
                <w:rStyle w:val="8"/>
                <w:b w:val="0"/>
                <w:bCs w:val="0"/>
                <w:color w:val="auto"/>
                <w:sz w:val="21"/>
                <w:szCs w:val="21"/>
              </w:rPr>
              <w:t>4 TALEN-mediated targeting of HPV oncogenes ameliorates HPV-related cervical malignancy. Hu Z, Ding W, Zhu D et al.J Clin Invest;2015 Jan;125(1):425-36.</w:t>
            </w:r>
          </w:p>
          <w:p w14:paraId="30861B3C">
            <w:pPr>
              <w:contextualSpacing/>
              <w:rPr>
                <w:rStyle w:val="8"/>
                <w:b w:val="0"/>
                <w:bCs w:val="0"/>
                <w:color w:val="auto"/>
                <w:sz w:val="21"/>
                <w:szCs w:val="21"/>
              </w:rPr>
            </w:pPr>
            <w:r>
              <w:rPr>
                <w:rStyle w:val="8"/>
                <w:b w:val="0"/>
                <w:bCs w:val="0"/>
                <w:color w:val="auto"/>
                <w:sz w:val="21"/>
                <w:szCs w:val="21"/>
              </w:rPr>
              <w:t>5 PIBF1 regulates multiple gene expression via impeding long-range chromatin interaction to drive the malignant transformation of HPV16 integration epithelial cells. Li X, Ren C, Huang A et al.</w:t>
            </w:r>
            <w:r>
              <w:rPr>
                <w:rStyle w:val="8"/>
                <w:b w:val="0"/>
                <w:bCs w:val="0"/>
                <w:color w:val="auto"/>
                <w:sz w:val="21"/>
                <w:szCs w:val="21"/>
              </w:rPr>
              <w:tab/>
            </w:r>
            <w:r>
              <w:rPr>
                <w:rStyle w:val="8"/>
                <w:b w:val="0"/>
                <w:bCs w:val="0"/>
                <w:color w:val="auto"/>
                <w:sz w:val="21"/>
                <w:szCs w:val="21"/>
              </w:rPr>
              <w:t>J Adv Res;2024 Mar;57:163-180</w:t>
            </w:r>
          </w:p>
          <w:p w14:paraId="23CFAA02">
            <w:pPr>
              <w:contextualSpacing/>
              <w:rPr>
                <w:rStyle w:val="8"/>
                <w:b w:val="0"/>
                <w:bCs w:val="0"/>
                <w:color w:val="auto"/>
                <w:sz w:val="21"/>
                <w:szCs w:val="21"/>
              </w:rPr>
            </w:pPr>
            <w:r>
              <w:rPr>
                <w:rStyle w:val="8"/>
                <w:b w:val="0"/>
                <w:bCs w:val="0"/>
                <w:color w:val="auto"/>
                <w:sz w:val="21"/>
                <w:szCs w:val="21"/>
              </w:rPr>
              <w:t>6 MicroRNA detection in cervical exfoliated cells as a triage for human papillomavirus-positive women. Tian Q, Li Y, Wang Fet al.J Natl Cancer Inst;2014 Sep 4;106(9)</w:t>
            </w:r>
          </w:p>
          <w:p w14:paraId="70B9E710">
            <w:pPr>
              <w:contextualSpacing/>
              <w:rPr>
                <w:rStyle w:val="8"/>
                <w:b w:val="0"/>
                <w:bCs w:val="0"/>
                <w:color w:val="auto"/>
                <w:sz w:val="21"/>
                <w:szCs w:val="21"/>
              </w:rPr>
            </w:pPr>
            <w:r>
              <w:rPr>
                <w:rStyle w:val="8"/>
                <w:b w:val="0"/>
                <w:bCs w:val="0"/>
                <w:color w:val="auto"/>
                <w:sz w:val="21"/>
                <w:szCs w:val="21"/>
              </w:rPr>
              <w:t>7 Single-cell Dissection of Cervical Cancer Reveals Key Subsets of the Tumor Immune Microenvironment. Cao G, Yue J, Ruan Y et al.EMBO JOURNAL; 2023 Aug 15;42(16):e110757.</w:t>
            </w:r>
          </w:p>
          <w:p w14:paraId="26E256F0">
            <w:pPr>
              <w:contextualSpacing/>
              <w:rPr>
                <w:rStyle w:val="8"/>
                <w:b w:val="0"/>
                <w:bCs w:val="0"/>
                <w:color w:val="auto"/>
                <w:sz w:val="21"/>
                <w:szCs w:val="21"/>
              </w:rPr>
            </w:pPr>
            <w:r>
              <w:rPr>
                <w:rStyle w:val="8"/>
                <w:b w:val="0"/>
                <w:bCs w:val="0"/>
                <w:color w:val="auto"/>
                <w:sz w:val="21"/>
                <w:szCs w:val="21"/>
              </w:rPr>
              <w:t>8 DHCR7 promotes lymph node metastasis in cervical cancer through cholesterol reprogramming-mediated activation of the KANK4/PI3K/AKT axis and VEGF-C secretion.Mei X, Xiong J, Liu J et al.Cancer Lett;2024 Mar 1;584:216609</w:t>
            </w:r>
          </w:p>
          <w:p w14:paraId="542DEE0F">
            <w:pPr>
              <w:contextualSpacing/>
              <w:rPr>
                <w:rStyle w:val="8"/>
                <w:b w:val="0"/>
                <w:bCs w:val="0"/>
                <w:color w:val="auto"/>
                <w:sz w:val="21"/>
                <w:szCs w:val="21"/>
              </w:rPr>
            </w:pPr>
            <w:r>
              <w:rPr>
                <w:rStyle w:val="8"/>
                <w:b w:val="0"/>
                <w:bCs w:val="0"/>
                <w:color w:val="auto"/>
                <w:sz w:val="21"/>
                <w:szCs w:val="21"/>
              </w:rPr>
              <w:t>9 Risk assessment and triage strategy of cervical cancer primary screening on HPV integration status: 5-year follow-up of a prospective cohort study. Tian X, Weng D, Chen Y et al.</w:t>
            </w:r>
            <w:r>
              <w:rPr>
                <w:rStyle w:val="8"/>
                <w:b w:val="0"/>
                <w:bCs w:val="0"/>
                <w:color w:val="auto"/>
                <w:sz w:val="21"/>
                <w:szCs w:val="21"/>
              </w:rPr>
              <w:tab/>
            </w:r>
            <w:r>
              <w:rPr>
                <w:rStyle w:val="8"/>
                <w:b w:val="0"/>
                <w:bCs w:val="0"/>
                <w:color w:val="auto"/>
                <w:sz w:val="21"/>
                <w:szCs w:val="21"/>
              </w:rPr>
              <w:t>J Natl Cancer Cent; 2024 Oct 16;4(4):311-317</w:t>
            </w:r>
          </w:p>
          <w:p w14:paraId="026C2586">
            <w:pPr>
              <w:contextualSpacing/>
              <w:rPr>
                <w:rStyle w:val="8"/>
                <w:b w:val="0"/>
                <w:bCs w:val="0"/>
                <w:color w:val="auto"/>
                <w:sz w:val="21"/>
                <w:szCs w:val="21"/>
              </w:rPr>
            </w:pPr>
            <w:r>
              <w:rPr>
                <w:rStyle w:val="8"/>
                <w:b w:val="0"/>
                <w:bCs w:val="0"/>
                <w:color w:val="auto"/>
                <w:sz w:val="21"/>
                <w:szCs w:val="21"/>
              </w:rPr>
              <w:t>10 Suppressed miR-424 expression viaupregulation of target gene Chkl contributesto the progression of cervicalcancer.Xu J,Li Y,Wang F,Wang X et al.</w:t>
            </w:r>
            <w:r>
              <w:rPr>
                <w:rStyle w:val="8"/>
                <w:b w:val="0"/>
                <w:bCs w:val="0"/>
                <w:color w:val="auto"/>
                <w:sz w:val="21"/>
                <w:szCs w:val="21"/>
              </w:rPr>
              <w:tab/>
            </w:r>
            <w:r>
              <w:rPr>
                <w:rStyle w:val="8"/>
                <w:b w:val="0"/>
                <w:bCs w:val="0"/>
                <w:color w:val="auto"/>
                <w:sz w:val="21"/>
                <w:szCs w:val="21"/>
              </w:rPr>
              <w:t>Oncogene; 2013 Feb 21;32(8):976-87</w:t>
            </w:r>
            <w:r>
              <w:rPr>
                <w:rStyle w:val="8"/>
                <w:b w:val="0"/>
                <w:bCs w:val="0"/>
                <w:color w:val="auto"/>
                <w:sz w:val="21"/>
                <w:szCs w:val="21"/>
              </w:rPr>
              <w:tab/>
            </w:r>
          </w:p>
          <w:p w14:paraId="3617958E">
            <w:pPr>
              <w:contextualSpacing/>
              <w:rPr>
                <w:rStyle w:val="8"/>
                <w:color w:val="auto"/>
                <w:sz w:val="21"/>
                <w:szCs w:val="21"/>
              </w:rPr>
            </w:pPr>
            <w:r>
              <w:rPr>
                <w:rStyle w:val="8"/>
                <w:rFonts w:hint="eastAsia"/>
                <w:color w:val="auto"/>
                <w:sz w:val="21"/>
                <w:szCs w:val="21"/>
              </w:rPr>
              <w:t>已授权发明专利</w:t>
            </w:r>
          </w:p>
          <w:p w14:paraId="45BD62FA">
            <w:pPr>
              <w:contextualSpacing/>
              <w:rPr>
                <w:rStyle w:val="8"/>
                <w:rFonts w:hint="eastAsia"/>
                <w:b w:val="0"/>
                <w:bCs w:val="0"/>
                <w:color w:val="auto"/>
                <w:sz w:val="21"/>
                <w:szCs w:val="21"/>
              </w:rPr>
            </w:pPr>
            <w:r>
              <w:rPr>
                <w:rStyle w:val="8"/>
                <w:rFonts w:hint="eastAsia"/>
                <w:b w:val="0"/>
                <w:bCs w:val="0"/>
                <w:color w:val="auto"/>
                <w:sz w:val="21"/>
                <w:szCs w:val="21"/>
              </w:rPr>
              <w:t>1 与宫颈癌发生相关的HPV整合的基因位点及其应用 2018/6/1 马丁，汪辉，胡争，祝达，丁文成</w:t>
            </w:r>
          </w:p>
          <w:p w14:paraId="0D8AE9B0">
            <w:pPr>
              <w:contextualSpacing/>
              <w:rPr>
                <w:rStyle w:val="8"/>
                <w:rFonts w:hint="eastAsia"/>
                <w:b w:val="0"/>
                <w:bCs w:val="0"/>
                <w:color w:val="auto"/>
                <w:sz w:val="21"/>
                <w:szCs w:val="21"/>
              </w:rPr>
            </w:pPr>
            <w:r>
              <w:rPr>
                <w:rStyle w:val="8"/>
                <w:rFonts w:hint="eastAsia"/>
                <w:b w:val="0"/>
                <w:bCs w:val="0"/>
                <w:color w:val="auto"/>
                <w:sz w:val="21"/>
                <w:szCs w:val="21"/>
              </w:rPr>
              <w:t>2 基于杂交捕获及酶保护的microRNA高通量检测方法及试剂盒 2022/2/25 韩斌，王新宇，李 晓，李立威，华绍 炳，谢幸</w:t>
            </w:r>
          </w:p>
          <w:p w14:paraId="2533C8C0">
            <w:pPr>
              <w:contextualSpacing/>
              <w:rPr>
                <w:rStyle w:val="8"/>
                <w:rFonts w:hint="eastAsia"/>
                <w:b w:val="0"/>
                <w:bCs w:val="0"/>
                <w:color w:val="auto"/>
                <w:sz w:val="21"/>
                <w:szCs w:val="21"/>
              </w:rPr>
            </w:pPr>
            <w:r>
              <w:rPr>
                <w:rStyle w:val="8"/>
                <w:rFonts w:hint="eastAsia"/>
                <w:b w:val="0"/>
                <w:bCs w:val="0"/>
                <w:color w:val="auto"/>
                <w:sz w:val="21"/>
                <w:szCs w:val="21"/>
              </w:rPr>
              <w:t>3 一种治疗HPV感染的纳米粒制剂及其制备方法 2018/1/19 马丁、汪辉、祝达、沈慧、胡争、程静</w:t>
            </w:r>
          </w:p>
          <w:p w14:paraId="4EA92FFC">
            <w:pPr>
              <w:contextualSpacing/>
              <w:rPr>
                <w:rStyle w:val="8"/>
                <w:rFonts w:hint="eastAsia"/>
                <w:b w:val="0"/>
                <w:bCs w:val="0"/>
                <w:color w:val="auto"/>
                <w:sz w:val="21"/>
                <w:szCs w:val="21"/>
              </w:rPr>
            </w:pPr>
            <w:r>
              <w:rPr>
                <w:rStyle w:val="8"/>
                <w:rFonts w:hint="eastAsia"/>
                <w:b w:val="0"/>
                <w:bCs w:val="0"/>
                <w:color w:val="auto"/>
                <w:sz w:val="21"/>
                <w:szCs w:val="21"/>
              </w:rPr>
              <w:t>4 利用锌指核酸酶敲除人乳头瘤病毒E6E7基因的方法 2017/10/13 马丁，汪辉，胡争，祝达，丁文成</w:t>
            </w:r>
          </w:p>
          <w:p w14:paraId="4BA2C644">
            <w:pPr>
              <w:contextualSpacing/>
              <w:rPr>
                <w:rStyle w:val="8"/>
                <w:rFonts w:hint="eastAsia"/>
                <w:b w:val="0"/>
                <w:bCs w:val="0"/>
                <w:color w:val="auto"/>
                <w:sz w:val="21"/>
                <w:szCs w:val="21"/>
              </w:rPr>
            </w:pPr>
            <w:r>
              <w:rPr>
                <w:rStyle w:val="8"/>
                <w:rFonts w:hint="eastAsia"/>
                <w:b w:val="0"/>
                <w:bCs w:val="0"/>
                <w:color w:val="auto"/>
                <w:sz w:val="21"/>
                <w:szCs w:val="21"/>
              </w:rPr>
              <w:t>5 利用TALEN敲除人乳头瘤病毒E6E7癌基因的方法 2019/2/26 马丁，汪辉，胡争，丁文成，于兰</w:t>
            </w:r>
          </w:p>
          <w:p w14:paraId="3E9CF1E0">
            <w:pPr>
              <w:contextualSpacing/>
              <w:rPr>
                <w:rStyle w:val="8"/>
                <w:rFonts w:hint="eastAsia"/>
                <w:b w:val="0"/>
                <w:bCs w:val="0"/>
                <w:color w:val="auto"/>
                <w:sz w:val="21"/>
                <w:szCs w:val="21"/>
              </w:rPr>
            </w:pPr>
            <w:r>
              <w:rPr>
                <w:rStyle w:val="8"/>
                <w:rFonts w:hint="eastAsia"/>
                <w:b w:val="0"/>
                <w:bCs w:val="0"/>
                <w:color w:val="auto"/>
                <w:sz w:val="21"/>
                <w:szCs w:val="21"/>
              </w:rPr>
              <w:t>6 抗人乳头瘤病毒L1蛋白抗体及其编码基因和应用 2015/4/29 吕卫国，程晓东，华绍炳， 侯伟，胡杰锋，吴敏</w:t>
            </w:r>
          </w:p>
          <w:p w14:paraId="25F7E9AE">
            <w:pPr>
              <w:contextualSpacing/>
              <w:rPr>
                <w:rStyle w:val="8"/>
                <w:rFonts w:hint="eastAsia"/>
                <w:b w:val="0"/>
                <w:bCs w:val="0"/>
                <w:color w:val="auto"/>
                <w:sz w:val="21"/>
                <w:szCs w:val="21"/>
              </w:rPr>
            </w:pPr>
            <w:r>
              <w:rPr>
                <w:rStyle w:val="8"/>
                <w:rFonts w:hint="eastAsia"/>
                <w:b w:val="0"/>
                <w:bCs w:val="0"/>
                <w:color w:val="auto"/>
                <w:sz w:val="21"/>
                <w:szCs w:val="21"/>
              </w:rPr>
              <w:t>7 microRNA在制备诊断宫颈癌或其癌前病变的试剂盒中的应用 2017/11/3 韩斌，谢幸，吕卫国，程晓东，王新宇，胡杰锋，华绍炳</w:t>
            </w:r>
          </w:p>
          <w:p w14:paraId="32CC80BE">
            <w:pPr>
              <w:contextualSpacing/>
              <w:rPr>
                <w:rStyle w:val="8"/>
                <w:rFonts w:hint="eastAsia"/>
                <w:b w:val="0"/>
                <w:bCs w:val="0"/>
                <w:color w:val="auto"/>
                <w:sz w:val="21"/>
                <w:szCs w:val="21"/>
              </w:rPr>
            </w:pPr>
            <w:r>
              <w:rPr>
                <w:rStyle w:val="8"/>
                <w:rFonts w:hint="eastAsia"/>
                <w:b w:val="0"/>
                <w:bCs w:val="0"/>
                <w:color w:val="auto"/>
                <w:sz w:val="21"/>
                <w:szCs w:val="21"/>
              </w:rPr>
              <w:t>8 HPV58E6特异性兔单克隆抗体及其制备方法与应用 2018/4/3 吕卫国，邹健，程晓东，李 阳，章鉴洋，谢幸</w:t>
            </w:r>
          </w:p>
          <w:p w14:paraId="6A73CC44">
            <w:pPr>
              <w:contextualSpacing/>
              <w:rPr>
                <w:rStyle w:val="8"/>
                <w:rFonts w:hint="eastAsia"/>
                <w:b w:val="0"/>
                <w:bCs w:val="0"/>
                <w:color w:val="auto"/>
                <w:sz w:val="21"/>
                <w:szCs w:val="21"/>
              </w:rPr>
            </w:pPr>
            <w:r>
              <w:rPr>
                <w:rStyle w:val="8"/>
                <w:rFonts w:hint="eastAsia"/>
                <w:b w:val="0"/>
                <w:bCs w:val="0"/>
                <w:color w:val="auto"/>
                <w:sz w:val="21"/>
                <w:szCs w:val="21"/>
              </w:rPr>
              <w:t>9 一种用于人乳头瘤病毒HPV分型和整合检测的探针组及其试剂盒 2022/3/1 陈世民，杨帆，黄晓园，何良，刘佳</w:t>
            </w:r>
          </w:p>
          <w:p w14:paraId="3DACFD67">
            <w:pPr>
              <w:contextualSpacing/>
              <w:rPr>
                <w:rStyle w:val="8"/>
                <w:rFonts w:hint="eastAsia" w:ascii="宋体" w:hAnsi="宋体"/>
                <w:b w:val="0"/>
                <w:bCs w:val="0"/>
                <w:color w:val="auto"/>
                <w:sz w:val="21"/>
                <w:szCs w:val="21"/>
              </w:rPr>
            </w:pPr>
            <w:r>
              <w:rPr>
                <w:rStyle w:val="8"/>
                <w:rFonts w:hint="eastAsia"/>
                <w:b w:val="0"/>
                <w:bCs w:val="0"/>
                <w:color w:val="auto"/>
                <w:sz w:val="21"/>
                <w:szCs w:val="21"/>
              </w:rPr>
              <w:t>10 一种分子标志物circTICRR及其应用 2024/3/12 王新宇，朱亭佳，谢幸，吕卫国，岑以璇，陈卓也</w:t>
            </w:r>
          </w:p>
        </w:tc>
      </w:tr>
    </w:tbl>
    <w:p w14:paraId="7F139566">
      <w:pPr>
        <w:adjustRightInd w:val="0"/>
        <w:snapToGrid w:val="0"/>
        <w:spacing w:line="560" w:lineRule="exact"/>
        <w:rPr>
          <w:rFonts w:eastAsia="仿宋_GB2312"/>
          <w:sz w:val="32"/>
          <w:szCs w:val="32"/>
        </w:rPr>
      </w:pPr>
    </w:p>
    <w:p w14:paraId="438B447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17B185C-2380-426B-BCE3-067C82C829CC}"/>
  </w:font>
  <w:font w:name="Arial">
    <w:panose1 w:val="020B0604020202020204"/>
    <w:charset w:val="01"/>
    <w:family w:val="swiss"/>
    <w:pitch w:val="default"/>
    <w:sig w:usb0="E0002EFF" w:usb1="C000785B" w:usb2="00000009" w:usb3="00000000" w:csb0="400001FF" w:csb1="FFFF0000"/>
    <w:embedRegular r:id="rId2" w:fontKey="{CB0625D5-B386-48F8-AA0B-A6BD0FAEAFD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3D61BC5-5182-4462-BF46-C5408F483E0C}"/>
  </w:font>
  <w:font w:name="Symbol">
    <w:panose1 w:val="05050102010706020507"/>
    <w:charset w:val="02"/>
    <w:family w:val="roman"/>
    <w:pitch w:val="default"/>
    <w:sig w:usb0="00000000" w:usb1="00000000" w:usb2="00000000" w:usb3="00000000" w:csb0="80000000" w:csb1="00000000"/>
    <w:embedRegular r:id="rId4" w:fontKey="{6C92258E-640C-4890-8C4B-41381D7911FD}"/>
  </w:font>
  <w:font w:name="Calibri">
    <w:panose1 w:val="020F0502020204030204"/>
    <w:charset w:val="00"/>
    <w:family w:val="swiss"/>
    <w:pitch w:val="default"/>
    <w:sig w:usb0="E4002EFF" w:usb1="C200247B" w:usb2="00000009" w:usb3="00000000" w:csb0="200001FF" w:csb1="00000000"/>
    <w:embedRegular r:id="rId5" w:fontKey="{0219B515-1CD7-443A-9B9C-AB3778673312}"/>
  </w:font>
  <w:font w:name="方正小标宋简体">
    <w:panose1 w:val="02000000000000000000"/>
    <w:charset w:val="86"/>
    <w:family w:val="script"/>
    <w:pitch w:val="default"/>
    <w:sig w:usb0="00000001" w:usb1="08000000" w:usb2="00000000" w:usb3="00000000" w:csb0="00040000" w:csb1="00000000"/>
    <w:embedRegular r:id="rId6" w:fontKey="{22435EE0-5D43-4A9B-8526-4BDEE0C4B21A}"/>
  </w:font>
  <w:font w:name="微软雅黑">
    <w:panose1 w:val="020B0503020204020204"/>
    <w:charset w:val="86"/>
    <w:family w:val="swiss"/>
    <w:pitch w:val="default"/>
    <w:sig w:usb0="80000287" w:usb1="2ACF3C50" w:usb2="00000016" w:usb3="00000000" w:csb0="0004001F" w:csb1="00000000"/>
    <w:embedRegular r:id="rId7" w:fontKey="{3035DBB0-7993-40F0-A150-9F61123DF583}"/>
  </w:font>
  <w:font w:name="仿宋_GB2312">
    <w:altName w:val="仿宋"/>
    <w:panose1 w:val="00000000000000000000"/>
    <w:charset w:val="00"/>
    <w:family w:val="modern"/>
    <w:pitch w:val="default"/>
    <w:sig w:usb0="00000000" w:usb1="00000000" w:usb2="00000000" w:usb3="00000000" w:csb0="00040000" w:csb1="00000000"/>
    <w:embedRegular r:id="rId8" w:fontKey="{231D05FA-72EF-4D22-B0C8-E5A81C010B7F}"/>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wZjk0NmY0MmMwZWQ2YzE2NjlmMjg1YmZlNGM5ZWUifQ=="/>
  </w:docVars>
  <w:rsids>
    <w:rsidRoot w:val="000E6961"/>
    <w:rsid w:val="00024E2D"/>
    <w:rsid w:val="000C0715"/>
    <w:rsid w:val="000E6961"/>
    <w:rsid w:val="00165FFF"/>
    <w:rsid w:val="00182C92"/>
    <w:rsid w:val="001B42D5"/>
    <w:rsid w:val="001F17BF"/>
    <w:rsid w:val="00206707"/>
    <w:rsid w:val="0029320B"/>
    <w:rsid w:val="003C7BAF"/>
    <w:rsid w:val="0047501B"/>
    <w:rsid w:val="00506C6C"/>
    <w:rsid w:val="005446FD"/>
    <w:rsid w:val="0056200D"/>
    <w:rsid w:val="005776A9"/>
    <w:rsid w:val="005A5C7A"/>
    <w:rsid w:val="005D1C3C"/>
    <w:rsid w:val="005D5FD7"/>
    <w:rsid w:val="00622A62"/>
    <w:rsid w:val="006756F6"/>
    <w:rsid w:val="006C1D1B"/>
    <w:rsid w:val="00810F20"/>
    <w:rsid w:val="00841BF4"/>
    <w:rsid w:val="008B0CE3"/>
    <w:rsid w:val="00906CAA"/>
    <w:rsid w:val="00923696"/>
    <w:rsid w:val="00A34FE6"/>
    <w:rsid w:val="00AE35F1"/>
    <w:rsid w:val="00B14082"/>
    <w:rsid w:val="00D03C36"/>
    <w:rsid w:val="00D474AB"/>
    <w:rsid w:val="00EB50BD"/>
    <w:rsid w:val="00FB575C"/>
    <w:rsid w:val="00FD10EB"/>
    <w:rsid w:val="043B2EAD"/>
    <w:rsid w:val="067A4B73"/>
    <w:rsid w:val="10172994"/>
    <w:rsid w:val="11935F6F"/>
    <w:rsid w:val="13554FAD"/>
    <w:rsid w:val="183E6A73"/>
    <w:rsid w:val="1DD124E0"/>
    <w:rsid w:val="22C757DC"/>
    <w:rsid w:val="30334471"/>
    <w:rsid w:val="34F479C9"/>
    <w:rsid w:val="368B3C8B"/>
    <w:rsid w:val="41F90570"/>
    <w:rsid w:val="459F64B2"/>
    <w:rsid w:val="4A714A31"/>
    <w:rsid w:val="554E2448"/>
    <w:rsid w:val="56AA0AF4"/>
    <w:rsid w:val="5DE038A0"/>
    <w:rsid w:val="62D1698F"/>
    <w:rsid w:val="638D29FA"/>
    <w:rsid w:val="69D0270C"/>
    <w:rsid w:val="6B122D3D"/>
    <w:rsid w:val="75C1563E"/>
    <w:rsid w:val="76A61B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7"/>
    <w:qFormat/>
    <w:uiPriority w:val="9"/>
    <w:pPr>
      <w:keepNext/>
      <w:keepLines/>
      <w:widowControl/>
      <w:spacing w:before="340" w:after="330" w:line="578" w:lineRule="auto"/>
      <w:jc w:val="left"/>
      <w:outlineLvl w:val="0"/>
    </w:pPr>
    <w:rPr>
      <w:b/>
      <w:bCs/>
      <w:kern w:val="44"/>
      <w:sz w:val="44"/>
      <w:szCs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tabs>
        <w:tab w:val="center" w:pos="4153"/>
        <w:tab w:val="right" w:pos="8306"/>
      </w:tabs>
      <w:snapToGrid w:val="0"/>
      <w:jc w:val="center"/>
    </w:pPr>
    <w:rPr>
      <w:sz w:val="18"/>
      <w:szCs w:val="18"/>
    </w:rPr>
  </w:style>
  <w:style w:type="character" w:customStyle="1" w:styleId="7">
    <w:name w:val="标题 1 字符"/>
    <w:basedOn w:val="6"/>
    <w:link w:val="2"/>
    <w:qFormat/>
    <w:uiPriority w:val="9"/>
    <w:rPr>
      <w:rFonts w:ascii="Times New Roman" w:hAnsi="Times New Roman" w:eastAsia="宋体" w:cs="Times New Roman"/>
      <w:b/>
      <w:bCs/>
      <w:kern w:val="44"/>
      <w:sz w:val="44"/>
      <w:szCs w:val="44"/>
    </w:rPr>
  </w:style>
  <w:style w:type="character" w:customStyle="1" w:styleId="8">
    <w:name w:val="title1"/>
    <w:qFormat/>
    <w:uiPriority w:val="0"/>
    <w:rPr>
      <w:b/>
      <w:bCs/>
      <w:color w:val="999900"/>
      <w:sz w:val="24"/>
      <w:szCs w:val="24"/>
    </w:rPr>
  </w:style>
  <w:style w:type="character" w:customStyle="1" w:styleId="9">
    <w:name w:val="页眉 字符"/>
    <w:basedOn w:val="6"/>
    <w:link w:val="4"/>
    <w:qFormat/>
    <w:uiPriority w:val="99"/>
    <w:rPr>
      <w:rFonts w:ascii="Times New Roman" w:hAnsi="Times New Roman" w:eastAsia="宋体" w:cs="Times New Roman"/>
      <w:kern w:val="2"/>
      <w:sz w:val="18"/>
      <w:szCs w:val="18"/>
    </w:rPr>
  </w:style>
  <w:style w:type="character" w:customStyle="1" w:styleId="10">
    <w:name w:val="页脚 字符"/>
    <w:basedOn w:val="6"/>
    <w:link w:val="3"/>
    <w:qFormat/>
    <w:uiPriority w:val="99"/>
    <w:rPr>
      <w:rFonts w:ascii="Times New Roman" w:hAnsi="Times New Roman" w:eastAsia="宋体" w:cs="Times New Roman"/>
      <w:kern w:val="2"/>
      <w:sz w:val="18"/>
      <w:szCs w:val="18"/>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2149</Words>
  <Characters>3760</Characters>
  <Lines>29</Lines>
  <Paragraphs>8</Paragraphs>
  <TotalTime>2</TotalTime>
  <ScaleCrop>false</ScaleCrop>
  <LinksUpToDate>false</LinksUpToDate>
  <CharactersWithSpaces>4084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2024-08-03T14:37:00Z</dcterms:created>
  <dc:creator>Administrator</dc:creator>
  <cp:lastModifiedBy>吴子康</cp:lastModifiedBy>
  <dcterms:modified xsi:type="dcterms:W3CDTF">2025-02-26T00:50:14Z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77EB80586D954E6AABC45968E06681CD_13</vt:lpwstr>
  </property>
  <property fmtid="{D5CDD505-2E9C-101B-9397-08002B2CF9AE}" pid="4" name="KSOTemplateDocerSaveRecord">
    <vt:lpwstr>eyJoZGlkIjoiZGMxYjIzMTZjMTRhZTY2ZTM3OTYwZGQwYzE3YmIwNGUiLCJ1c2VySWQiOiIyNTk1OTk4MzUifQ==</vt:lpwstr>
  </property>
</Properties>
</file>