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EB05C" w14:textId="77777777" w:rsidR="00143D59" w:rsidRDefault="00892F3B">
      <w:pPr>
        <w:pStyle w:val="a3"/>
        <w:spacing w:before="91" w:line="222" w:lineRule="auto"/>
        <w:rPr>
          <w:sz w:val="28"/>
          <w:szCs w:val="28"/>
          <w:lang w:eastAsia="zh-CN"/>
        </w:rPr>
      </w:pPr>
      <w:r>
        <w:rPr>
          <w:spacing w:val="-20"/>
          <w:sz w:val="28"/>
          <w:szCs w:val="28"/>
          <w:lang w:eastAsia="zh-CN"/>
        </w:rPr>
        <w:t>附</w:t>
      </w:r>
      <w:r>
        <w:rPr>
          <w:spacing w:val="-55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件</w:t>
      </w:r>
      <w:r>
        <w:rPr>
          <w:spacing w:val="-43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1</w:t>
      </w:r>
      <w:r>
        <w:rPr>
          <w:spacing w:val="-34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:</w:t>
      </w:r>
    </w:p>
    <w:p w14:paraId="39FC5583" w14:textId="77777777" w:rsidR="00143D59" w:rsidRDefault="00892F3B">
      <w:pPr>
        <w:spacing w:before="72" w:line="219" w:lineRule="auto"/>
        <w:ind w:left="1926"/>
        <w:rPr>
          <w:rFonts w:ascii="宋体" w:eastAsia="宋体" w:hAnsi="宋体" w:cs="宋体"/>
          <w:b/>
          <w:bCs/>
          <w:spacing w:val="-1"/>
          <w:sz w:val="45"/>
          <w:szCs w:val="45"/>
          <w:lang w:eastAsia="zh-CN"/>
        </w:rPr>
      </w:pPr>
      <w:r>
        <w:rPr>
          <w:rFonts w:ascii="宋体" w:eastAsia="宋体" w:hAnsi="宋体" w:cs="宋体" w:hint="eastAsia"/>
          <w:b/>
          <w:bCs/>
          <w:spacing w:val="-1"/>
          <w:sz w:val="45"/>
          <w:szCs w:val="45"/>
          <w:lang w:eastAsia="zh-CN"/>
        </w:rPr>
        <w:t>扬州市</w:t>
      </w:r>
      <w:r>
        <w:rPr>
          <w:rFonts w:ascii="宋体" w:eastAsia="宋体" w:hAnsi="宋体" w:cs="宋体" w:hint="eastAsia"/>
          <w:b/>
          <w:bCs/>
          <w:spacing w:val="-1"/>
          <w:sz w:val="45"/>
          <w:szCs w:val="45"/>
          <w:lang w:eastAsia="zh-CN"/>
        </w:rPr>
        <w:t>2025</w:t>
      </w:r>
      <w:r>
        <w:rPr>
          <w:rFonts w:ascii="宋体" w:eastAsia="宋体" w:hAnsi="宋体" w:cs="宋体" w:hint="eastAsia"/>
          <w:b/>
          <w:bCs/>
          <w:spacing w:val="-1"/>
          <w:sz w:val="45"/>
          <w:szCs w:val="45"/>
          <w:lang w:eastAsia="zh-CN"/>
        </w:rPr>
        <w:t>年江苏省科学技术奖拟提名推荐情况汇总表</w:t>
      </w:r>
    </w:p>
    <w:p w14:paraId="2F11E846" w14:textId="77777777" w:rsidR="00143D59" w:rsidRDefault="00143D59">
      <w:pPr>
        <w:spacing w:line="253" w:lineRule="auto"/>
        <w:rPr>
          <w:lang w:eastAsia="zh-CN"/>
        </w:rPr>
      </w:pPr>
    </w:p>
    <w:p w14:paraId="48FF44C0" w14:textId="77777777" w:rsidR="00143D59" w:rsidRDefault="00143D59">
      <w:pPr>
        <w:spacing w:line="253" w:lineRule="auto"/>
        <w:rPr>
          <w:lang w:eastAsia="zh-CN"/>
        </w:rPr>
      </w:pPr>
    </w:p>
    <w:p w14:paraId="47AEBC10" w14:textId="77777777" w:rsidR="00143D59" w:rsidRDefault="00892F3B">
      <w:pPr>
        <w:spacing w:before="78" w:line="220" w:lineRule="auto"/>
        <w:ind w:left="29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6"/>
          <w:sz w:val="24"/>
          <w:szCs w:val="24"/>
        </w:rPr>
        <w:t>地区</w:t>
      </w:r>
      <w:proofErr w:type="spellEnd"/>
      <w:r>
        <w:rPr>
          <w:rFonts w:ascii="宋体" w:eastAsia="宋体" w:hAnsi="宋体" w:cs="宋体"/>
          <w:spacing w:val="6"/>
          <w:sz w:val="24"/>
          <w:szCs w:val="24"/>
        </w:rPr>
        <w:t>(</w:t>
      </w:r>
      <w:proofErr w:type="spellStart"/>
      <w:r>
        <w:rPr>
          <w:rFonts w:ascii="宋体" w:eastAsia="宋体" w:hAnsi="宋体" w:cs="宋体"/>
          <w:spacing w:val="6"/>
          <w:sz w:val="24"/>
          <w:szCs w:val="24"/>
        </w:rPr>
        <w:t>单位</w:t>
      </w:r>
      <w:proofErr w:type="spellEnd"/>
      <w:r>
        <w:rPr>
          <w:rFonts w:ascii="宋体" w:eastAsia="宋体" w:hAnsi="宋体" w:cs="宋体"/>
          <w:spacing w:val="6"/>
          <w:sz w:val="24"/>
          <w:szCs w:val="24"/>
        </w:rPr>
        <w:t>):</w:t>
      </w:r>
    </w:p>
    <w:p w14:paraId="2B70F807" w14:textId="77777777" w:rsidR="00143D59" w:rsidRDefault="00143D59">
      <w:pPr>
        <w:spacing w:line="18" w:lineRule="exact"/>
      </w:pPr>
    </w:p>
    <w:tbl>
      <w:tblPr>
        <w:tblStyle w:val="TableNormal"/>
        <w:tblW w:w="14421" w:type="dxa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170"/>
        <w:gridCol w:w="1125"/>
        <w:gridCol w:w="924"/>
        <w:gridCol w:w="2181"/>
        <w:gridCol w:w="2175"/>
        <w:gridCol w:w="2833"/>
        <w:gridCol w:w="3415"/>
      </w:tblGrid>
      <w:tr w:rsidR="00143D59" w14:paraId="49B37A33" w14:textId="77777777">
        <w:trPr>
          <w:trHeight w:val="803"/>
        </w:trPr>
        <w:tc>
          <w:tcPr>
            <w:tcW w:w="598" w:type="dxa"/>
          </w:tcPr>
          <w:p w14:paraId="036364AC" w14:textId="77777777" w:rsidR="00143D59" w:rsidRDefault="00892F3B">
            <w:pPr>
              <w:pStyle w:val="TableText"/>
              <w:spacing w:before="277" w:line="221" w:lineRule="auto"/>
              <w:ind w:left="154"/>
            </w:pPr>
            <w:proofErr w:type="spellStart"/>
            <w:r>
              <w:rPr>
                <w:spacing w:val="8"/>
              </w:rPr>
              <w:t>序号</w:t>
            </w:r>
            <w:proofErr w:type="spellEnd"/>
          </w:p>
        </w:tc>
        <w:tc>
          <w:tcPr>
            <w:tcW w:w="1170" w:type="dxa"/>
          </w:tcPr>
          <w:p w14:paraId="74AE05A4" w14:textId="77777777" w:rsidR="00143D59" w:rsidRDefault="00892F3B">
            <w:pPr>
              <w:pStyle w:val="TableText"/>
              <w:spacing w:before="276" w:line="220" w:lineRule="auto"/>
              <w:ind w:left="241"/>
            </w:pPr>
            <w:proofErr w:type="spellStart"/>
            <w:r>
              <w:rPr>
                <w:spacing w:val="3"/>
              </w:rPr>
              <w:t>项目名称</w:t>
            </w:r>
            <w:proofErr w:type="spellEnd"/>
          </w:p>
        </w:tc>
        <w:tc>
          <w:tcPr>
            <w:tcW w:w="1125" w:type="dxa"/>
          </w:tcPr>
          <w:p w14:paraId="293CAD65" w14:textId="77777777" w:rsidR="00143D59" w:rsidRDefault="00892F3B">
            <w:pPr>
              <w:pStyle w:val="TableText"/>
              <w:spacing w:before="276" w:line="219" w:lineRule="auto"/>
            </w:pPr>
            <w:proofErr w:type="spellStart"/>
            <w:r>
              <w:rPr>
                <w:spacing w:val="2"/>
              </w:rPr>
              <w:t>完成单位</w:t>
            </w:r>
            <w:proofErr w:type="spellEnd"/>
          </w:p>
        </w:tc>
        <w:tc>
          <w:tcPr>
            <w:tcW w:w="924" w:type="dxa"/>
          </w:tcPr>
          <w:p w14:paraId="79D83D5F" w14:textId="77777777" w:rsidR="00143D59" w:rsidRDefault="00892F3B">
            <w:pPr>
              <w:pStyle w:val="TableText"/>
              <w:spacing w:before="276" w:line="219" w:lineRule="auto"/>
            </w:pPr>
            <w:proofErr w:type="spellStart"/>
            <w:r>
              <w:rPr>
                <w:spacing w:val="3"/>
              </w:rPr>
              <w:t>完成人</w:t>
            </w:r>
            <w:proofErr w:type="spellEnd"/>
          </w:p>
        </w:tc>
        <w:tc>
          <w:tcPr>
            <w:tcW w:w="2181" w:type="dxa"/>
          </w:tcPr>
          <w:p w14:paraId="6B8B736B" w14:textId="77777777" w:rsidR="00143D59" w:rsidRDefault="00892F3B">
            <w:pPr>
              <w:pStyle w:val="TableText"/>
              <w:spacing w:before="274" w:line="219" w:lineRule="auto"/>
            </w:pPr>
            <w:proofErr w:type="spellStart"/>
            <w:r>
              <w:rPr>
                <w:spacing w:val="3"/>
              </w:rPr>
              <w:t>项目简介</w:t>
            </w:r>
            <w:proofErr w:type="spellEnd"/>
          </w:p>
        </w:tc>
        <w:tc>
          <w:tcPr>
            <w:tcW w:w="2175" w:type="dxa"/>
          </w:tcPr>
          <w:p w14:paraId="4CA0FDFC" w14:textId="77777777" w:rsidR="00143D59" w:rsidRDefault="00892F3B">
            <w:pPr>
              <w:pStyle w:val="TableText"/>
              <w:spacing w:before="126" w:line="228" w:lineRule="auto"/>
              <w:ind w:left="456" w:right="28" w:hanging="409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项目知识产权和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论文情况</w:t>
            </w:r>
          </w:p>
        </w:tc>
        <w:tc>
          <w:tcPr>
            <w:tcW w:w="2833" w:type="dxa"/>
          </w:tcPr>
          <w:p w14:paraId="31F624DF" w14:textId="77777777" w:rsidR="00143D59" w:rsidRDefault="00892F3B">
            <w:pPr>
              <w:pStyle w:val="TableText"/>
              <w:spacing w:before="114" w:line="232" w:lineRule="auto"/>
              <w:ind w:left="99" w:right="88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获得省级以上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计划支持情况</w:t>
            </w:r>
          </w:p>
        </w:tc>
        <w:tc>
          <w:tcPr>
            <w:tcW w:w="3415" w:type="dxa"/>
          </w:tcPr>
          <w:p w14:paraId="080303C4" w14:textId="77777777" w:rsidR="00143D59" w:rsidRDefault="00892F3B">
            <w:pPr>
              <w:pStyle w:val="TableText"/>
              <w:spacing w:before="105" w:line="235" w:lineRule="auto"/>
              <w:ind w:right="132"/>
            </w:pPr>
            <w:proofErr w:type="spellStart"/>
            <w:r>
              <w:rPr>
                <w:spacing w:val="2"/>
              </w:rPr>
              <w:t>经济和社会</w:t>
            </w:r>
            <w:r>
              <w:rPr>
                <w:spacing w:val="6"/>
              </w:rPr>
              <w:t>效益</w:t>
            </w:r>
            <w:proofErr w:type="spellEnd"/>
          </w:p>
        </w:tc>
      </w:tr>
      <w:tr w:rsidR="00143D59" w14:paraId="28512514" w14:textId="77777777">
        <w:trPr>
          <w:trHeight w:val="1396"/>
        </w:trPr>
        <w:tc>
          <w:tcPr>
            <w:tcW w:w="598" w:type="dxa"/>
            <w:vAlign w:val="center"/>
          </w:tcPr>
          <w:p w14:paraId="4F995699" w14:textId="77777777" w:rsidR="00143D59" w:rsidRPr="00AB2A29" w:rsidRDefault="00892F3B">
            <w:pPr>
              <w:jc w:val="center"/>
              <w:rPr>
                <w:rFonts w:ascii="仿宋_GB2312" w:eastAsia="仿宋_GB2312" w:hAnsi="仿宋" w:cs="仿宋" w:hint="eastAsia"/>
                <w:lang w:eastAsia="zh-CN"/>
              </w:rPr>
            </w:pPr>
            <w:r w:rsidRPr="00AB2A29">
              <w:rPr>
                <w:rFonts w:ascii="仿宋_GB2312" w:eastAsia="仿宋_GB2312" w:hAnsi="仿宋" w:cs="仿宋" w:hint="eastAsia"/>
                <w:lang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2DB9D7C7" w14:textId="77777777" w:rsidR="00143D59" w:rsidRPr="00AB2A29" w:rsidRDefault="00892F3B">
            <w:pPr>
              <w:textAlignment w:val="center"/>
              <w:rPr>
                <w:rFonts w:ascii="仿宋_GB2312" w:eastAsia="仿宋_GB2312" w:hAnsi="仿宋" w:cs="仿宋" w:hint="eastAsia"/>
                <w:lang w:eastAsia="zh-CN"/>
              </w:rPr>
            </w:pP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高性能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PBT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及生物降解聚酯成套制备技术研发与产业化</w:t>
            </w:r>
          </w:p>
        </w:tc>
        <w:tc>
          <w:tcPr>
            <w:tcW w:w="1125" w:type="dxa"/>
            <w:vAlign w:val="center"/>
          </w:tcPr>
          <w:p w14:paraId="4CD0EFC4" w14:textId="77777777" w:rsidR="00143D59" w:rsidRPr="00AB2A29" w:rsidRDefault="00892F3B">
            <w:pPr>
              <w:textAlignment w:val="center"/>
              <w:rPr>
                <w:rFonts w:ascii="仿宋_GB2312" w:eastAsia="仿宋_GB2312" w:hAnsi="仿宋" w:cs="仿宋" w:hint="eastAsia"/>
                <w:lang w:eastAsia="zh-CN"/>
              </w:rPr>
            </w:pP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中国石化仪征化纤有限责任公司，浙江大学</w:t>
            </w:r>
          </w:p>
        </w:tc>
        <w:tc>
          <w:tcPr>
            <w:tcW w:w="924" w:type="dxa"/>
            <w:vAlign w:val="center"/>
          </w:tcPr>
          <w:p w14:paraId="575EEA9C" w14:textId="77777777" w:rsidR="00143D59" w:rsidRPr="00AB2A29" w:rsidRDefault="00892F3B">
            <w:pPr>
              <w:jc w:val="center"/>
              <w:textAlignment w:val="center"/>
              <w:rPr>
                <w:rFonts w:ascii="仿宋_GB2312" w:eastAsia="仿宋_GB2312" w:hAnsi="仿宋" w:cs="仿宋" w:hint="eastAsia"/>
                <w:lang w:eastAsia="zh-CN"/>
              </w:rPr>
            </w:pP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李仁海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                            </w:t>
            </w:r>
            <w:proofErr w:type="gramStart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吴华志</w:t>
            </w:r>
            <w:proofErr w:type="gramEnd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高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甲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                            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黄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</w:t>
            </w:r>
            <w:proofErr w:type="gramStart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娟</w:t>
            </w:r>
            <w:proofErr w:type="gramEnd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    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夏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伟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                             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顾雪萍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                                                                                                                                   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董志</w:t>
            </w:r>
            <w:proofErr w:type="gramStart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坚</w:t>
            </w:r>
            <w:proofErr w:type="gramEnd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                                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潘小虎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   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                    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龚柳柳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                             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李乃祥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                                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常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诚</w:t>
            </w:r>
          </w:p>
        </w:tc>
        <w:tc>
          <w:tcPr>
            <w:tcW w:w="2181" w:type="dxa"/>
            <w:vAlign w:val="center"/>
          </w:tcPr>
          <w:p w14:paraId="3F4C8C35" w14:textId="77777777" w:rsidR="00143D59" w:rsidRPr="00AB2A29" w:rsidRDefault="00892F3B">
            <w:pPr>
              <w:textAlignment w:val="center"/>
              <w:rPr>
                <w:rFonts w:ascii="仿宋_GB2312" w:eastAsia="仿宋_GB2312" w:hAnsi="仿宋" w:cs="仿宋" w:hint="eastAsia"/>
                <w:lang w:eastAsia="zh-CN"/>
              </w:rPr>
            </w:pP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本项目在催化剂</w:t>
            </w:r>
            <w:proofErr w:type="gramStart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螯</w:t>
            </w:r>
            <w:proofErr w:type="gramEnd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合、四氢呋喃抑制技术、三</w:t>
            </w:r>
            <w:proofErr w:type="gramStart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釜</w:t>
            </w:r>
            <w:proofErr w:type="gramEnd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短流程、关键装置制造、先进控制技术等方面取得引领性的关键技术突破，成功建成国内单体最大产能的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PBT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及生物可降解装置；装置能耗下降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20%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，停车清洗周期延长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年，催化剂用量降低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10%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，四氢呋喃生成量减少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20%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，达到国内领先水平。</w:t>
            </w:r>
          </w:p>
        </w:tc>
        <w:tc>
          <w:tcPr>
            <w:tcW w:w="2175" w:type="dxa"/>
            <w:vAlign w:val="center"/>
          </w:tcPr>
          <w:p w14:paraId="54E8BDD1" w14:textId="77777777" w:rsidR="00143D59" w:rsidRPr="00AB2A29" w:rsidRDefault="00892F3B">
            <w:pPr>
              <w:textAlignment w:val="center"/>
              <w:rPr>
                <w:rFonts w:ascii="仿宋_GB2312" w:eastAsia="仿宋_GB2312" w:hAnsi="仿宋" w:cs="仿宋" w:hint="eastAsia"/>
                <w:spacing w:val="-2"/>
                <w:highlight w:val="yellow"/>
                <w:lang w:eastAsia="zh-CN"/>
              </w:rPr>
            </w:pP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申请专利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14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件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(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其中发明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14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件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)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；授权专利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14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件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(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其中发明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14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件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)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2.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发表论文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13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篇，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201</w:t>
            </w:r>
            <w:bookmarkStart w:id="0" w:name="_GoBack"/>
            <w:bookmarkEnd w:id="0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8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-2025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年在工业与工程化学研究、美国化学工程师学会杂志、化工学报等期刊发表；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3.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申请注册商标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项，注册商标名称“善解”；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4.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完成企业标准制定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项；参与国家标准修订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项；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5.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获得软件著作权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项，证书号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:</w:t>
            </w:r>
            <w:proofErr w:type="gramStart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软著登字</w:t>
            </w:r>
            <w:proofErr w:type="gramEnd"/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第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4251476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号；</w:t>
            </w:r>
          </w:p>
        </w:tc>
        <w:tc>
          <w:tcPr>
            <w:tcW w:w="2833" w:type="dxa"/>
            <w:vAlign w:val="center"/>
          </w:tcPr>
          <w:p w14:paraId="4824B177" w14:textId="77777777" w:rsidR="00143D59" w:rsidRPr="00AB2A29" w:rsidRDefault="00892F3B">
            <w:pPr>
              <w:textAlignment w:val="center"/>
              <w:rPr>
                <w:rFonts w:ascii="仿宋_GB2312" w:eastAsia="仿宋_GB2312" w:hAnsi="仿宋" w:cs="仿宋" w:hint="eastAsia"/>
                <w:lang w:eastAsia="zh-CN"/>
              </w:rPr>
            </w:pP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获得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2015-2016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年中国石化“生物可降解改性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PBT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（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PBST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）中试研究”课题项目（项目号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215110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）资助，完成验收；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2.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获得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2019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年中国石化“年产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12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万吨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P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BT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聚合装置成套技术工艺包”课题项目（项目号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219007-3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）资助，完成验收；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3.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获得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2020-2022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年中国石化“生物可降解共聚酯开发及在卫材产品中的应用”课题项目（项目号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420039-1)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资助，完成验收；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4.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获得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2021-2023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年中国石化“可降解聚酯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 xml:space="preserve"> PBXT 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工业技术开发和示范应用”课题项目（项目号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421063-7)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资助，完成验收；</w:t>
            </w:r>
          </w:p>
        </w:tc>
        <w:tc>
          <w:tcPr>
            <w:tcW w:w="3415" w:type="dxa"/>
          </w:tcPr>
          <w:p w14:paraId="11821C8E" w14:textId="77777777" w:rsidR="00143D59" w:rsidRPr="00AB2A29" w:rsidRDefault="00892F3B">
            <w:pPr>
              <w:textAlignment w:val="top"/>
              <w:rPr>
                <w:rFonts w:ascii="仿宋_GB2312" w:eastAsia="仿宋_GB2312" w:hAnsi="仿宋" w:cs="仿宋" w:hint="eastAsia"/>
                <w:lang w:eastAsia="zh-CN"/>
              </w:rPr>
            </w:pP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经济效益：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2024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5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月项目正式建成投产，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2024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年、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2025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年实现新增销售额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5.94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亿元、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8.44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亿元，新增利润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887.98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万元、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2027.86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万元。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社会效益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：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1.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技术创新与产业突破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1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）建成全国单体产能最大的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PBT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装置（年产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12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万吨），成功实现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PBT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和生物可降解柔性生产技术的产业化；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2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）采用自主知识产权直接酯化法工艺，提升我国高端石化领域自主创新能力；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3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）兼具生产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PBT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传统材料与可降解塑料的能力，增强工厂塑料领域的国际竞争力；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2.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行业标准化示范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2025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年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4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月，通过江苏省“生物可降解聚酯”标准化试点项目验收，为全行业可降解材料生产提供标准化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lastRenderedPageBreak/>
              <w:t>范本；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  <w:t>3.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区域经济转型推动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br/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助力仪征从传统“化纤城”升级为“高端新材料产业基地”，为核心产区打造千亿级绿色化工产</w:t>
            </w:r>
            <w:r w:rsidRPr="00AB2A29">
              <w:rPr>
                <w:rFonts w:ascii="仿宋_GB2312" w:eastAsia="仿宋_GB2312" w:hAnsi="方正仿宋_GBK" w:cs="方正仿宋_GBK" w:hint="eastAsia"/>
                <w:sz w:val="22"/>
                <w:szCs w:val="22"/>
                <w:lang w:eastAsia="zh-CN" w:bidi="ar"/>
              </w:rPr>
              <w:t>业集群奠定基础。</w:t>
            </w:r>
          </w:p>
        </w:tc>
      </w:tr>
    </w:tbl>
    <w:p w14:paraId="055E72E0" w14:textId="77777777" w:rsidR="00143D59" w:rsidRDefault="00892F3B">
      <w:pPr>
        <w:spacing w:before="45" w:line="219" w:lineRule="auto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lastRenderedPageBreak/>
        <w:t>注意：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请严格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按照以上格式填写上报。</w:t>
      </w:r>
    </w:p>
    <w:p w14:paraId="0306718F" w14:textId="77777777" w:rsidR="00143D59" w:rsidRDefault="00143D59">
      <w:pPr>
        <w:rPr>
          <w:lang w:eastAsia="zh-CN"/>
        </w:rPr>
      </w:pPr>
    </w:p>
    <w:sectPr w:rsidR="00143D59">
      <w:foot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E9400" w14:textId="77777777" w:rsidR="00892F3B" w:rsidRDefault="00892F3B">
      <w:r>
        <w:separator/>
      </w:r>
    </w:p>
  </w:endnote>
  <w:endnote w:type="continuationSeparator" w:id="0">
    <w:p w14:paraId="0D01B9C4" w14:textId="77777777" w:rsidR="00892F3B" w:rsidRDefault="0089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algun Gothic Semilight"/>
    <w:charset w:val="86"/>
    <w:family w:val="auto"/>
    <w:pitch w:val="default"/>
    <w:sig w:usb0="00000000" w:usb1="38CF7CFA" w:usb2="00082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0944" w14:textId="77777777" w:rsidR="00143D59" w:rsidRDefault="00143D59">
    <w:pPr>
      <w:spacing w:line="173" w:lineRule="auto"/>
      <w:ind w:left="6820"/>
      <w:rPr>
        <w:rFonts w:ascii="Times New Roman" w:eastAsia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9557" w14:textId="77777777" w:rsidR="00892F3B" w:rsidRDefault="00892F3B">
      <w:r>
        <w:separator/>
      </w:r>
    </w:p>
  </w:footnote>
  <w:footnote w:type="continuationSeparator" w:id="0">
    <w:p w14:paraId="0906B851" w14:textId="77777777" w:rsidR="00892F3B" w:rsidRDefault="0089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D7"/>
    <w:rsid w:val="CF39605E"/>
    <w:rsid w:val="DDDDCF8A"/>
    <w:rsid w:val="E79F35FD"/>
    <w:rsid w:val="FFFB1B30"/>
    <w:rsid w:val="000F125C"/>
    <w:rsid w:val="00143D59"/>
    <w:rsid w:val="00281489"/>
    <w:rsid w:val="0041352A"/>
    <w:rsid w:val="00422873"/>
    <w:rsid w:val="00486493"/>
    <w:rsid w:val="004D1AFF"/>
    <w:rsid w:val="0050305B"/>
    <w:rsid w:val="0054168D"/>
    <w:rsid w:val="005D64DD"/>
    <w:rsid w:val="00753EA9"/>
    <w:rsid w:val="008144D7"/>
    <w:rsid w:val="00892F3B"/>
    <w:rsid w:val="00917A36"/>
    <w:rsid w:val="00997AFE"/>
    <w:rsid w:val="00AB2A29"/>
    <w:rsid w:val="00D277E5"/>
    <w:rsid w:val="1D8565C3"/>
    <w:rsid w:val="1DA66C26"/>
    <w:rsid w:val="1E2F1D8D"/>
    <w:rsid w:val="219713C9"/>
    <w:rsid w:val="30581AC5"/>
    <w:rsid w:val="4B2D477F"/>
    <w:rsid w:val="68BF73BE"/>
    <w:rsid w:val="799679BD"/>
    <w:rsid w:val="7E637D3D"/>
    <w:rsid w:val="7F8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EF0823-83BB-4FD7-B555-C8953D1A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a7">
    <w:name w:val="页眉 字符"/>
    <w:basedOn w:val="a0"/>
    <w:link w:val="a6"/>
    <w:qFormat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44</cp:revision>
  <dcterms:created xsi:type="dcterms:W3CDTF">2025-05-16T23:00:00Z</dcterms:created>
  <dcterms:modified xsi:type="dcterms:W3CDTF">2026-06-18T09:05:00Z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DocerSaveRecord">
    <vt:lpwstr>eyJoZGlkIjoiYmUzY2I5YzFmNWIzOWY5Y2ZiYzUzYmU0YmY0OTRlMWIiLCJ1c2VySWQiOiI1NDUzMjQyOTYifQ==</vt:lpwstr>
  </property>
  <property fmtid="{D5CDD505-2E9C-101B-9397-08002B2CF9AE}" pid="4" name="ICV">
    <vt:lpwstr>AFF8DF193DB78B0A8C7E326A5D0CB566_43</vt:lpwstr>
  </property>
</Properties>
</file>