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0F2AF">
      <w:pPr>
        <w:spacing w:line="360" w:lineRule="auto"/>
        <w:jc w:val="center"/>
        <w:rPr>
          <w:rFonts w:ascii="Times New Roman" w:hAnsi="Times New Roman" w:eastAsia="微软雅黑"/>
          <w:color w:val="000000" w:themeColor="text1"/>
          <w:sz w:val="44"/>
          <w:szCs w:val="44"/>
          <w14:textFill>
            <w14:solidFill>
              <w14:schemeClr w14:val="tx1"/>
            </w14:solidFill>
          </w14:textFill>
          <w14:ligatures w14:val="none"/>
        </w:rPr>
      </w:pPr>
      <w:r>
        <w:rPr>
          <w:rFonts w:hint="eastAsia" w:ascii="Times New Roman" w:hAnsi="Times New Roman" w:eastAsia="微软雅黑"/>
          <w:color w:val="000000" w:themeColor="text1"/>
          <w:sz w:val="44"/>
          <w:szCs w:val="44"/>
          <w:lang w:val="en-US" w:eastAsia="zh-CN"/>
          <w14:textFill>
            <w14:solidFill>
              <w14:schemeClr w14:val="tx1"/>
            </w14:solidFill>
          </w14:textFill>
          <w14:ligatures w14:val="none"/>
        </w:rPr>
        <w:t xml:space="preserve">附件1 </w:t>
      </w:r>
      <w:r>
        <w:rPr>
          <w:rFonts w:hint="eastAsia" w:ascii="Times New Roman" w:hAnsi="Times New Roman" w:eastAsia="微软雅黑"/>
          <w:color w:val="000000" w:themeColor="text1"/>
          <w:sz w:val="44"/>
          <w:szCs w:val="44"/>
          <w14:textFill>
            <w14:solidFill>
              <w14:schemeClr w14:val="tx1"/>
            </w14:solidFill>
          </w14:textFill>
          <w14:ligatures w14:val="none"/>
        </w:rPr>
        <w:t>北京生命科技研究院-浙江大学</w:t>
      </w:r>
      <w:r>
        <w:rPr>
          <w:rFonts w:hint="eastAsia" w:ascii="Times New Roman" w:hAnsi="Times New Roman" w:eastAsia="微软雅黑"/>
          <w:color w:val="000000" w:themeColor="text1"/>
          <w:sz w:val="44"/>
          <w:szCs w:val="44"/>
          <w14:textFill>
            <w14:solidFill>
              <w14:schemeClr w14:val="tx1"/>
            </w14:solidFill>
          </w14:textFill>
          <w14:ligatures w14:val="none"/>
        </w:rPr>
        <w:br w:type="textWrapping"/>
      </w:r>
      <w:r>
        <w:rPr>
          <w:rFonts w:hint="eastAsia" w:ascii="Times New Roman" w:hAnsi="Times New Roman" w:eastAsia="微软雅黑"/>
          <w:color w:val="000000" w:themeColor="text1"/>
          <w:sz w:val="44"/>
          <w:szCs w:val="44"/>
          <w14:textFill>
            <w14:solidFill>
              <w14:schemeClr w14:val="tx1"/>
            </w14:solidFill>
          </w14:textFill>
          <w14:ligatures w14:val="none"/>
        </w:rPr>
        <w:t>联合研发中心科技项目管理办法</w:t>
      </w:r>
    </w:p>
    <w:p w14:paraId="79835920">
      <w:pPr>
        <w:overflowPunct w:val="0"/>
        <w:spacing w:line="680" w:lineRule="exact"/>
        <w:jc w:val="center"/>
        <w:rPr>
          <w:rFonts w:hint="eastAsia" w:ascii="黑体" w:hAnsi="黑体" w:eastAsia="黑体" w:cs="黑体"/>
          <w:sz w:val="32"/>
          <w:szCs w:val="32"/>
          <w14:ligatures w14:val="none"/>
        </w:rPr>
      </w:pPr>
    </w:p>
    <w:p w14:paraId="72ABA780">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总则</w:t>
      </w:r>
    </w:p>
    <w:p w14:paraId="5E8315A6">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为高水平共建“北京生命科技研究院-浙江大学联合研发中心(</w:t>
      </w:r>
      <w:r>
        <w:rPr>
          <w:rFonts w:ascii="Times New Roman" w:hAnsi="Times New Roman" w:eastAsia="仿宋_GB2312" w:cs="Times New Roman"/>
          <w:sz w:val="32"/>
          <w:szCs w:val="32"/>
        </w:rPr>
        <w:t>BLSA-ZJU Research Center</w:t>
      </w:r>
      <w:r>
        <w:rPr>
          <w:rFonts w:hint="eastAsia" w:ascii="仿宋_GB2312" w:eastAsia="仿宋_GB2312"/>
          <w:sz w:val="32"/>
          <w:szCs w:val="32"/>
        </w:rPr>
        <w:t>)”（以下简称“联合研发中心”），进一步深化</w:t>
      </w:r>
      <w:r>
        <w:rPr>
          <w:rFonts w:hint="eastAsia" w:eastAsia="仿宋_GB2312"/>
          <w:color w:val="000000"/>
          <w:sz w:val="32"/>
          <w:szCs w:val="32"/>
        </w:rPr>
        <w:t>北京生命科技研究院</w:t>
      </w:r>
      <w:r>
        <w:rPr>
          <w:rFonts w:hint="eastAsia" w:eastAsia="仿宋_GB2312"/>
          <w:sz w:val="32"/>
          <w:szCs w:val="32"/>
        </w:rPr>
        <w:t>（以下简称“北京院”）</w:t>
      </w:r>
      <w:r>
        <w:rPr>
          <w:rFonts w:hint="eastAsia" w:ascii="仿宋_GB2312" w:eastAsia="仿宋_GB2312"/>
          <w:sz w:val="32"/>
          <w:szCs w:val="32"/>
        </w:rPr>
        <w:t>和浙江大学合作，规范和加强联合研发中心科技项目管理，根据《北京生命科技研究院有限公司—浙江大学合作协议》以及双方项目计划管理和经费管理的有关规定，制定本办法。</w:t>
      </w:r>
    </w:p>
    <w:p w14:paraId="711C35CC">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联合研发中心科技项目，是指由联合研发中心</w:t>
      </w:r>
      <w:r>
        <w:rPr>
          <w:rFonts w:hint="eastAsia" w:eastAsia="仿宋_GB2312"/>
          <w:sz w:val="32"/>
          <w:szCs w:val="32"/>
        </w:rPr>
        <w:t>合作专项经费</w:t>
      </w:r>
      <w:r>
        <w:rPr>
          <w:rFonts w:hint="eastAsia" w:ascii="仿宋_GB2312" w:eastAsia="仿宋_GB2312"/>
          <w:sz w:val="32"/>
          <w:szCs w:val="32"/>
        </w:rPr>
        <w:t>支持，按照北京院“出题”、浙江大学“答题”、双方联合攻关的组织模式，聚焦</w:t>
      </w:r>
      <w:r>
        <w:rPr>
          <w:rFonts w:hint="eastAsia" w:ascii="仿宋_GB2312" w:eastAsia="仿宋_GB2312" w:cs="仿宋_GB2312"/>
          <w:color w:val="000000"/>
          <w:sz w:val="32"/>
          <w:szCs w:val="32"/>
        </w:rPr>
        <w:t>植物合成生物学、烟草植物活性成分生物学效应、人工智能+生命科学等科研方向，开展基础研究、应用基础研究</w:t>
      </w:r>
      <w:r>
        <w:rPr>
          <w:rFonts w:hint="eastAsia" w:eastAsia="仿宋_GB2312"/>
          <w:color w:val="000000"/>
          <w:sz w:val="32"/>
          <w:szCs w:val="32"/>
        </w:rPr>
        <w:t>、前沿技术研究</w:t>
      </w:r>
      <w:r>
        <w:rPr>
          <w:rFonts w:hint="eastAsia" w:ascii="Calibri" w:hAnsi="Calibri" w:eastAsia="仿宋_GB2312"/>
          <w:sz w:val="32"/>
          <w:szCs w:val="32"/>
        </w:rPr>
        <w:t>、创新发展战略研究</w:t>
      </w:r>
      <w:r>
        <w:rPr>
          <w:rFonts w:hint="eastAsia" w:ascii="仿宋_GB2312" w:eastAsia="仿宋_GB2312"/>
          <w:sz w:val="32"/>
          <w:szCs w:val="32"/>
        </w:rPr>
        <w:t>等研发活动。</w:t>
      </w:r>
    </w:p>
    <w:p w14:paraId="0B32C81D">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管理职责</w:t>
      </w:r>
    </w:p>
    <w:p w14:paraId="625D5790">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eastAsia="仿宋_GB2312"/>
          <w:sz w:val="32"/>
          <w:szCs w:val="32"/>
        </w:rPr>
        <w:t>北京院</w:t>
      </w:r>
      <w:r>
        <w:rPr>
          <w:rFonts w:hint="eastAsia" w:ascii="仿宋_GB2312" w:eastAsia="仿宋_GB2312"/>
          <w:sz w:val="32"/>
          <w:szCs w:val="32"/>
        </w:rPr>
        <w:t>负责为联合研发中心提供合作专项经费支持；负责组织研发队伍等人力资源参与开展相关联合研发工作；负责</w:t>
      </w:r>
      <w:r>
        <w:rPr>
          <w:rFonts w:hint="eastAsia" w:eastAsia="仿宋_GB2312"/>
          <w:bCs/>
          <w:sz w:val="32"/>
          <w:szCs w:val="32"/>
        </w:rPr>
        <w:t>提出研发需求，为</w:t>
      </w:r>
      <w:r>
        <w:rPr>
          <w:rFonts w:hint="eastAsia" w:eastAsia="仿宋_GB2312"/>
          <w:sz w:val="32"/>
          <w:szCs w:val="32"/>
        </w:rPr>
        <w:t>联合研发中心</w:t>
      </w:r>
      <w:r>
        <w:rPr>
          <w:rFonts w:hint="eastAsia" w:eastAsia="仿宋_GB2312"/>
          <w:bCs/>
          <w:sz w:val="32"/>
          <w:szCs w:val="32"/>
        </w:rPr>
        <w:t>科研项目布局、研究方向和研究任务提供指南建议，为</w:t>
      </w:r>
      <w:r>
        <w:rPr>
          <w:rFonts w:hint="eastAsia" w:eastAsia="仿宋_GB2312"/>
          <w:sz w:val="32"/>
          <w:szCs w:val="32"/>
        </w:rPr>
        <w:t>联合研发中心</w:t>
      </w:r>
      <w:r>
        <w:rPr>
          <w:rFonts w:hint="eastAsia" w:eastAsia="仿宋_GB2312"/>
          <w:bCs/>
          <w:sz w:val="32"/>
          <w:szCs w:val="32"/>
        </w:rPr>
        <w:t>科研项目指定北京院联络人，推动</w:t>
      </w:r>
      <w:r>
        <w:rPr>
          <w:rFonts w:hint="eastAsia" w:eastAsia="仿宋_GB2312"/>
          <w:sz w:val="32"/>
          <w:szCs w:val="32"/>
        </w:rPr>
        <w:t>联合研发中心</w:t>
      </w:r>
      <w:r>
        <w:rPr>
          <w:rFonts w:hint="eastAsia" w:eastAsia="仿宋_GB2312"/>
          <w:bCs/>
          <w:sz w:val="32"/>
          <w:szCs w:val="32"/>
        </w:rPr>
        <w:t>产学研精准对接。</w:t>
      </w:r>
    </w:p>
    <w:p w14:paraId="69839012">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浙江大学负责</w:t>
      </w:r>
      <w:r>
        <w:rPr>
          <w:rFonts w:hint="eastAsia" w:eastAsia="仿宋_GB2312"/>
          <w:sz w:val="32"/>
          <w:szCs w:val="32"/>
        </w:rPr>
        <w:t>向联合研发中心推荐研发人力，并按内部规定为联合研发中心提供办公研发场所及图书信息等保障服务，保障联合研发中心科研项目实施；负责项目管理、经费使用、审计监督等事项；负责围绕</w:t>
      </w:r>
      <w:r>
        <w:rPr>
          <w:rFonts w:hint="eastAsia" w:ascii="仿宋_GB2312" w:eastAsia="仿宋_GB2312"/>
          <w:sz w:val="32"/>
          <w:szCs w:val="32"/>
        </w:rPr>
        <w:t>北京院</w:t>
      </w:r>
      <w:r>
        <w:rPr>
          <w:rFonts w:hint="eastAsia" w:eastAsia="仿宋_GB2312"/>
          <w:sz w:val="32"/>
          <w:szCs w:val="32"/>
        </w:rPr>
        <w:t>所在行业的发展方向，策划、研究引领</w:t>
      </w:r>
      <w:r>
        <w:rPr>
          <w:rFonts w:hint="eastAsia" w:ascii="仿宋_GB2312" w:eastAsia="仿宋_GB2312"/>
          <w:sz w:val="32"/>
          <w:szCs w:val="32"/>
        </w:rPr>
        <w:t>北京院</w:t>
      </w:r>
      <w:r>
        <w:rPr>
          <w:rFonts w:hint="eastAsia" w:eastAsia="仿宋_GB2312"/>
          <w:sz w:val="32"/>
          <w:szCs w:val="32"/>
        </w:rPr>
        <w:t>创新发展的重大科技创新项目，协助解决创新发展实际问题。</w:t>
      </w:r>
    </w:p>
    <w:p w14:paraId="03531D8E">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项目指南制定</w:t>
      </w:r>
    </w:p>
    <w:p w14:paraId="205E781B">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北京院根据合作协议约定的重点资助领域及创新发展需求，</w:t>
      </w:r>
      <w:r>
        <w:rPr>
          <w:rFonts w:hint="eastAsia" w:eastAsia="仿宋_GB2312"/>
          <w:bCs/>
          <w:sz w:val="32"/>
          <w:szCs w:val="32"/>
        </w:rPr>
        <w:t>起草</w:t>
      </w:r>
      <w:r>
        <w:rPr>
          <w:rFonts w:hint="eastAsia" w:eastAsia="仿宋_GB2312"/>
          <w:sz w:val="32"/>
          <w:szCs w:val="32"/>
        </w:rPr>
        <w:t>联合研发中心年度</w:t>
      </w:r>
      <w:r>
        <w:rPr>
          <w:rFonts w:hint="eastAsia" w:eastAsia="仿宋_GB2312"/>
          <w:bCs/>
          <w:sz w:val="32"/>
          <w:szCs w:val="32"/>
        </w:rPr>
        <w:t>项目指南建议。项目指南建议应明确受理项目（课题）布局方式、申请的研究领域、研究方向及北京院联络人等。</w:t>
      </w:r>
    </w:p>
    <w:p w14:paraId="7CE2DC2C">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联合研发中心</w:t>
      </w:r>
      <w:r>
        <w:rPr>
          <w:rFonts w:hint="eastAsia" w:eastAsia="仿宋_GB2312"/>
          <w:color w:val="000000"/>
          <w:sz w:val="32"/>
          <w:szCs w:val="32"/>
        </w:rPr>
        <w:t>管理办公室</w:t>
      </w:r>
      <w:r>
        <w:rPr>
          <w:rFonts w:hint="eastAsia" w:ascii="仿宋_GB2312" w:eastAsia="仿宋_GB2312"/>
          <w:sz w:val="32"/>
          <w:szCs w:val="32"/>
        </w:rPr>
        <w:t>根据合作协议及</w:t>
      </w:r>
      <w:r>
        <w:rPr>
          <w:rFonts w:hint="eastAsia" w:eastAsia="仿宋_GB2312"/>
          <w:sz w:val="32"/>
          <w:szCs w:val="32"/>
        </w:rPr>
        <w:t>年度</w:t>
      </w:r>
      <w:r>
        <w:rPr>
          <w:rFonts w:hint="eastAsia" w:eastAsia="仿宋_GB2312"/>
          <w:bCs/>
          <w:sz w:val="32"/>
          <w:szCs w:val="32"/>
        </w:rPr>
        <w:t>项目指南建议，组织专家委员会相关专家</w:t>
      </w:r>
      <w:r>
        <w:rPr>
          <w:rFonts w:hint="eastAsia" w:ascii="仿宋_GB2312" w:eastAsia="仿宋_GB2312"/>
          <w:sz w:val="32"/>
          <w:szCs w:val="32"/>
        </w:rPr>
        <w:t>论证，经北京院确认后，报联合研发中心主任审定后发布。</w:t>
      </w:r>
    </w:p>
    <w:p w14:paraId="46283DCC">
      <w:pPr>
        <w:numPr>
          <w:ilvl w:val="0"/>
          <w:numId w:val="1"/>
        </w:numPr>
        <w:overflowPunct w:val="0"/>
        <w:jc w:val="center"/>
        <w:outlineLvl w:val="0"/>
        <w:rPr>
          <w:rFonts w:hint="eastAsia" w:ascii="仿宋_GB2312" w:eastAsia="仿宋_GB2312"/>
          <w:sz w:val="32"/>
          <w:szCs w:val="32"/>
        </w:rPr>
      </w:pPr>
      <w:r>
        <w:rPr>
          <w:rFonts w:hint="eastAsia" w:ascii="黑体" w:hAnsi="黑体" w:eastAsia="黑体"/>
          <w:sz w:val="32"/>
          <w:szCs w:val="32"/>
        </w:rPr>
        <w:t xml:space="preserve"> 项目申请</w:t>
      </w:r>
    </w:p>
    <w:p w14:paraId="3BC9CA15">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eastAsia="仿宋_GB2312"/>
          <w:color w:val="000000"/>
          <w:sz w:val="32"/>
          <w:szCs w:val="32"/>
        </w:rPr>
        <w:t>联合研发中心管理办公室</w:t>
      </w:r>
      <w:r>
        <w:rPr>
          <w:rFonts w:hint="eastAsia" w:ascii="仿宋_GB2312" w:eastAsia="仿宋_GB2312"/>
          <w:sz w:val="32"/>
          <w:szCs w:val="32"/>
        </w:rPr>
        <w:t>根据本办法及</w:t>
      </w:r>
      <w:r>
        <w:rPr>
          <w:rFonts w:hint="eastAsia" w:eastAsia="仿宋_GB2312"/>
          <w:sz w:val="32"/>
          <w:szCs w:val="32"/>
        </w:rPr>
        <w:t>年度</w:t>
      </w:r>
      <w:r>
        <w:rPr>
          <w:rFonts w:hint="eastAsia" w:ascii="仿宋_GB2312" w:eastAsia="仿宋_GB2312"/>
          <w:sz w:val="32"/>
          <w:szCs w:val="32"/>
        </w:rPr>
        <w:t>项目指南，面向浙江大学组织项目申请。项目申请可通过公开竞争、北京院定向委托等方式组织开展。</w:t>
      </w:r>
    </w:p>
    <w:p w14:paraId="33E6805D">
      <w:pPr>
        <w:pStyle w:val="38"/>
        <w:numPr>
          <w:ilvl w:val="0"/>
          <w:numId w:val="2"/>
        </w:numPr>
        <w:overflowPunct w:val="0"/>
        <w:ind w:left="0" w:firstLine="640" w:firstLineChars="200"/>
        <w:contextualSpacing w:val="0"/>
        <w:rPr>
          <w:rFonts w:hint="eastAsia" w:eastAsia="仿宋_GB2312"/>
          <w:color w:val="000000"/>
          <w:sz w:val="32"/>
          <w:szCs w:val="32"/>
        </w:rPr>
      </w:pPr>
      <w:r>
        <w:rPr>
          <w:rFonts w:hint="eastAsia" w:eastAsia="仿宋_GB2312"/>
          <w:color w:val="000000"/>
          <w:sz w:val="32"/>
          <w:szCs w:val="32"/>
        </w:rPr>
        <w:t>申请要求</w:t>
      </w:r>
    </w:p>
    <w:p w14:paraId="5B192C8D">
      <w:pPr>
        <w:spacing w:line="600" w:lineRule="exact"/>
        <w:ind w:firstLine="640" w:firstLineChars="200"/>
        <w:rPr>
          <w:rFonts w:hint="eastAsia" w:eastAsia="仿宋_GB2312"/>
          <w:lang w:eastAsia="zh-CN"/>
        </w:rPr>
      </w:pPr>
      <w:r>
        <w:rPr>
          <w:rFonts w:hint="eastAsia" w:ascii="仿宋_GB2312" w:hAnsi="Calibri" w:eastAsia="仿宋_GB2312" w:cs="宋体"/>
          <w:kern w:val="0"/>
          <w:sz w:val="32"/>
          <w:szCs w:val="32"/>
          <w14:ligatures w14:val="none"/>
        </w:rPr>
        <w:t>（一）</w:t>
      </w:r>
      <w:r>
        <w:rPr>
          <w:rFonts w:hint="eastAsia" w:ascii="仿宋_GB2312" w:eastAsia="仿宋_GB2312" w:hAnsiTheme="minorEastAsia"/>
          <w:sz w:val="32"/>
          <w:szCs w:val="32"/>
        </w:rPr>
        <w:t>申请人应根据当年发布的《联合研发中心科研指南》，认真填写申请书（任务书）。申请人所在学院应按照有关规定对申请材料严格审核，签署意见后将申请</w:t>
      </w:r>
      <w:bookmarkStart w:id="1" w:name="_GoBack"/>
      <w:bookmarkEnd w:id="1"/>
      <w:r>
        <w:rPr>
          <w:rFonts w:hint="eastAsia" w:ascii="仿宋_GB2312" w:eastAsia="仿宋_GB2312" w:hAnsiTheme="minorEastAsia"/>
          <w:sz w:val="32"/>
          <w:szCs w:val="32"/>
        </w:rPr>
        <w:t>材料报送至联合研发中心管理办公室。项目（课题）申请人应是</w:t>
      </w:r>
      <w:r>
        <w:rPr>
          <w:rFonts w:hint="eastAsia" w:ascii="仿宋_GB2312" w:eastAsia="仿宋_GB2312" w:hAnsiTheme="minorEastAsia"/>
          <w:sz w:val="32"/>
          <w:szCs w:val="32"/>
          <w:lang w:val="en-US" w:eastAsia="zh-CN"/>
        </w:rPr>
        <w:t>浙江大学</w:t>
      </w:r>
      <w:r>
        <w:rPr>
          <w:rFonts w:hint="eastAsia" w:ascii="仿宋_GB2312" w:eastAsia="仿宋_GB2312" w:hAnsiTheme="minorEastAsia"/>
          <w:sz w:val="32"/>
          <w:szCs w:val="32"/>
        </w:rPr>
        <w:t>在编在岗职工</w:t>
      </w:r>
      <w:r>
        <w:rPr>
          <w:rFonts w:hint="eastAsia" w:ascii="仿宋_GB2312" w:eastAsia="仿宋_GB2312" w:hAnsiTheme="minorEastAsia"/>
          <w:sz w:val="32"/>
          <w:szCs w:val="32"/>
          <w:lang w:eastAsia="zh-CN"/>
        </w:rPr>
        <w:t>。</w:t>
      </w:r>
    </w:p>
    <w:p w14:paraId="6D4D1D52">
      <w:pPr>
        <w:pStyle w:val="38"/>
        <w:overflowPunct w:val="0"/>
        <w:ind w:left="0" w:firstLine="640" w:firstLineChars="200"/>
        <w:contextualSpacing w:val="0"/>
        <w:rPr>
          <w:rFonts w:hint="eastAsia"/>
        </w:rPr>
      </w:pPr>
      <w:r>
        <w:rPr>
          <w:rFonts w:hint="eastAsia" w:ascii="仿宋_GB2312" w:hAnsi="Calibri" w:eastAsia="仿宋_GB2312" w:cs="宋体"/>
          <w:kern w:val="0"/>
          <w:sz w:val="32"/>
          <w:szCs w:val="32"/>
          <w14:ligatures w14:val="none"/>
        </w:rPr>
        <w:t>（二）</w:t>
      </w:r>
      <w:r>
        <w:rPr>
          <w:rFonts w:hint="eastAsia" w:ascii="仿宋_GB2312" w:eastAsia="仿宋_GB2312" w:hAnsiTheme="minorEastAsia"/>
          <w:sz w:val="32"/>
          <w:szCs w:val="32"/>
        </w:rPr>
        <w:t>联合研发中心项目申请的集中受理工作每年1-2次。根据需求，可开展不定期项目申请受理。</w:t>
      </w:r>
    </w:p>
    <w:p w14:paraId="0E0D2D0F">
      <w:pPr>
        <w:numPr>
          <w:ilvl w:val="0"/>
          <w:numId w:val="3"/>
        </w:numPr>
        <w:tabs>
          <w:tab w:val="left" w:pos="567"/>
        </w:tabs>
        <w:overflowPunct w:val="0"/>
        <w:adjustRightInd w:val="0"/>
        <w:ind w:firstLine="640" w:firstLineChars="20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项目研究期限和申请经费按年度项目指南规定执行，项目组主要成员应包括北京院联络人。</w:t>
      </w:r>
    </w:p>
    <w:p w14:paraId="4C6A1FE1">
      <w:pPr>
        <w:numPr>
          <w:ilvl w:val="0"/>
          <w:numId w:val="3"/>
        </w:numPr>
        <w:tabs>
          <w:tab w:val="left" w:pos="567"/>
        </w:tabs>
        <w:overflowPunct w:val="0"/>
        <w:adjustRightInd w:val="0"/>
        <w:ind w:firstLine="640" w:firstLineChars="20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浙江大学就联合研发中心的项目每年选派不少于 10 名博士研究生在北京院实验室实习实训和开展研究，博士研究生在项目周期内平均工作时间原则上不低于8个月/年。一般每 200 万经费应有一名博士研究生到北京院工作。</w:t>
      </w:r>
    </w:p>
    <w:p w14:paraId="3AEF3A01">
      <w:pPr>
        <w:numPr>
          <w:ilvl w:val="0"/>
          <w:numId w:val="1"/>
        </w:numPr>
        <w:overflowPunct w:val="0"/>
        <w:jc w:val="center"/>
        <w:outlineLvl w:val="0"/>
        <w:rPr>
          <w:rFonts w:hint="eastAsia" w:ascii="仿宋_GB2312" w:eastAsia="仿宋_GB2312"/>
          <w:sz w:val="32"/>
          <w:szCs w:val="32"/>
        </w:rPr>
      </w:pPr>
      <w:r>
        <w:rPr>
          <w:rFonts w:hint="eastAsia" w:ascii="黑体" w:hAnsi="黑体" w:eastAsia="黑体"/>
          <w:sz w:val="32"/>
          <w:szCs w:val="32"/>
        </w:rPr>
        <w:t xml:space="preserve"> 项目立项</w:t>
      </w:r>
    </w:p>
    <w:p w14:paraId="199F10E8">
      <w:pPr>
        <w:pStyle w:val="38"/>
        <w:numPr>
          <w:ilvl w:val="0"/>
          <w:numId w:val="2"/>
        </w:numPr>
        <w:overflowPunct w:val="0"/>
        <w:ind w:left="0" w:firstLine="640" w:firstLineChars="200"/>
        <w:contextualSpacing w:val="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形式审查。由</w:t>
      </w:r>
      <w:r>
        <w:rPr>
          <w:rFonts w:hint="eastAsia" w:eastAsia="仿宋_GB2312"/>
          <w:color w:val="000000"/>
          <w:sz w:val="32"/>
          <w:szCs w:val="32"/>
        </w:rPr>
        <w:t>联合研发中心管理办公室</w:t>
      </w:r>
      <w:r>
        <w:rPr>
          <w:rFonts w:hint="eastAsia" w:ascii="仿宋_GB2312" w:hAnsi="Calibri" w:eastAsia="仿宋_GB2312" w:cs="宋体"/>
          <w:kern w:val="0"/>
          <w:sz w:val="32"/>
          <w:szCs w:val="32"/>
          <w14:ligatures w14:val="none"/>
        </w:rPr>
        <w:t>负责组织，主要针对申报项目材料、经费预算、人员信息的合规性和符合性等进行审查。</w:t>
      </w:r>
    </w:p>
    <w:p w14:paraId="7FC18E8C">
      <w:pPr>
        <w:pStyle w:val="38"/>
        <w:numPr>
          <w:ilvl w:val="0"/>
          <w:numId w:val="2"/>
        </w:numPr>
        <w:overflowPunct w:val="0"/>
        <w:ind w:left="0" w:firstLine="640" w:firstLineChars="200"/>
        <w:contextualSpacing w:val="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专家委员会评审。对于通过形式审查的项目，由</w:t>
      </w:r>
      <w:r>
        <w:rPr>
          <w:rFonts w:hint="eastAsia" w:eastAsia="仿宋_GB2312"/>
          <w:color w:val="000000"/>
          <w:sz w:val="32"/>
          <w:szCs w:val="32"/>
        </w:rPr>
        <w:t>联合研发中心管理办公室</w:t>
      </w:r>
      <w:r>
        <w:rPr>
          <w:rFonts w:hint="eastAsia" w:ascii="仿宋_GB2312" w:hAnsi="Calibri" w:eastAsia="仿宋_GB2312" w:cs="宋体"/>
          <w:kern w:val="0"/>
          <w:sz w:val="32"/>
          <w:szCs w:val="32"/>
          <w14:ligatures w14:val="none"/>
        </w:rPr>
        <w:t>组织专家委员会专家组进行会议评审；专家组中北京院和浙江大学专家应各占50%，以出席会议评审专家的三分之二以上的多数同意为通过。特殊情况可采用通讯方式进行专家评审。</w:t>
      </w:r>
    </w:p>
    <w:p w14:paraId="6D9218BA">
      <w:pPr>
        <w:pStyle w:val="38"/>
        <w:numPr>
          <w:ilvl w:val="0"/>
          <w:numId w:val="2"/>
        </w:numPr>
        <w:overflowPunct w:val="0"/>
        <w:ind w:left="0" w:firstLine="640" w:firstLineChars="200"/>
        <w:contextualSpacing w:val="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项目计划审定。</w:t>
      </w:r>
      <w:r>
        <w:rPr>
          <w:rFonts w:hint="eastAsia" w:eastAsia="仿宋_GB2312"/>
          <w:color w:val="000000"/>
          <w:sz w:val="32"/>
          <w:szCs w:val="32"/>
        </w:rPr>
        <w:t>联合研发中心管理办公室</w:t>
      </w:r>
      <w:r>
        <w:rPr>
          <w:rFonts w:hint="eastAsia" w:ascii="仿宋_GB2312" w:hAnsi="Calibri" w:eastAsia="仿宋_GB2312" w:cs="宋体"/>
          <w:kern w:val="0"/>
          <w:sz w:val="32"/>
          <w:szCs w:val="32"/>
          <w14:ligatures w14:val="none"/>
        </w:rPr>
        <w:t>根据专家委员会会议评审意见，形成科技项目计划（含经费预算），提交</w:t>
      </w:r>
      <w:r>
        <w:rPr>
          <w:rFonts w:hint="eastAsia" w:eastAsia="仿宋_GB2312"/>
          <w:color w:val="000000"/>
          <w:sz w:val="32"/>
          <w:szCs w:val="32"/>
        </w:rPr>
        <w:t>管理</w:t>
      </w:r>
      <w:r>
        <w:rPr>
          <w:rFonts w:hint="eastAsia" w:ascii="仿宋_GB2312" w:hAnsi="Calibri" w:eastAsia="仿宋_GB2312" w:cs="宋体"/>
          <w:kern w:val="0"/>
          <w:sz w:val="32"/>
          <w:szCs w:val="32"/>
          <w14:ligatures w14:val="none"/>
        </w:rPr>
        <w:t>团队审定后下达项目计划并提交北京院备案。</w:t>
      </w:r>
    </w:p>
    <w:p w14:paraId="5580F35B">
      <w:pPr>
        <w:pStyle w:val="38"/>
        <w:numPr>
          <w:ilvl w:val="0"/>
          <w:numId w:val="2"/>
        </w:numPr>
        <w:overflowPunct w:val="0"/>
        <w:ind w:left="0" w:firstLine="640" w:firstLineChars="200"/>
        <w:contextualSpacing w:val="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项目立项。</w:t>
      </w:r>
      <w:r>
        <w:rPr>
          <w:rFonts w:hint="eastAsia" w:eastAsia="仿宋_GB2312"/>
          <w:color w:val="000000"/>
          <w:sz w:val="32"/>
          <w:szCs w:val="32"/>
        </w:rPr>
        <w:t>联合研发中心管理办公室</w:t>
      </w:r>
      <w:r>
        <w:rPr>
          <w:rFonts w:hint="eastAsia" w:ascii="仿宋_GB2312" w:hAnsi="Calibri" w:eastAsia="仿宋_GB2312" w:cs="宋体"/>
          <w:kern w:val="0"/>
          <w:sz w:val="32"/>
          <w:szCs w:val="32"/>
          <w14:ligatures w14:val="none"/>
        </w:rPr>
        <w:t>根据科技项目计划下达通知要求，</w:t>
      </w:r>
      <w:r>
        <w:rPr>
          <w:rFonts w:hint="eastAsia" w:eastAsia="仿宋_GB2312"/>
          <w:color w:val="000000"/>
          <w:sz w:val="32"/>
          <w:szCs w:val="32"/>
        </w:rPr>
        <w:t>组织项目组编制</w:t>
      </w:r>
      <w:r>
        <w:rPr>
          <w:rFonts w:hint="eastAsia" w:ascii="仿宋_GB2312" w:eastAsia="仿宋_GB2312" w:cs="宋体"/>
          <w:kern w:val="0"/>
          <w:sz w:val="32"/>
          <w:szCs w:val="32"/>
        </w:rPr>
        <w:t>项目任务书、办理</w:t>
      </w:r>
      <w:r>
        <w:rPr>
          <w:rFonts w:hint="eastAsia" w:ascii="仿宋_GB2312" w:hAnsi="Calibri" w:eastAsia="仿宋_GB2312" w:cs="宋体"/>
          <w:kern w:val="0"/>
          <w:sz w:val="32"/>
          <w:szCs w:val="32"/>
          <w14:ligatures w14:val="none"/>
        </w:rPr>
        <w:t>项目立项等手续。</w:t>
      </w:r>
    </w:p>
    <w:p w14:paraId="5FD1B3C1">
      <w:pPr>
        <w:pStyle w:val="38"/>
        <w:overflowPunct w:val="0"/>
        <w:ind w:left="0" w:firstLine="640" w:firstLineChars="200"/>
        <w:contextualSpacing w:val="0"/>
        <w:rPr>
          <w:rFonts w:ascii="Times New Roman" w:hAnsi="Times New Roman" w:eastAsia="仿宋_GB2312" w:cs="宋体"/>
          <w:sz w:val="32"/>
          <w:szCs w:val="32"/>
        </w:rPr>
      </w:pPr>
      <w:r>
        <w:rPr>
          <w:rFonts w:hint="eastAsia" w:ascii="仿宋_GB2312" w:eastAsia="仿宋_GB2312" w:cs="宋体"/>
          <w:kern w:val="0"/>
          <w:sz w:val="32"/>
          <w:szCs w:val="32"/>
        </w:rPr>
        <w:t>项目负责人应按照要求将项目</w:t>
      </w:r>
      <w:r>
        <w:rPr>
          <w:rFonts w:hint="eastAsia" w:ascii="仿宋_GB2312" w:eastAsia="仿宋_GB2312" w:cs="宋体"/>
          <w:sz w:val="32"/>
          <w:szCs w:val="32"/>
        </w:rPr>
        <w:t>任务书提交</w:t>
      </w:r>
      <w:r>
        <w:rPr>
          <w:rFonts w:hint="eastAsia" w:ascii="Times New Roman" w:hAnsi="Times New Roman" w:eastAsia="仿宋_GB2312" w:cs="宋体"/>
          <w:sz w:val="32"/>
          <w:szCs w:val="32"/>
        </w:rPr>
        <w:t>至</w:t>
      </w:r>
      <w:r>
        <w:rPr>
          <w:rFonts w:hint="eastAsia" w:eastAsia="仿宋_GB2312"/>
          <w:color w:val="000000"/>
          <w:sz w:val="32"/>
          <w:szCs w:val="32"/>
        </w:rPr>
        <w:t>联合研发中心管理办公室，同时由北京院联络人</w:t>
      </w:r>
      <w:r>
        <w:rPr>
          <w:rFonts w:hint="eastAsia" w:ascii="仿宋_GB2312" w:eastAsia="仿宋_GB2312" w:cs="宋体"/>
          <w:sz w:val="32"/>
          <w:szCs w:val="32"/>
        </w:rPr>
        <w:t>同步提交至</w:t>
      </w:r>
      <w:r>
        <w:rPr>
          <w:rFonts w:hint="eastAsia" w:ascii="Times New Roman" w:hAnsi="Times New Roman" w:eastAsia="仿宋_GB2312" w:cs="宋体"/>
          <w:sz w:val="32"/>
          <w:szCs w:val="32"/>
        </w:rPr>
        <w:t>北京院备案。</w:t>
      </w:r>
    </w:p>
    <w:p w14:paraId="21D0E596">
      <w:pPr>
        <w:pStyle w:val="38"/>
        <w:numPr>
          <w:ilvl w:val="0"/>
          <w:numId w:val="2"/>
        </w:numPr>
        <w:overflowPunct w:val="0"/>
        <w:ind w:left="0" w:firstLine="640" w:firstLineChars="200"/>
        <w:contextualSpacing w:val="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协议签订。联合研发中心管理办公室根据下达计划和各项目任务书，编制年度工作计划、实施协议和预算方案，经双方审定后签订协议。</w:t>
      </w:r>
    </w:p>
    <w:p w14:paraId="00FDD6F0">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项目</w:t>
      </w:r>
      <w:r>
        <w:rPr>
          <w:rFonts w:ascii="黑体" w:hAnsi="黑体" w:eastAsia="黑体"/>
          <w:sz w:val="32"/>
          <w:szCs w:val="32"/>
        </w:rPr>
        <w:t>实施与管理</w:t>
      </w:r>
    </w:p>
    <w:p w14:paraId="5A225AE9">
      <w:pPr>
        <w:pStyle w:val="38"/>
        <w:numPr>
          <w:ilvl w:val="0"/>
          <w:numId w:val="2"/>
        </w:numPr>
        <w:overflowPunct w:val="0"/>
        <w:ind w:left="0" w:firstLine="640" w:firstLineChars="200"/>
        <w:contextualSpacing w:val="0"/>
        <w:rPr>
          <w:rFonts w:hint="eastAsia" w:ascii="仿宋_GB2312" w:eastAsia="仿宋_GB2312" w:cs="宋体"/>
          <w:sz w:val="32"/>
          <w:szCs w:val="32"/>
        </w:rPr>
      </w:pPr>
      <w:r>
        <w:rPr>
          <w:rFonts w:hint="eastAsia" w:ascii="仿宋_GB2312" w:eastAsia="仿宋_GB2312" w:cs="宋体"/>
          <w:sz w:val="32"/>
          <w:szCs w:val="32"/>
        </w:rPr>
        <w:t>项目立项3个月内，项目组应组织北京院和浙江大学相关</w:t>
      </w:r>
      <w:r>
        <w:rPr>
          <w:rFonts w:hint="eastAsia" w:eastAsia="仿宋_GB2312"/>
          <w:color w:val="000000"/>
          <w:sz w:val="32"/>
          <w:szCs w:val="32"/>
        </w:rPr>
        <w:t>人员</w:t>
      </w:r>
      <w:r>
        <w:rPr>
          <w:rFonts w:hint="eastAsia" w:ascii="仿宋_GB2312" w:eastAsia="仿宋_GB2312" w:cs="宋体"/>
          <w:sz w:val="32"/>
          <w:szCs w:val="32"/>
        </w:rPr>
        <w:t>召开项目启动会议。项目实施过程中，项目组与北京院联络人及其所在北京院研究部门每季度应至少召开一次项目对接会，共同推进项目实施。</w:t>
      </w:r>
    </w:p>
    <w:p w14:paraId="7F0407FC">
      <w:pPr>
        <w:pStyle w:val="38"/>
        <w:numPr>
          <w:ilvl w:val="0"/>
          <w:numId w:val="2"/>
        </w:numPr>
        <w:overflowPunct w:val="0"/>
        <w:ind w:left="0" w:firstLine="640" w:firstLineChars="200"/>
        <w:contextualSpacing w:val="0"/>
        <w:rPr>
          <w:rFonts w:ascii="仿宋_GB2312" w:hAnsi="Calibri" w:eastAsia="仿宋_GB2312" w:cs="宋体"/>
          <w:kern w:val="0"/>
          <w:sz w:val="32"/>
          <w:szCs w:val="32"/>
          <w14:ligatures w14:val="none"/>
        </w:rPr>
      </w:pPr>
      <w:r>
        <w:rPr>
          <w:rFonts w:hint="eastAsia" w:ascii="仿宋_GB2312" w:eastAsia="仿宋_GB2312" w:cs="宋体"/>
          <w:kern w:val="0"/>
          <w:sz w:val="32"/>
          <w:szCs w:val="32"/>
        </w:rPr>
        <w:t>项目年报。</w:t>
      </w:r>
      <w:r>
        <w:rPr>
          <w:rFonts w:hint="eastAsia" w:ascii="仿宋_GB2312" w:hAnsi="Calibri" w:eastAsia="仿宋_GB2312" w:cs="宋体"/>
          <w:kern w:val="0"/>
          <w:sz w:val="32"/>
          <w:szCs w:val="32"/>
          <w14:ligatures w14:val="none"/>
        </w:rPr>
        <w:t>项目负责人应于每年1月底前将项目上一年度进展报告提交至联合研发中心管理办公室，项目年报同时由北京院联络人同步提交至北京院备案。</w:t>
      </w:r>
    </w:p>
    <w:p w14:paraId="395C681F">
      <w:pPr>
        <w:pStyle w:val="38"/>
        <w:overflowPunct w:val="0"/>
        <w:ind w:left="640"/>
        <w:contextualSpacing w:val="0"/>
        <w:rPr>
          <w:rFonts w:ascii="仿宋_GB2312" w:hAnsi="Calibri" w:eastAsia="仿宋_GB2312" w:cs="宋体"/>
          <w:kern w:val="0"/>
          <w:sz w:val="32"/>
          <w:szCs w:val="32"/>
          <w14:ligatures w14:val="none"/>
        </w:rPr>
      </w:pPr>
      <w:r>
        <w:rPr>
          <w:rFonts w:hint="eastAsia" w:ascii="仿宋_GB2312" w:hAnsi="Calibri" w:eastAsia="仿宋_GB2312" w:cs="宋体"/>
          <w:kern w:val="0"/>
          <w:sz w:val="32"/>
          <w:szCs w:val="32"/>
          <w14:ligatures w14:val="none"/>
        </w:rPr>
        <w:t>项目开始不足3个月的可在下一年度一并提交年度报告。</w:t>
      </w:r>
    </w:p>
    <w:p w14:paraId="15E79EFA">
      <w:pPr>
        <w:pStyle w:val="38"/>
        <w:numPr>
          <w:ilvl w:val="0"/>
          <w:numId w:val="2"/>
        </w:numPr>
        <w:overflowPunct w:val="0"/>
        <w:ind w:left="0" w:firstLine="640" w:firstLineChars="200"/>
        <w:contextualSpacing w:val="0"/>
        <w:rPr>
          <w:rFonts w:hint="eastAsia" w:ascii="仿宋_GB2312" w:eastAsia="仿宋_GB2312" w:cs="宋体"/>
          <w:sz w:val="32"/>
          <w:szCs w:val="32"/>
        </w:rPr>
      </w:pPr>
      <w:r>
        <w:rPr>
          <w:rFonts w:hint="eastAsia" w:ascii="仿宋_GB2312" w:eastAsia="仿宋_GB2312" w:cs="宋体"/>
          <w:kern w:val="0"/>
          <w:sz w:val="32"/>
          <w:szCs w:val="32"/>
        </w:rPr>
        <w:t>项目验收。项目研究期满之日起2个月内，项目负责人应及时向联合研发中心管理办公室提交结题报告、相关成果证明材料、</w:t>
      </w:r>
      <w:r>
        <w:rPr>
          <w:rFonts w:hint="eastAsia" w:ascii="仿宋_GB2312" w:eastAsia="仿宋_GB2312" w:cs="宋体"/>
          <w:color w:val="000000" w:themeColor="text1"/>
          <w:kern w:val="0"/>
          <w:sz w:val="32"/>
          <w:szCs w:val="32"/>
          <w14:textFill>
            <w14:solidFill>
              <w14:schemeClr w14:val="tx1"/>
            </w14:solidFill>
          </w14:textFill>
        </w:rPr>
        <w:t>经费决算报告</w:t>
      </w:r>
      <w:r>
        <w:rPr>
          <w:rFonts w:hint="eastAsia" w:ascii="仿宋_GB2312" w:eastAsia="仿宋_GB2312" w:cs="宋体"/>
          <w:kern w:val="0"/>
          <w:sz w:val="32"/>
          <w:szCs w:val="32"/>
        </w:rPr>
        <w:t>等项目验收材料。</w:t>
      </w:r>
      <w:r>
        <w:rPr>
          <w:rFonts w:hint="eastAsia" w:eastAsia="仿宋_GB2312"/>
          <w:color w:val="000000"/>
          <w:sz w:val="32"/>
          <w:szCs w:val="32"/>
        </w:rPr>
        <w:t>联合研发中心管理办公室</w:t>
      </w:r>
      <w:r>
        <w:rPr>
          <w:rFonts w:hint="eastAsia" w:ascii="仿宋_GB2312" w:eastAsia="仿宋_GB2312" w:cs="宋体"/>
          <w:sz w:val="32"/>
          <w:szCs w:val="32"/>
        </w:rPr>
        <w:t>组织召开</w:t>
      </w:r>
      <w:r>
        <w:rPr>
          <w:rFonts w:hint="eastAsia" w:ascii="仿宋_GB2312" w:eastAsia="仿宋_GB2312" w:cs="宋体"/>
          <w:kern w:val="0"/>
          <w:sz w:val="32"/>
          <w:szCs w:val="32"/>
        </w:rPr>
        <w:t>专家委员会会议进行项目验收评审，验收结论以出席会议评审专家的过半数者为通过。项目验收通过后，项目负责人应及时将全套验收材料提交至联合研发中心管理办公室归档，全套验收材料同时由北京院联络人同步提交至北京院备案。</w:t>
      </w:r>
    </w:p>
    <w:p w14:paraId="1F8C6B9C">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经费管理</w:t>
      </w:r>
    </w:p>
    <w:p w14:paraId="7C4E6788">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联合研发中心合作专项经费均以科技项目形式使用，当年未使用经费可结转下年度使用。年度</w:t>
      </w:r>
      <w:r>
        <w:rPr>
          <w:rFonts w:hint="eastAsia" w:ascii="仿宋_GB2312" w:hAnsi="Calibri" w:eastAsia="仿宋_GB2312" w:cs="宋体"/>
          <w:kern w:val="0"/>
          <w:sz w:val="32"/>
          <w:szCs w:val="32"/>
          <w14:ligatures w14:val="none"/>
        </w:rPr>
        <w:t>科技项目计划及经费预算经审定后，</w:t>
      </w:r>
      <w:r>
        <w:rPr>
          <w:rFonts w:hint="eastAsia" w:ascii="仿宋_GB2312" w:eastAsia="仿宋_GB2312"/>
          <w:sz w:val="32"/>
          <w:szCs w:val="32"/>
        </w:rPr>
        <w:t>由浙江大学盖章并开具增值税发票，北京院根据审定后年度</w:t>
      </w:r>
      <w:r>
        <w:rPr>
          <w:rFonts w:hint="eastAsia" w:ascii="仿宋_GB2312" w:hAnsi="Calibri" w:eastAsia="仿宋_GB2312" w:cs="宋体"/>
          <w:kern w:val="0"/>
          <w:sz w:val="32"/>
          <w:szCs w:val="32"/>
          <w14:ligatures w14:val="none"/>
        </w:rPr>
        <w:t>科技项目计划（含经费预算）和</w:t>
      </w:r>
      <w:r>
        <w:rPr>
          <w:rFonts w:hint="eastAsia" w:ascii="仿宋_GB2312" w:eastAsia="仿宋_GB2312"/>
          <w:sz w:val="32"/>
          <w:szCs w:val="32"/>
        </w:rPr>
        <w:t>增值税发票进行一次性全额拨付。</w:t>
      </w:r>
    </w:p>
    <w:p w14:paraId="7EA3368C">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联合研发中心科技项目经费管理由浙江大学负责，间接经费比例参照浙江大学自然科学纵向科研项目间接费用有关制度。</w:t>
      </w:r>
    </w:p>
    <w:p w14:paraId="5487F5A5">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每年度，</w:t>
      </w:r>
      <w:r>
        <w:rPr>
          <w:rFonts w:hint="eastAsia" w:ascii="仿宋_GB2312" w:hAnsi="Calibri" w:eastAsia="仿宋_GB2312" w:cs="宋体"/>
          <w:kern w:val="0"/>
          <w:sz w:val="32"/>
          <w:szCs w:val="32"/>
          <w14:ligatures w14:val="none"/>
        </w:rPr>
        <w:t>联合研发中心管理办公室应编制年度工作总结和经费决算，经联合研发中心主任确认后报管理委员会审批。</w:t>
      </w:r>
    </w:p>
    <w:p w14:paraId="5F03ADF0">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成果归属及保密管理</w:t>
      </w:r>
    </w:p>
    <w:p w14:paraId="2B34A648">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项目成果应是联合研发中心科技项目研发直接取得的成果，与项目研究内容紧密相关。</w:t>
      </w:r>
    </w:p>
    <w:p w14:paraId="1DDBE6AF">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项目所获得专利及软件著作权、商业秘密等知识产权由北京院和浙江大学共有。其中，知识产权第一权利人、第一完成单位为“北京生命科技研究院有限公司”，知识产权第二权利人、第二完成单位为“浙江大学”，知识产权申请工作由北京院办理，相关知识产权的维护费用由北京院支付；成果鉴定评价和科技奖励申报由北京院商浙江大学办理。</w:t>
      </w:r>
    </w:p>
    <w:p w14:paraId="202B5B8B">
      <w:pPr>
        <w:pStyle w:val="38"/>
        <w:numPr>
          <w:ilvl w:val="0"/>
          <w:numId w:val="2"/>
        </w:numPr>
        <w:overflowPunct w:val="0"/>
        <w:ind w:left="0" w:firstLine="640" w:firstLineChars="200"/>
        <w:contextualSpacing w:val="0"/>
        <w:rPr>
          <w:rFonts w:hint="eastAsia" w:ascii="仿宋_GB2312" w:eastAsia="仿宋_GB2312"/>
          <w:sz w:val="32"/>
          <w:szCs w:val="32"/>
        </w:rPr>
      </w:pPr>
      <w:bookmarkStart w:id="0" w:name="OLE_LINK3"/>
      <w:r>
        <w:rPr>
          <w:rFonts w:hint="eastAsia" w:ascii="仿宋_GB2312" w:eastAsia="仿宋_GB2312"/>
          <w:sz w:val="32"/>
          <w:szCs w:val="32"/>
        </w:rPr>
        <w:t>项目所发表论文及报告等学术成果第一单位应标注“北京生命科技研究院-浙江大学联合研发中心(BLSA-ZJU Research Center )”。同时，“北京生命科技研究院(Beijing Life Science Academy)”和“浙江大学（Zhejiang University）”应标注为署名单位。</w:t>
      </w:r>
    </w:p>
    <w:p w14:paraId="3CEE36F0">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项目成果未经另一方同意，任何一方不得单方对外公布、发表、转让、授权其他第三方使用。如经权利人一致同意转让或授权其他第三方使用，其转让、授权收益由双方各享有50%。特殊情况可协商单独约定。</w:t>
      </w:r>
    </w:p>
    <w:p w14:paraId="00A04AF1">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所有参与合作项目的人员对研发和服务过程中的各项技术、数据、文档、成果和商业秘密等负有保密责任。双方对了解和掌握的对方未公开的、或在提供之前已告知不能向第三方提供的技术资料、数据及信息，未经提供方书面同意，接收方不得提供给第三方，且接收方应仅能将上述材料用于合作项目之目的，超范围使用将承担相应侵权责任。管理委员会有义务、有权采取规范的运行管理程序要求参与人员协助以确保有关技术不泄漏。未经双方允许，任何一方不得就合作项目成果擅自发表文章、申报专利等。否则，应当赔偿对方损失。</w:t>
      </w:r>
      <w:bookmarkEnd w:id="0"/>
    </w:p>
    <w:p w14:paraId="3E2F7F4A">
      <w:pPr>
        <w:numPr>
          <w:ilvl w:val="0"/>
          <w:numId w:val="1"/>
        </w:numPr>
        <w:overflowPunct w:val="0"/>
        <w:jc w:val="center"/>
        <w:outlineLvl w:val="0"/>
        <w:rPr>
          <w:rFonts w:hint="eastAsia" w:ascii="黑体" w:hAnsi="黑体" w:eastAsia="黑体"/>
          <w:sz w:val="32"/>
          <w:szCs w:val="32"/>
        </w:rPr>
      </w:pPr>
      <w:r>
        <w:rPr>
          <w:rFonts w:hint="eastAsia" w:ascii="黑体" w:hAnsi="黑体" w:eastAsia="黑体"/>
          <w:sz w:val="32"/>
          <w:szCs w:val="32"/>
        </w:rPr>
        <w:t xml:space="preserve"> 附则</w:t>
      </w:r>
    </w:p>
    <w:p w14:paraId="0D291CFF">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本办法自发布之日起实施；本办法与国家有关规定不一致时，按国家有关规定执行。</w:t>
      </w:r>
    </w:p>
    <w:p w14:paraId="2E50C3AD">
      <w:pPr>
        <w:pStyle w:val="38"/>
        <w:numPr>
          <w:ilvl w:val="0"/>
          <w:numId w:val="2"/>
        </w:numPr>
        <w:overflowPunct w:val="0"/>
        <w:ind w:left="0" w:firstLine="640" w:firstLineChars="200"/>
        <w:contextualSpacing w:val="0"/>
        <w:rPr>
          <w:rFonts w:hint="eastAsia" w:ascii="仿宋_GB2312" w:eastAsia="仿宋_GB2312"/>
          <w:sz w:val="32"/>
          <w:szCs w:val="32"/>
        </w:rPr>
      </w:pPr>
      <w:r>
        <w:rPr>
          <w:rFonts w:hint="eastAsia" w:ascii="仿宋_GB2312" w:eastAsia="仿宋_GB2312"/>
          <w:sz w:val="32"/>
          <w:szCs w:val="32"/>
        </w:rPr>
        <w:t>本办法由联合研发中心负责解释。</w:t>
      </w:r>
    </w:p>
    <w:sectPr>
      <w:footerReference r:id="rId3" w:type="default"/>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A6AB37-B7DF-4AC8-80B4-62BBB060FC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D0D2D2-EEB5-442E-A072-88F64FA34B74}"/>
  </w:font>
  <w:font w:name="等线">
    <w:panose1 w:val="02010600030101010101"/>
    <w:charset w:val="86"/>
    <w:family w:val="auto"/>
    <w:pitch w:val="default"/>
    <w:sig w:usb0="A00002BF" w:usb1="38CF7CFA" w:usb2="00000016" w:usb3="00000000" w:csb0="0004000F" w:csb1="00000000"/>
    <w:embedRegular r:id="rId3" w:fontKey="{4346FEC7-411B-4708-A333-649B92CDD1E3}"/>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4" w:fontKey="{B641F691-F3BB-45F8-AEBE-7AC0D40561B4}"/>
  </w:font>
  <w:font w:name="仿宋_GB2312">
    <w:panose1 w:val="02010609030101010101"/>
    <w:charset w:val="86"/>
    <w:family w:val="modern"/>
    <w:pitch w:val="default"/>
    <w:sig w:usb0="00000001" w:usb1="080E0000" w:usb2="00000000" w:usb3="00000000" w:csb0="00040000" w:csb1="00000000"/>
    <w:embedRegular r:id="rId5" w:fontKey="{824311F7-1B46-45BB-B701-60A767A76313}"/>
  </w:font>
  <w:font w:name="方正姚体">
    <w:panose1 w:val="02010601030101010101"/>
    <w:charset w:val="86"/>
    <w:family w:val="auto"/>
    <w:pitch w:val="default"/>
    <w:sig w:usb0="00000003" w:usb1="080E0000" w:usb2="00000000" w:usb3="00000000" w:csb0="00040000" w:csb1="00000000"/>
    <w:embedRegular r:id="rId6" w:fontKey="{68896D5C-296C-4121-B4AD-1CBDAFE2D18E}"/>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C87C">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kern w:val="0"/>
        <w:sz w:val="18"/>
        <w:szCs w:val="21"/>
      </w:rPr>
      <w:t>-</w:t>
    </w:r>
    <w:r>
      <w:rPr>
        <w:rFonts w:hint="eastAsia" w:ascii="方正姚体" w:hAnsi="Times New Roman" w:eastAsia="方正姚体" w:cs="Times New Roman"/>
        <w:kern w:val="0"/>
        <w:szCs w:val="21"/>
      </w:rPr>
      <w:t xml:space="preserve"> </w:t>
    </w:r>
    <w:r>
      <w:rPr>
        <w:rFonts w:hint="eastAsia" w:ascii="方正姚体" w:hAnsi="Times New Roman" w:eastAsia="方正姚体" w:cs="Times New Roman"/>
        <w:kern w:val="0"/>
        <w:szCs w:val="21"/>
      </w:rPr>
      <w:fldChar w:fldCharType="begin"/>
    </w:r>
    <w:r>
      <w:rPr>
        <w:rFonts w:hint="eastAsia" w:ascii="方正姚体" w:hAnsi="Times New Roman" w:eastAsia="方正姚体" w:cs="Times New Roman"/>
        <w:kern w:val="0"/>
        <w:szCs w:val="21"/>
      </w:rPr>
      <w:instrText xml:space="preserve"> PAGE </w:instrText>
    </w:r>
    <w:r>
      <w:rPr>
        <w:rFonts w:hint="eastAsia" w:ascii="方正姚体" w:hAnsi="Times New Roman" w:eastAsia="方正姚体" w:cs="Times New Roman"/>
        <w:kern w:val="0"/>
        <w:szCs w:val="21"/>
      </w:rPr>
      <w:fldChar w:fldCharType="separate"/>
    </w:r>
    <w:r>
      <w:rPr>
        <w:rFonts w:ascii="方正姚体" w:hAnsi="Times New Roman" w:eastAsia="方正姚体" w:cs="Times New Roman"/>
        <w:kern w:val="0"/>
        <w:szCs w:val="21"/>
      </w:rPr>
      <w:t>15</w:t>
    </w:r>
    <w:r>
      <w:rPr>
        <w:rFonts w:hint="eastAsia" w:ascii="方正姚体" w:hAnsi="Times New Roman" w:eastAsia="方正姚体" w:cs="Times New Roman"/>
        <w:kern w:val="0"/>
        <w:szCs w:val="21"/>
      </w:rPr>
      <w:fldChar w:fldCharType="end"/>
    </w:r>
    <w:r>
      <w:rPr>
        <w:rFonts w:ascii="Times New Roman" w:hAnsi="Times New Roman" w:eastAsia="宋体" w:cs="Times New Roman"/>
        <w:kern w:val="0"/>
        <w:sz w:val="18"/>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C1CFC"/>
    <w:multiLevelType w:val="singleLevel"/>
    <w:tmpl w:val="3E5C1CFC"/>
    <w:lvl w:ilvl="0" w:tentative="0">
      <w:start w:val="3"/>
      <w:numFmt w:val="chineseCounting"/>
      <w:suff w:val="nothing"/>
      <w:lvlText w:val="（%1）"/>
      <w:lvlJc w:val="left"/>
      <w:rPr>
        <w:rFonts w:hint="eastAsia"/>
      </w:rPr>
    </w:lvl>
  </w:abstractNum>
  <w:abstractNum w:abstractNumId="1">
    <w:nsid w:val="71DE0176"/>
    <w:multiLevelType w:val="singleLevel"/>
    <w:tmpl w:val="71DE0176"/>
    <w:lvl w:ilvl="0" w:tentative="0">
      <w:start w:val="1"/>
      <w:numFmt w:val="chineseCounting"/>
      <w:suff w:val="space"/>
      <w:lvlText w:val="第%1条"/>
      <w:lvlJc w:val="left"/>
      <w:rPr>
        <w:rFonts w:hint="eastAsia"/>
        <w:b/>
        <w:bCs/>
        <w:color w:val="auto"/>
      </w:rPr>
    </w:lvl>
  </w:abstractNum>
  <w:abstractNum w:abstractNumId="2">
    <w:nsid w:val="7CA2181A"/>
    <w:multiLevelType w:val="multilevel"/>
    <w:tmpl w:val="7CA2181A"/>
    <w:lvl w:ilvl="0" w:tentative="0">
      <w:start w:val="1"/>
      <w:numFmt w:val="chineseCountingThousand"/>
      <w:suff w:val="space"/>
      <w:lvlText w:val="第%1章"/>
      <w:lvlJc w:val="left"/>
      <w:pPr>
        <w:ind w:left="0" w:firstLine="0"/>
      </w:pPr>
      <w:rPr>
        <w:rFonts w:hint="default" w:ascii="黑体" w:hAnsi="黑体" w:eastAsia="黑体"/>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5C"/>
    <w:rsid w:val="00010826"/>
    <w:rsid w:val="00011D46"/>
    <w:rsid w:val="00017603"/>
    <w:rsid w:val="00044B89"/>
    <w:rsid w:val="00054DC3"/>
    <w:rsid w:val="0007729B"/>
    <w:rsid w:val="00093664"/>
    <w:rsid w:val="000A428E"/>
    <w:rsid w:val="000C068B"/>
    <w:rsid w:val="000D1D77"/>
    <w:rsid w:val="000E0FE6"/>
    <w:rsid w:val="000E7E98"/>
    <w:rsid w:val="00121BAA"/>
    <w:rsid w:val="00123687"/>
    <w:rsid w:val="00144718"/>
    <w:rsid w:val="001449F9"/>
    <w:rsid w:val="00146DB2"/>
    <w:rsid w:val="0016210C"/>
    <w:rsid w:val="0018220E"/>
    <w:rsid w:val="00192ECD"/>
    <w:rsid w:val="001D60AF"/>
    <w:rsid w:val="001E08A5"/>
    <w:rsid w:val="001E3B9A"/>
    <w:rsid w:val="001F13A5"/>
    <w:rsid w:val="001F4D38"/>
    <w:rsid w:val="00216E30"/>
    <w:rsid w:val="00221C48"/>
    <w:rsid w:val="00222006"/>
    <w:rsid w:val="00261CB6"/>
    <w:rsid w:val="00265839"/>
    <w:rsid w:val="00282DF6"/>
    <w:rsid w:val="00292BFA"/>
    <w:rsid w:val="002A54C3"/>
    <w:rsid w:val="002E5D62"/>
    <w:rsid w:val="002F56E2"/>
    <w:rsid w:val="003034F1"/>
    <w:rsid w:val="00307D42"/>
    <w:rsid w:val="003102E5"/>
    <w:rsid w:val="00314F18"/>
    <w:rsid w:val="003156C6"/>
    <w:rsid w:val="00325A29"/>
    <w:rsid w:val="00350A4F"/>
    <w:rsid w:val="00363797"/>
    <w:rsid w:val="00374DEC"/>
    <w:rsid w:val="00395F2B"/>
    <w:rsid w:val="003A570C"/>
    <w:rsid w:val="003B041C"/>
    <w:rsid w:val="00435DF4"/>
    <w:rsid w:val="00481FC8"/>
    <w:rsid w:val="00494453"/>
    <w:rsid w:val="00496C30"/>
    <w:rsid w:val="004A659B"/>
    <w:rsid w:val="005001C6"/>
    <w:rsid w:val="00512E5D"/>
    <w:rsid w:val="00526D37"/>
    <w:rsid w:val="005612A7"/>
    <w:rsid w:val="00582A92"/>
    <w:rsid w:val="00583ED5"/>
    <w:rsid w:val="005A24D0"/>
    <w:rsid w:val="005A43BA"/>
    <w:rsid w:val="005B62C0"/>
    <w:rsid w:val="005B6632"/>
    <w:rsid w:val="005C5C32"/>
    <w:rsid w:val="005D4C75"/>
    <w:rsid w:val="005E6278"/>
    <w:rsid w:val="006901D7"/>
    <w:rsid w:val="00696737"/>
    <w:rsid w:val="006E7107"/>
    <w:rsid w:val="00704EEB"/>
    <w:rsid w:val="00705B94"/>
    <w:rsid w:val="00742595"/>
    <w:rsid w:val="00744062"/>
    <w:rsid w:val="00753B58"/>
    <w:rsid w:val="007616EE"/>
    <w:rsid w:val="007675EC"/>
    <w:rsid w:val="0077268C"/>
    <w:rsid w:val="00796357"/>
    <w:rsid w:val="007A172D"/>
    <w:rsid w:val="007C0C2D"/>
    <w:rsid w:val="007D1F89"/>
    <w:rsid w:val="00817D4C"/>
    <w:rsid w:val="008215DA"/>
    <w:rsid w:val="00842C56"/>
    <w:rsid w:val="00853925"/>
    <w:rsid w:val="00854B07"/>
    <w:rsid w:val="00880D96"/>
    <w:rsid w:val="008A1D06"/>
    <w:rsid w:val="008A3859"/>
    <w:rsid w:val="008B43E9"/>
    <w:rsid w:val="008E2F6D"/>
    <w:rsid w:val="00913120"/>
    <w:rsid w:val="00916AAF"/>
    <w:rsid w:val="00940ECF"/>
    <w:rsid w:val="00950B0F"/>
    <w:rsid w:val="00955174"/>
    <w:rsid w:val="009D79DD"/>
    <w:rsid w:val="009E0092"/>
    <w:rsid w:val="009E51E7"/>
    <w:rsid w:val="009F0943"/>
    <w:rsid w:val="009F4F04"/>
    <w:rsid w:val="00A028A8"/>
    <w:rsid w:val="00A05114"/>
    <w:rsid w:val="00A10CDD"/>
    <w:rsid w:val="00A13EE8"/>
    <w:rsid w:val="00A17A8D"/>
    <w:rsid w:val="00A443BC"/>
    <w:rsid w:val="00A667F3"/>
    <w:rsid w:val="00A7249A"/>
    <w:rsid w:val="00A76037"/>
    <w:rsid w:val="00A8773E"/>
    <w:rsid w:val="00A87F34"/>
    <w:rsid w:val="00A959C9"/>
    <w:rsid w:val="00AC6B9D"/>
    <w:rsid w:val="00AF7350"/>
    <w:rsid w:val="00B1396F"/>
    <w:rsid w:val="00B16427"/>
    <w:rsid w:val="00B351D4"/>
    <w:rsid w:val="00B400DE"/>
    <w:rsid w:val="00B7441B"/>
    <w:rsid w:val="00B84EB8"/>
    <w:rsid w:val="00B93C32"/>
    <w:rsid w:val="00B972D1"/>
    <w:rsid w:val="00BA1AE3"/>
    <w:rsid w:val="00BD361F"/>
    <w:rsid w:val="00BE4AD6"/>
    <w:rsid w:val="00BF1CC4"/>
    <w:rsid w:val="00C066DB"/>
    <w:rsid w:val="00C14535"/>
    <w:rsid w:val="00C25042"/>
    <w:rsid w:val="00C412AF"/>
    <w:rsid w:val="00C43AE6"/>
    <w:rsid w:val="00C50202"/>
    <w:rsid w:val="00C56C32"/>
    <w:rsid w:val="00C610AA"/>
    <w:rsid w:val="00CD2CC3"/>
    <w:rsid w:val="00CF5FDC"/>
    <w:rsid w:val="00CF7FE8"/>
    <w:rsid w:val="00D15E39"/>
    <w:rsid w:val="00D31662"/>
    <w:rsid w:val="00D35B1E"/>
    <w:rsid w:val="00D36982"/>
    <w:rsid w:val="00D47B59"/>
    <w:rsid w:val="00D65861"/>
    <w:rsid w:val="00D80D69"/>
    <w:rsid w:val="00D90DD5"/>
    <w:rsid w:val="00DA19B6"/>
    <w:rsid w:val="00DD32B4"/>
    <w:rsid w:val="00DD52D2"/>
    <w:rsid w:val="00DE1896"/>
    <w:rsid w:val="00DF2ECB"/>
    <w:rsid w:val="00E1198B"/>
    <w:rsid w:val="00E237BD"/>
    <w:rsid w:val="00E42A9D"/>
    <w:rsid w:val="00E76C30"/>
    <w:rsid w:val="00E94F29"/>
    <w:rsid w:val="00E96D2D"/>
    <w:rsid w:val="00EB19FE"/>
    <w:rsid w:val="00ED115C"/>
    <w:rsid w:val="00EE7A66"/>
    <w:rsid w:val="00F11410"/>
    <w:rsid w:val="00F33438"/>
    <w:rsid w:val="00F36987"/>
    <w:rsid w:val="00F70B63"/>
    <w:rsid w:val="00F71C0E"/>
    <w:rsid w:val="00F8582B"/>
    <w:rsid w:val="00FA50AD"/>
    <w:rsid w:val="00FC3DCB"/>
    <w:rsid w:val="00FC4EF7"/>
    <w:rsid w:val="00FD0F50"/>
    <w:rsid w:val="00FD6AFE"/>
    <w:rsid w:val="02734D1B"/>
    <w:rsid w:val="03204429"/>
    <w:rsid w:val="03887C1B"/>
    <w:rsid w:val="06B85629"/>
    <w:rsid w:val="07031B14"/>
    <w:rsid w:val="07B01E72"/>
    <w:rsid w:val="085B03F1"/>
    <w:rsid w:val="08A92ADB"/>
    <w:rsid w:val="093773D7"/>
    <w:rsid w:val="0B081D61"/>
    <w:rsid w:val="0C5C3DD9"/>
    <w:rsid w:val="0DCB34F3"/>
    <w:rsid w:val="0ED05029"/>
    <w:rsid w:val="0EDB7766"/>
    <w:rsid w:val="0F825FED"/>
    <w:rsid w:val="11EE5A02"/>
    <w:rsid w:val="12321539"/>
    <w:rsid w:val="14486B31"/>
    <w:rsid w:val="14D05CA0"/>
    <w:rsid w:val="154D5888"/>
    <w:rsid w:val="15D51524"/>
    <w:rsid w:val="16A530FE"/>
    <w:rsid w:val="18C15E12"/>
    <w:rsid w:val="18C8777C"/>
    <w:rsid w:val="1AD426DA"/>
    <w:rsid w:val="1AED4F38"/>
    <w:rsid w:val="1B5E115F"/>
    <w:rsid w:val="1DCA10D2"/>
    <w:rsid w:val="1E6A5E28"/>
    <w:rsid w:val="1F905E1C"/>
    <w:rsid w:val="23A16C6A"/>
    <w:rsid w:val="250F386E"/>
    <w:rsid w:val="2A7332A0"/>
    <w:rsid w:val="2A791F21"/>
    <w:rsid w:val="2B2F06CC"/>
    <w:rsid w:val="2CAB47C4"/>
    <w:rsid w:val="2D445193"/>
    <w:rsid w:val="2DE052C6"/>
    <w:rsid w:val="2E862623"/>
    <w:rsid w:val="2F35406B"/>
    <w:rsid w:val="2FF67B04"/>
    <w:rsid w:val="30017B36"/>
    <w:rsid w:val="32B14DA9"/>
    <w:rsid w:val="339B7D25"/>
    <w:rsid w:val="346804D4"/>
    <w:rsid w:val="35CA5A56"/>
    <w:rsid w:val="35D0657A"/>
    <w:rsid w:val="36AA64D6"/>
    <w:rsid w:val="379A5DCF"/>
    <w:rsid w:val="37A62ED2"/>
    <w:rsid w:val="386023DB"/>
    <w:rsid w:val="387C7014"/>
    <w:rsid w:val="3B375019"/>
    <w:rsid w:val="3E9C5190"/>
    <w:rsid w:val="3FD31C10"/>
    <w:rsid w:val="4024428D"/>
    <w:rsid w:val="4027675F"/>
    <w:rsid w:val="403F7103"/>
    <w:rsid w:val="419E5815"/>
    <w:rsid w:val="4222598D"/>
    <w:rsid w:val="43CA157C"/>
    <w:rsid w:val="444121C1"/>
    <w:rsid w:val="44D31056"/>
    <w:rsid w:val="45561F04"/>
    <w:rsid w:val="455C297A"/>
    <w:rsid w:val="46716C45"/>
    <w:rsid w:val="46DB6F74"/>
    <w:rsid w:val="47183200"/>
    <w:rsid w:val="47E336B3"/>
    <w:rsid w:val="48056D69"/>
    <w:rsid w:val="48807B3A"/>
    <w:rsid w:val="49722227"/>
    <w:rsid w:val="4AA139A5"/>
    <w:rsid w:val="4C130668"/>
    <w:rsid w:val="50EB722C"/>
    <w:rsid w:val="516E0CED"/>
    <w:rsid w:val="545A1C53"/>
    <w:rsid w:val="54E5451F"/>
    <w:rsid w:val="5670467D"/>
    <w:rsid w:val="57FC66BE"/>
    <w:rsid w:val="58825B29"/>
    <w:rsid w:val="5AAA02D0"/>
    <w:rsid w:val="5CCF772F"/>
    <w:rsid w:val="5D9C4AD3"/>
    <w:rsid w:val="5D9D1580"/>
    <w:rsid w:val="5F261904"/>
    <w:rsid w:val="5F8E6BF5"/>
    <w:rsid w:val="5FE97DF7"/>
    <w:rsid w:val="5FF4555F"/>
    <w:rsid w:val="601222BF"/>
    <w:rsid w:val="616B30BF"/>
    <w:rsid w:val="64EF7E15"/>
    <w:rsid w:val="65BE5268"/>
    <w:rsid w:val="6A415EA9"/>
    <w:rsid w:val="6AAE60D7"/>
    <w:rsid w:val="6C3A69EF"/>
    <w:rsid w:val="6C962F98"/>
    <w:rsid w:val="6CC24944"/>
    <w:rsid w:val="6E0724CB"/>
    <w:rsid w:val="6ECA2E34"/>
    <w:rsid w:val="6F11505F"/>
    <w:rsid w:val="6FF2492F"/>
    <w:rsid w:val="6FF6DDFC"/>
    <w:rsid w:val="70533EA5"/>
    <w:rsid w:val="72917691"/>
    <w:rsid w:val="72F21DD2"/>
    <w:rsid w:val="74AE51EC"/>
    <w:rsid w:val="74C14BD0"/>
    <w:rsid w:val="74F31E31"/>
    <w:rsid w:val="76DD4270"/>
    <w:rsid w:val="792418C4"/>
    <w:rsid w:val="7B4F7806"/>
    <w:rsid w:val="7BFF730D"/>
    <w:rsid w:val="7C5D48A5"/>
    <w:rsid w:val="7CAC283A"/>
    <w:rsid w:val="7E6382E7"/>
    <w:rsid w:val="7E723C26"/>
    <w:rsid w:val="7FE26D2A"/>
    <w:rsid w:val="ABB7C011"/>
    <w:rsid w:val="BF7A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adjustRightInd w:val="0"/>
      <w:snapToGrid w:val="0"/>
      <w:ind w:firstLine="420"/>
    </w:pPr>
  </w:style>
  <w:style w:type="paragraph" w:styleId="12">
    <w:name w:val="annotation text"/>
    <w:basedOn w:val="1"/>
    <w:link w:val="47"/>
    <w:semiHidden/>
    <w:unhideWhenUsed/>
    <w:qFormat/>
    <w:uiPriority w:val="99"/>
    <w:pPr>
      <w:jc w:val="left"/>
    </w:pPr>
  </w:style>
  <w:style w:type="paragraph" w:styleId="13">
    <w:name w:val="Balloon Text"/>
    <w:basedOn w:val="1"/>
    <w:link w:val="51"/>
    <w:semiHidden/>
    <w:unhideWhenUsed/>
    <w:qFormat/>
    <w:uiPriority w:val="99"/>
    <w:rPr>
      <w:sz w:val="18"/>
      <w:szCs w:val="18"/>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link w:val="43"/>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semiHidden/>
    <w:unhideWhenUsed/>
    <w:qFormat/>
    <w:uiPriority w:val="99"/>
    <w:rPr>
      <w:sz w:val="24"/>
    </w:r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2"/>
    <w:next w:val="12"/>
    <w:link w:val="48"/>
    <w:semiHidden/>
    <w:unhideWhenUsed/>
    <w:qFormat/>
    <w:uiPriority w:val="99"/>
    <w:rPr>
      <w:b/>
      <w:bCs/>
    </w:rPr>
  </w:style>
  <w:style w:type="character" w:styleId="22">
    <w:name w:val="Emphasis"/>
    <w:basedOn w:val="21"/>
    <w:qFormat/>
    <w:uiPriority w:val="20"/>
    <w:rPr>
      <w:i/>
    </w:rPr>
  </w:style>
  <w:style w:type="character" w:styleId="23">
    <w:name w:val="Hyperlink"/>
    <w:basedOn w:val="21"/>
    <w:semiHidden/>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标题 1 字符"/>
    <w:basedOn w:val="21"/>
    <w:link w:val="3"/>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1"/>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1"/>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1"/>
    <w:link w:val="6"/>
    <w:semiHidden/>
    <w:qFormat/>
    <w:uiPriority w:val="9"/>
    <w:rPr>
      <w:rFonts w:cstheme="majorBidi"/>
      <w:color w:val="104862" w:themeColor="accent1" w:themeShade="BF"/>
      <w:sz w:val="28"/>
      <w:szCs w:val="28"/>
    </w:rPr>
  </w:style>
  <w:style w:type="character" w:customStyle="1" w:styleId="29">
    <w:name w:val="标题 5 字符"/>
    <w:basedOn w:val="21"/>
    <w:link w:val="7"/>
    <w:semiHidden/>
    <w:qFormat/>
    <w:uiPriority w:val="9"/>
    <w:rPr>
      <w:rFonts w:cstheme="majorBidi"/>
      <w:color w:val="104862" w:themeColor="accent1" w:themeShade="BF"/>
      <w:sz w:val="24"/>
      <w:szCs w:val="24"/>
    </w:rPr>
  </w:style>
  <w:style w:type="character" w:customStyle="1" w:styleId="30">
    <w:name w:val="标题 6 字符"/>
    <w:basedOn w:val="21"/>
    <w:link w:val="8"/>
    <w:semiHidden/>
    <w:qFormat/>
    <w:uiPriority w:val="9"/>
    <w:rPr>
      <w:rFonts w:cstheme="majorBidi"/>
      <w:b/>
      <w:bCs/>
      <w:color w:val="104862" w:themeColor="accent1" w:themeShade="BF"/>
    </w:rPr>
  </w:style>
  <w:style w:type="character" w:customStyle="1" w:styleId="31">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1"/>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1"/>
    <w:link w:val="40"/>
    <w:qFormat/>
    <w:uiPriority w:val="30"/>
    <w:rPr>
      <w:i/>
      <w:iCs/>
      <w:color w:val="104862" w:themeColor="accent1" w:themeShade="BF"/>
    </w:rPr>
  </w:style>
  <w:style w:type="character" w:customStyle="1" w:styleId="42">
    <w:name w:val="明显参考1"/>
    <w:basedOn w:val="21"/>
    <w:qFormat/>
    <w:uiPriority w:val="32"/>
    <w:rPr>
      <w:b/>
      <w:bCs/>
      <w:smallCaps/>
      <w:color w:val="104862" w:themeColor="accent1" w:themeShade="BF"/>
      <w:spacing w:val="5"/>
    </w:rPr>
  </w:style>
  <w:style w:type="character" w:customStyle="1" w:styleId="43">
    <w:name w:val="页眉 字符"/>
    <w:basedOn w:val="21"/>
    <w:link w:val="15"/>
    <w:qFormat/>
    <w:uiPriority w:val="99"/>
    <w:rPr>
      <w:sz w:val="18"/>
      <w:szCs w:val="18"/>
    </w:rPr>
  </w:style>
  <w:style w:type="character" w:customStyle="1" w:styleId="44">
    <w:name w:val="页脚 字符"/>
    <w:basedOn w:val="21"/>
    <w:link w:val="14"/>
    <w:qFormat/>
    <w:uiPriority w:val="99"/>
    <w:rPr>
      <w:sz w:val="18"/>
      <w:szCs w:val="18"/>
    </w:rPr>
  </w:style>
  <w:style w:type="paragraph" w:customStyle="1" w:styleId="45">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46">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47">
    <w:name w:val="批注文字 字符"/>
    <w:basedOn w:val="21"/>
    <w:link w:val="12"/>
    <w:semiHidden/>
    <w:qFormat/>
    <w:uiPriority w:val="99"/>
    <w:rPr>
      <w:rFonts w:asciiTheme="minorHAnsi" w:hAnsiTheme="minorHAnsi" w:eastAsiaTheme="minorEastAsia" w:cstheme="minorBidi"/>
      <w:kern w:val="2"/>
      <w:sz w:val="21"/>
      <w:szCs w:val="22"/>
      <w14:ligatures w14:val="standardContextual"/>
    </w:rPr>
  </w:style>
  <w:style w:type="character" w:customStyle="1" w:styleId="48">
    <w:name w:val="批注主题 字符"/>
    <w:basedOn w:val="47"/>
    <w:link w:val="19"/>
    <w:semiHidden/>
    <w:qFormat/>
    <w:uiPriority w:val="99"/>
    <w:rPr>
      <w:rFonts w:asciiTheme="minorHAnsi" w:hAnsiTheme="minorHAnsi" w:eastAsiaTheme="minorEastAsia" w:cstheme="minorBidi"/>
      <w:b/>
      <w:bCs/>
      <w:kern w:val="2"/>
      <w:sz w:val="21"/>
      <w:szCs w:val="22"/>
      <w14:ligatures w14:val="standardContextual"/>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50">
    <w:name w:val="修订4"/>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51">
    <w:name w:val="批注框文本 字符"/>
    <w:basedOn w:val="21"/>
    <w:link w:val="13"/>
    <w:semiHidden/>
    <w:qFormat/>
    <w:uiPriority w:val="99"/>
    <w:rPr>
      <w:rFonts w:asciiTheme="minorHAnsi" w:hAnsiTheme="minorHAnsi" w:eastAsiaTheme="minorEastAsia" w:cstheme="minorBidi"/>
      <w:kern w:val="2"/>
      <w:sz w:val="18"/>
      <w:szCs w:val="18"/>
      <w14:ligatures w14:val="standardContextual"/>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2774</Words>
  <Characters>2863</Characters>
  <Lines>21</Lines>
  <Paragraphs>6</Paragraphs>
  <TotalTime>0</TotalTime>
  <ScaleCrop>false</ScaleCrop>
  <LinksUpToDate>false</LinksUpToDate>
  <CharactersWithSpaces>2886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2025-11-18T09:50:00Z</dcterms:created>
  <dc:creator>璐 巩</dc:creator>
  <cp:lastModifiedBy>李欣菁</cp:lastModifiedBy>
  <cp:lastPrinted>2025-11-24T08:28:07Z</cp:lastPrinted>
  <dcterms:modified xsi:type="dcterms:W3CDTF">2025-11-24T09:04:18Z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eyJoZGlkIjoiZmM3MzJlMzQ1NzJlZGYyNjBiNDI1NTA1Y2Q4OWE2ZGYiLCJ1c2VySWQiOiIxNjM3Mjg5MDM5In0=</vt:lpwstr>
  </property>
  <property fmtid="{D5CDD505-2E9C-101B-9397-08002B2CF9AE}" pid="3" name="KSOProductBuildVer">
    <vt:lpwstr>2052-12.1.0.23542</vt:lpwstr>
  </property>
  <property fmtid="{D5CDD505-2E9C-101B-9397-08002B2CF9AE}" pid="4" name="ICV">
    <vt:lpwstr>8BB5900662EA27CAFD6BC76835214B69_43</vt:lpwstr>
  </property>
</Properties>
</file>