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color w:val="000000"/>
          <w:kern w:val="0"/>
          <w:sz w:val="28"/>
          <w:szCs w:val="28"/>
        </w:rPr>
      </w:pPr>
      <w:r>
        <w:rPr>
          <w:color w:val="000000"/>
          <w:kern w:val="0"/>
          <w:sz w:val="28"/>
          <w:szCs w:val="28"/>
        </w:rPr>
        <w:t>附：公示内容（至少包括</w:t>
      </w:r>
      <w:r>
        <w:rPr>
          <w:rFonts w:hint="eastAsia"/>
          <w:color w:val="000000"/>
          <w:kern w:val="0"/>
          <w:sz w:val="28"/>
          <w:szCs w:val="28"/>
        </w:rPr>
        <w:t>以</w:t>
      </w:r>
      <w:r>
        <w:rPr>
          <w:color w:val="000000"/>
          <w:kern w:val="0"/>
          <w:sz w:val="28"/>
          <w:szCs w:val="28"/>
        </w:rPr>
        <w:t>下方面）</w:t>
      </w:r>
    </w:p>
    <w:p>
      <w:pPr>
        <w:adjustRightInd w:val="0"/>
        <w:snapToGrid w:val="0"/>
        <w:spacing w:line="500" w:lineRule="exact"/>
        <w:rPr>
          <w:b/>
          <w:bCs/>
          <w:color w:val="000000"/>
          <w:kern w:val="0"/>
          <w:sz w:val="28"/>
          <w:szCs w:val="28"/>
        </w:rPr>
      </w:pPr>
      <w:r>
        <w:rPr>
          <w:b/>
          <w:bCs/>
          <w:color w:val="000000"/>
          <w:kern w:val="0"/>
          <w:sz w:val="28"/>
          <w:szCs w:val="28"/>
        </w:rPr>
        <w:t>申报科学技术奖、卫生事业管理奖、医学科普奖</w:t>
      </w:r>
      <w:r>
        <w:rPr>
          <w:rFonts w:hint="eastAsia"/>
          <w:b/>
          <w:bCs/>
          <w:color w:val="000000"/>
          <w:kern w:val="0"/>
          <w:sz w:val="28"/>
          <w:szCs w:val="28"/>
        </w:rPr>
        <w:t>、青年医学科技奖</w:t>
      </w:r>
      <w:r>
        <w:rPr>
          <w:b/>
          <w:bCs/>
          <w:color w:val="000000"/>
          <w:kern w:val="0"/>
          <w:sz w:val="28"/>
          <w:szCs w:val="28"/>
        </w:rPr>
        <w:t>公示内容</w:t>
      </w:r>
      <w:r>
        <w:rPr>
          <w:rFonts w:hint="eastAsia"/>
          <w:b/>
          <w:bCs/>
          <w:color w:val="000000"/>
          <w:kern w:val="0"/>
          <w:sz w:val="28"/>
          <w:szCs w:val="28"/>
        </w:rPr>
        <w:t>如下：</w:t>
      </w:r>
    </w:p>
    <w:p>
      <w:pPr>
        <w:adjustRightInd w:val="0"/>
        <w:snapToGrid w:val="0"/>
        <w:spacing w:line="500" w:lineRule="exact"/>
        <w:rPr>
          <w:rFonts w:hint="eastAsia"/>
          <w:color w:val="000000"/>
          <w:kern w:val="0"/>
          <w:sz w:val="28"/>
          <w:szCs w:val="28"/>
        </w:rPr>
      </w:pPr>
      <w:r>
        <w:rPr>
          <w:color w:val="000000"/>
          <w:kern w:val="0"/>
          <w:sz w:val="28"/>
          <w:szCs w:val="28"/>
        </w:rPr>
        <w:t>奖项类别：</w:t>
      </w:r>
      <w:r>
        <w:rPr>
          <w:rFonts w:hint="eastAsia"/>
          <w:color w:val="000000"/>
          <w:kern w:val="0"/>
          <w:sz w:val="28"/>
          <w:szCs w:val="28"/>
        </w:rPr>
        <w:t>（奖种）青年医学</w:t>
      </w:r>
      <w:r>
        <w:rPr>
          <w:color w:val="000000"/>
          <w:kern w:val="0"/>
          <w:sz w:val="28"/>
          <w:szCs w:val="28"/>
        </w:rPr>
        <w:t>科技奖</w:t>
      </w:r>
    </w:p>
    <w:p>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w:t>
      </w:r>
      <w:r>
        <w:rPr>
          <w:rFonts w:hint="eastAsia"/>
          <w:color w:val="000000"/>
          <w:kern w:val="0"/>
          <w:sz w:val="28"/>
          <w:szCs w:val="28"/>
        </w:rPr>
        <w:t>陈</w:t>
      </w:r>
      <w:r>
        <w:rPr>
          <w:color w:val="000000"/>
          <w:kern w:val="0"/>
          <w:sz w:val="28"/>
          <w:szCs w:val="28"/>
        </w:rPr>
        <w:t xml:space="preserve">鸣宇 </w:t>
      </w:r>
    </w:p>
    <w:p>
      <w:pPr>
        <w:adjustRightInd w:val="0"/>
        <w:snapToGrid w:val="0"/>
        <w:spacing w:line="500" w:lineRule="exact"/>
        <w:rPr>
          <w:rFonts w:hint="eastAsia"/>
          <w:color w:val="000000"/>
          <w:kern w:val="0"/>
          <w:sz w:val="28"/>
          <w:szCs w:val="28"/>
        </w:rPr>
      </w:pPr>
      <w:r>
        <w:rPr>
          <w:color w:val="000000"/>
          <w:kern w:val="0"/>
          <w:sz w:val="28"/>
          <w:szCs w:val="28"/>
        </w:rPr>
        <w:t>主要完成人（含排序）：</w:t>
      </w:r>
      <w:r>
        <w:rPr>
          <w:rFonts w:hint="eastAsia"/>
          <w:color w:val="000000"/>
          <w:kern w:val="0"/>
          <w:sz w:val="28"/>
          <w:szCs w:val="28"/>
        </w:rPr>
        <w:t>陈</w:t>
      </w:r>
      <w:r>
        <w:rPr>
          <w:color w:val="000000"/>
          <w:kern w:val="0"/>
          <w:sz w:val="28"/>
          <w:szCs w:val="28"/>
        </w:rPr>
        <w:t>鸣宇</w:t>
      </w:r>
    </w:p>
    <w:p>
      <w:pPr>
        <w:adjustRightInd w:val="0"/>
        <w:snapToGrid w:val="0"/>
        <w:spacing w:line="500" w:lineRule="exact"/>
        <w:rPr>
          <w:rFonts w:hint="eastAsia"/>
          <w:color w:val="000000"/>
          <w:kern w:val="0"/>
          <w:sz w:val="28"/>
          <w:szCs w:val="28"/>
        </w:rPr>
      </w:pPr>
      <w:r>
        <w:rPr>
          <w:color w:val="000000"/>
          <w:kern w:val="0"/>
          <w:sz w:val="28"/>
          <w:szCs w:val="28"/>
        </w:rPr>
        <w:t xml:space="preserve">主要完成单位（含排序）： </w:t>
      </w:r>
      <w:r>
        <w:rPr>
          <w:rFonts w:hint="eastAsia"/>
          <w:color w:val="000000"/>
          <w:kern w:val="0"/>
          <w:sz w:val="28"/>
          <w:szCs w:val="28"/>
        </w:rPr>
        <w:t>浙江</w:t>
      </w:r>
      <w:r>
        <w:rPr>
          <w:color w:val="000000"/>
          <w:kern w:val="0"/>
          <w:sz w:val="28"/>
          <w:szCs w:val="28"/>
        </w:rPr>
        <w:t>大学</w:t>
      </w:r>
    </w:p>
    <w:p>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 xml:space="preserve">： </w:t>
      </w:r>
    </w:p>
    <w:p>
      <w:pPr>
        <w:adjustRightInd w:val="0"/>
        <w:snapToGrid w:val="0"/>
        <w:spacing w:line="276" w:lineRule="auto"/>
        <w:ind w:firstLine="560" w:firstLineChars="200"/>
        <w:rPr>
          <w:rFonts w:hint="eastAsia"/>
          <w:color w:val="000000"/>
          <w:kern w:val="0"/>
          <w:sz w:val="28"/>
          <w:szCs w:val="28"/>
        </w:rPr>
      </w:pPr>
      <w:r>
        <w:rPr>
          <w:rFonts w:hint="eastAsia"/>
          <w:color w:val="000000"/>
          <w:kern w:val="0"/>
          <w:sz w:val="28"/>
          <w:szCs w:val="28"/>
        </w:rPr>
        <w:t>陈鸣宇，浙江大学医学院附属邵逸夫医院普外科主治医师、特聘副研究员、中华医学社S</w:t>
      </w:r>
      <w:r>
        <w:rPr>
          <w:color w:val="000000"/>
          <w:kern w:val="0"/>
          <w:sz w:val="28"/>
          <w:szCs w:val="28"/>
        </w:rPr>
        <w:t>TAR</w:t>
      </w:r>
      <w:r>
        <w:rPr>
          <w:rFonts w:hint="eastAsia"/>
          <w:color w:val="000000"/>
          <w:kern w:val="0"/>
          <w:sz w:val="28"/>
          <w:szCs w:val="28"/>
        </w:rPr>
        <w:t>普外科专委会副主任委员、欧洲肝病研究协会委员、亚洲急危重协会委员、浙江省</w:t>
      </w:r>
      <w:r>
        <w:rPr>
          <w:color w:val="000000"/>
          <w:kern w:val="0"/>
          <w:sz w:val="28"/>
          <w:szCs w:val="28"/>
        </w:rPr>
        <w:t>青年托举工程人选，</w:t>
      </w:r>
      <w:r>
        <w:rPr>
          <w:rFonts w:hint="eastAsia"/>
          <w:color w:val="000000"/>
          <w:kern w:val="0"/>
          <w:sz w:val="28"/>
          <w:szCs w:val="28"/>
        </w:rPr>
        <w:t>百特中国青年学者、浙江大学睿医人工智能中心特邀教授、</w:t>
      </w:r>
      <w:r>
        <w:rPr>
          <w:color w:val="000000"/>
          <w:kern w:val="0"/>
          <w:sz w:val="28"/>
          <w:szCs w:val="28"/>
        </w:rPr>
        <w:t>F</w:t>
      </w:r>
      <w:r>
        <w:rPr>
          <w:rFonts w:hint="eastAsia"/>
          <w:color w:val="000000"/>
          <w:kern w:val="0"/>
          <w:sz w:val="28"/>
          <w:szCs w:val="28"/>
        </w:rPr>
        <w:t>rontiers</w:t>
      </w:r>
      <w:r>
        <w:rPr>
          <w:color w:val="000000"/>
          <w:kern w:val="0"/>
          <w:sz w:val="28"/>
          <w:szCs w:val="28"/>
        </w:rPr>
        <w:t xml:space="preserve"> </w:t>
      </w:r>
      <w:r>
        <w:rPr>
          <w:rFonts w:hint="eastAsia"/>
          <w:color w:val="000000"/>
          <w:kern w:val="0"/>
          <w:sz w:val="28"/>
          <w:szCs w:val="28"/>
        </w:rPr>
        <w:t>in</w:t>
      </w:r>
      <w:r>
        <w:rPr>
          <w:color w:val="000000"/>
          <w:kern w:val="0"/>
          <w:sz w:val="28"/>
          <w:szCs w:val="28"/>
        </w:rPr>
        <w:t xml:space="preserve"> </w:t>
      </w:r>
      <w:r>
        <w:rPr>
          <w:rFonts w:hint="eastAsia"/>
          <w:color w:val="000000"/>
          <w:kern w:val="0"/>
          <w:sz w:val="28"/>
          <w:szCs w:val="28"/>
        </w:rPr>
        <w:t>oncology杂志副主编辑、M</w:t>
      </w:r>
      <w:r>
        <w:rPr>
          <w:color w:val="000000"/>
          <w:kern w:val="0"/>
          <w:sz w:val="28"/>
          <w:szCs w:val="28"/>
        </w:rPr>
        <w:t>RR</w:t>
      </w:r>
      <w:r>
        <w:rPr>
          <w:rFonts w:hint="eastAsia"/>
          <w:color w:val="000000"/>
          <w:kern w:val="0"/>
          <w:sz w:val="28"/>
          <w:szCs w:val="28"/>
        </w:rPr>
        <w:t>，</w:t>
      </w:r>
      <w:r>
        <w:rPr>
          <w:color w:val="000000"/>
          <w:kern w:val="0"/>
          <w:sz w:val="28"/>
          <w:szCs w:val="28"/>
        </w:rPr>
        <w:t>ATM, JCTH</w:t>
      </w:r>
      <w:r>
        <w:rPr>
          <w:rFonts w:hint="eastAsia"/>
          <w:color w:val="000000"/>
          <w:kern w:val="0"/>
          <w:sz w:val="28"/>
          <w:szCs w:val="28"/>
        </w:rPr>
        <w:t>等多本S</w:t>
      </w:r>
      <w:r>
        <w:rPr>
          <w:color w:val="000000"/>
          <w:kern w:val="0"/>
          <w:sz w:val="28"/>
          <w:szCs w:val="28"/>
        </w:rPr>
        <w:t>CI</w:t>
      </w:r>
      <w:r>
        <w:rPr>
          <w:rFonts w:hint="eastAsia"/>
          <w:color w:val="000000"/>
          <w:kern w:val="0"/>
          <w:sz w:val="28"/>
          <w:szCs w:val="28"/>
        </w:rPr>
        <w:t>杂志青年编委。长期致力于肝胆肠肿瘤基础、临床和转化研究，从临床需求中发现问题，通过基础和转化研究，最后回归于临床应用。他①提出了胆囊癌早期筛查、手术方式和精准辅助治疗的全流程策略，②开发了肝癌个体化精准诊断和预后的评估技术，③参与支架法肠吻合研制，并开发了围手术期营养管理智能平台，极大的提高了肝胆肠肿瘤患者的疗效、预后和生存质量。近年来以第一/通讯作者先后在</w:t>
      </w:r>
      <w:r>
        <w:rPr>
          <w:color w:val="000000"/>
          <w:kern w:val="0"/>
          <w:sz w:val="28"/>
          <w:szCs w:val="28"/>
        </w:rPr>
        <w:t>L</w:t>
      </w:r>
      <w:r>
        <w:rPr>
          <w:rFonts w:hint="eastAsia"/>
          <w:color w:val="000000"/>
          <w:kern w:val="0"/>
          <w:sz w:val="28"/>
          <w:szCs w:val="28"/>
        </w:rPr>
        <w:t>iver</w:t>
      </w:r>
      <w:r>
        <w:rPr>
          <w:color w:val="000000"/>
          <w:kern w:val="0"/>
          <w:sz w:val="28"/>
          <w:szCs w:val="28"/>
        </w:rPr>
        <w:t xml:space="preserve"> cance</w:t>
      </w:r>
      <w:r>
        <w:rPr>
          <w:rFonts w:hint="eastAsia"/>
          <w:color w:val="000000"/>
          <w:kern w:val="0"/>
          <w:sz w:val="28"/>
          <w:szCs w:val="28"/>
        </w:rPr>
        <w:t>r、Ad</w:t>
      </w:r>
      <w:r>
        <w:rPr>
          <w:color w:val="000000"/>
          <w:kern w:val="0"/>
          <w:sz w:val="28"/>
          <w:szCs w:val="28"/>
        </w:rPr>
        <w:t>vanced Science</w:t>
      </w:r>
      <w:r>
        <w:rPr>
          <w:rFonts w:hint="eastAsia"/>
          <w:color w:val="000000"/>
          <w:kern w:val="0"/>
          <w:sz w:val="28"/>
          <w:szCs w:val="28"/>
        </w:rPr>
        <w:t>、</w:t>
      </w:r>
      <w:r>
        <w:rPr>
          <w:color w:val="000000"/>
          <w:kern w:val="0"/>
          <w:sz w:val="28"/>
          <w:szCs w:val="28"/>
        </w:rPr>
        <w:t>A</w:t>
      </w:r>
      <w:r>
        <w:rPr>
          <w:rFonts w:hint="eastAsia"/>
          <w:color w:val="000000"/>
          <w:kern w:val="0"/>
          <w:sz w:val="28"/>
          <w:szCs w:val="28"/>
        </w:rPr>
        <w:t>n</w:t>
      </w:r>
      <w:r>
        <w:rPr>
          <w:color w:val="000000"/>
          <w:kern w:val="0"/>
          <w:sz w:val="28"/>
          <w:szCs w:val="28"/>
        </w:rPr>
        <w:t>n</w:t>
      </w:r>
      <w:r>
        <w:rPr>
          <w:rFonts w:hint="eastAsia"/>
          <w:color w:val="000000"/>
          <w:kern w:val="0"/>
          <w:sz w:val="28"/>
          <w:szCs w:val="28"/>
        </w:rPr>
        <w:t>al</w:t>
      </w:r>
      <w:r>
        <w:rPr>
          <w:color w:val="000000"/>
          <w:kern w:val="0"/>
          <w:sz w:val="28"/>
          <w:szCs w:val="28"/>
        </w:rPr>
        <w:t xml:space="preserve"> of S</w:t>
      </w:r>
      <w:r>
        <w:rPr>
          <w:rFonts w:hint="eastAsia"/>
          <w:color w:val="000000"/>
          <w:kern w:val="0"/>
          <w:sz w:val="28"/>
          <w:szCs w:val="28"/>
        </w:rPr>
        <w:t>urgery等国际著名学术期刊上发表</w:t>
      </w:r>
      <w:r>
        <w:rPr>
          <w:color w:val="000000"/>
          <w:kern w:val="0"/>
          <w:sz w:val="28"/>
          <w:szCs w:val="28"/>
        </w:rPr>
        <w:t>50</w:t>
      </w:r>
      <w:r>
        <w:rPr>
          <w:rFonts w:hint="eastAsia"/>
          <w:color w:val="000000"/>
          <w:kern w:val="0"/>
          <w:sz w:val="28"/>
          <w:szCs w:val="28"/>
        </w:rPr>
        <w:t>余篇S</w:t>
      </w:r>
      <w:r>
        <w:rPr>
          <w:color w:val="000000"/>
          <w:kern w:val="0"/>
          <w:sz w:val="28"/>
          <w:szCs w:val="28"/>
        </w:rPr>
        <w:t>CI (</w:t>
      </w:r>
      <w:r>
        <w:rPr>
          <w:rFonts w:hint="eastAsia"/>
          <w:color w:val="000000"/>
          <w:kern w:val="0"/>
          <w:sz w:val="28"/>
          <w:szCs w:val="28"/>
        </w:rPr>
        <w:t>其中1</w:t>
      </w:r>
      <w:r>
        <w:rPr>
          <w:color w:val="000000"/>
          <w:kern w:val="0"/>
          <w:sz w:val="28"/>
          <w:szCs w:val="28"/>
        </w:rPr>
        <w:t>2</w:t>
      </w:r>
      <w:r>
        <w:rPr>
          <w:rFonts w:hint="eastAsia"/>
          <w:color w:val="000000"/>
          <w:kern w:val="0"/>
          <w:sz w:val="28"/>
          <w:szCs w:val="28"/>
        </w:rPr>
        <w:t>篇</w:t>
      </w:r>
      <w:r>
        <w:rPr>
          <w:color w:val="000000"/>
          <w:kern w:val="0"/>
          <w:sz w:val="28"/>
          <w:szCs w:val="28"/>
        </w:rPr>
        <w:t>IF</w:t>
      </w:r>
      <w:r>
        <w:rPr>
          <w:rFonts w:hint="eastAsia"/>
          <w:color w:val="000000"/>
          <w:kern w:val="0"/>
          <w:sz w:val="28"/>
          <w:szCs w:val="28"/>
        </w:rPr>
        <w:t>&gt;1</w:t>
      </w:r>
      <w:r>
        <w:rPr>
          <w:color w:val="000000"/>
          <w:kern w:val="0"/>
          <w:sz w:val="28"/>
          <w:szCs w:val="28"/>
        </w:rPr>
        <w:t>0</w:t>
      </w:r>
      <w:r>
        <w:rPr>
          <w:rFonts w:hint="eastAsia"/>
          <w:color w:val="000000"/>
          <w:kern w:val="0"/>
          <w:sz w:val="28"/>
          <w:szCs w:val="28"/>
        </w:rPr>
        <w:t>分），相关研究被Na</w:t>
      </w:r>
      <w:r>
        <w:rPr>
          <w:color w:val="000000"/>
          <w:kern w:val="0"/>
          <w:sz w:val="28"/>
          <w:szCs w:val="28"/>
        </w:rPr>
        <w:t>ture</w:t>
      </w:r>
      <w:r>
        <w:rPr>
          <w:rFonts w:hint="eastAsia"/>
          <w:color w:val="000000"/>
          <w:kern w:val="0"/>
          <w:sz w:val="28"/>
          <w:szCs w:val="28"/>
        </w:rPr>
        <w:t>、</w:t>
      </w:r>
      <w:r>
        <w:rPr>
          <w:color w:val="000000"/>
          <w:kern w:val="0"/>
          <w:sz w:val="28"/>
          <w:szCs w:val="28"/>
        </w:rPr>
        <w:t>G</w:t>
      </w:r>
      <w:r>
        <w:rPr>
          <w:rFonts w:hint="eastAsia"/>
          <w:color w:val="000000"/>
          <w:kern w:val="0"/>
          <w:sz w:val="28"/>
          <w:szCs w:val="28"/>
        </w:rPr>
        <w:t>ut、</w:t>
      </w:r>
      <w:r>
        <w:rPr>
          <w:color w:val="000000"/>
          <w:kern w:val="0"/>
          <w:sz w:val="28"/>
          <w:szCs w:val="28"/>
        </w:rPr>
        <w:t>C</w:t>
      </w:r>
      <w:r>
        <w:rPr>
          <w:rFonts w:hint="eastAsia"/>
          <w:color w:val="000000"/>
          <w:kern w:val="0"/>
          <w:sz w:val="28"/>
          <w:szCs w:val="28"/>
        </w:rPr>
        <w:t>ancer</w:t>
      </w:r>
      <w:r>
        <w:rPr>
          <w:color w:val="000000"/>
          <w:kern w:val="0"/>
          <w:sz w:val="28"/>
          <w:szCs w:val="28"/>
        </w:rPr>
        <w:t xml:space="preserve"> discovery</w:t>
      </w:r>
      <w:r>
        <w:rPr>
          <w:rFonts w:hint="eastAsia"/>
          <w:color w:val="000000"/>
          <w:kern w:val="0"/>
          <w:sz w:val="28"/>
          <w:szCs w:val="28"/>
        </w:rPr>
        <w:t>等领域内顶级期刊引用</w:t>
      </w:r>
      <w:r>
        <w:rPr>
          <w:color w:val="000000"/>
          <w:kern w:val="0"/>
          <w:sz w:val="28"/>
          <w:szCs w:val="28"/>
        </w:rPr>
        <w:t>1000</w:t>
      </w:r>
      <w:r>
        <w:rPr>
          <w:rFonts w:hint="eastAsia"/>
          <w:color w:val="000000"/>
          <w:kern w:val="0"/>
          <w:sz w:val="28"/>
          <w:szCs w:val="28"/>
        </w:rPr>
        <w:t>余次 (H</w:t>
      </w:r>
      <w:r>
        <w:rPr>
          <w:color w:val="000000"/>
          <w:kern w:val="0"/>
          <w:sz w:val="28"/>
          <w:szCs w:val="28"/>
        </w:rPr>
        <w:t>-I</w:t>
      </w:r>
      <w:r>
        <w:rPr>
          <w:rFonts w:hint="eastAsia"/>
          <w:color w:val="000000"/>
          <w:kern w:val="0"/>
          <w:sz w:val="28"/>
          <w:szCs w:val="28"/>
        </w:rPr>
        <w:t>ndex</w:t>
      </w:r>
      <w:r>
        <w:rPr>
          <w:color w:val="000000"/>
          <w:kern w:val="0"/>
          <w:sz w:val="28"/>
          <w:szCs w:val="28"/>
        </w:rPr>
        <w:t xml:space="preserve">: 18), </w:t>
      </w:r>
      <w:r>
        <w:rPr>
          <w:rFonts w:hint="eastAsia"/>
          <w:color w:val="000000"/>
          <w:kern w:val="0"/>
          <w:sz w:val="28"/>
          <w:szCs w:val="28"/>
        </w:rPr>
        <w:t>曾多次受邀参加EASL、ACS等国际会议并做大会发言，主持国家级课题3项，拥有授权发明专利1</w:t>
      </w:r>
      <w:r>
        <w:rPr>
          <w:color w:val="000000"/>
          <w:kern w:val="0"/>
          <w:sz w:val="28"/>
          <w:szCs w:val="28"/>
        </w:rPr>
        <w:t>0</w:t>
      </w:r>
      <w:r>
        <w:rPr>
          <w:rFonts w:hint="eastAsia"/>
          <w:color w:val="000000"/>
          <w:kern w:val="0"/>
          <w:sz w:val="28"/>
          <w:szCs w:val="28"/>
        </w:rPr>
        <w:t>余项（已转化2项），并以主要完成人获得浙江省科技发明一等奖，还获得过百特中国青年研究奖一等奖、产城新材料二等奖、恒瑞医药奖、欧洲肝病研究协会</w:t>
      </w:r>
      <w:r>
        <w:rPr>
          <w:color w:val="000000"/>
          <w:kern w:val="0"/>
          <w:sz w:val="28"/>
          <w:szCs w:val="28"/>
        </w:rPr>
        <w:t>Young invest</w:t>
      </w:r>
      <w:r>
        <w:rPr>
          <w:rFonts w:hint="eastAsia"/>
          <w:color w:val="000000"/>
          <w:kern w:val="0"/>
          <w:sz w:val="28"/>
          <w:szCs w:val="28"/>
        </w:rPr>
        <w:t>i</w:t>
      </w:r>
      <w:r>
        <w:rPr>
          <w:color w:val="000000"/>
          <w:kern w:val="0"/>
          <w:sz w:val="28"/>
          <w:szCs w:val="28"/>
        </w:rPr>
        <w:t>gator award</w:t>
      </w:r>
      <w:r>
        <w:rPr>
          <w:rFonts w:hint="eastAsia"/>
          <w:color w:val="000000"/>
          <w:kern w:val="0"/>
          <w:sz w:val="28"/>
          <w:szCs w:val="28"/>
        </w:rPr>
        <w:t>等。</w:t>
      </w:r>
    </w:p>
    <w:p>
      <w:pPr>
        <w:adjustRightInd w:val="0"/>
        <w:snapToGrid w:val="0"/>
        <w:spacing w:line="500" w:lineRule="exact"/>
        <w:rPr>
          <w:color w:val="000000"/>
          <w:kern w:val="0"/>
          <w:sz w:val="28"/>
          <w:szCs w:val="28"/>
        </w:rPr>
      </w:pPr>
      <w:r>
        <w:rPr>
          <w:color w:val="000000"/>
          <w:kern w:val="0"/>
          <w:sz w:val="28"/>
          <w:szCs w:val="28"/>
        </w:rPr>
        <w:t xml:space="preserve">代表性论文（专著）目录： </w:t>
      </w:r>
    </w:p>
    <w:p>
      <w:pPr>
        <w:adjustRightInd w:val="0"/>
        <w:snapToGrid w:val="0"/>
        <w:spacing w:line="276" w:lineRule="auto"/>
        <w:rPr>
          <w:color w:val="212121"/>
          <w:szCs w:val="21"/>
          <w:shd w:val="clear" w:color="auto" w:fill="FFFFFF"/>
        </w:rPr>
      </w:pPr>
      <w:r>
        <w:rPr>
          <w:color w:val="212121"/>
          <w:szCs w:val="21"/>
          <w:shd w:val="clear" w:color="auto" w:fill="FFFFFF"/>
        </w:rPr>
        <w:t xml:space="preserve">1. </w:t>
      </w:r>
      <w:r>
        <w:rPr>
          <w:b/>
          <w:bCs/>
          <w:color w:val="212121"/>
          <w:szCs w:val="21"/>
          <w:u w:val="single"/>
          <w:shd w:val="clear" w:color="auto" w:fill="FFFFFF"/>
        </w:rPr>
        <w:t>Chen M</w:t>
      </w:r>
      <w:r>
        <w:rPr>
          <w:b/>
          <w:bCs/>
          <w:color w:val="212121"/>
          <w:szCs w:val="21"/>
          <w:u w:val="single"/>
          <w:shd w:val="clear" w:color="auto" w:fill="FFFFFF"/>
          <w:vertAlign w:val="superscript"/>
        </w:rPr>
        <w:t>#</w:t>
      </w:r>
      <w:r>
        <w:rPr>
          <w:b/>
          <w:bCs/>
          <w:color w:val="212121"/>
          <w:szCs w:val="21"/>
          <w:u w:val="single"/>
          <w:shd w:val="clear" w:color="auto" w:fill="FFFFFF"/>
        </w:rPr>
        <w:t>,</w:t>
      </w:r>
      <w:r>
        <w:rPr>
          <w:color w:val="212121"/>
          <w:szCs w:val="21"/>
          <w:shd w:val="clear" w:color="auto" w:fill="FFFFFF"/>
        </w:rPr>
        <w:t xml:space="preserve"> Zhang B, Topatana W, Cao J, Zhu H, Juengpanich S, Mao Q, Yu H, Cai X*. 2020. Classification and mutation prediction based on histopathology H&amp;E images in liver cancer using deep learning. NPJ Precis Oncol. 8;4:14. </w:t>
      </w:r>
      <w:r>
        <w:rPr>
          <w:rFonts w:hint="eastAsia"/>
          <w:color w:val="212121"/>
          <w:szCs w:val="21"/>
          <w:shd w:val="clear" w:color="auto" w:fill="FFFFFF"/>
        </w:rPr>
        <w:t>（第一作者，影响因子</w:t>
      </w:r>
      <w:r>
        <w:rPr>
          <w:color w:val="212121"/>
          <w:szCs w:val="21"/>
          <w:shd w:val="clear" w:color="auto" w:fill="FFFFFF"/>
        </w:rPr>
        <w:t xml:space="preserve">: 10.09 , </w:t>
      </w:r>
      <w:r>
        <w:rPr>
          <w:rFonts w:hint="eastAsia"/>
          <w:color w:val="212121"/>
          <w:szCs w:val="21"/>
          <w:shd w:val="clear" w:color="auto" w:fill="FFFFFF"/>
        </w:rPr>
        <w:t>引用次数：</w:t>
      </w:r>
      <w:r>
        <w:rPr>
          <w:color w:val="212121"/>
          <w:szCs w:val="21"/>
          <w:shd w:val="clear" w:color="auto" w:fill="FFFFFF"/>
        </w:rPr>
        <w:t>101</w:t>
      </w:r>
      <w:r>
        <w:rPr>
          <w:rFonts w:hint="eastAsia"/>
          <w:color w:val="212121"/>
          <w:szCs w:val="21"/>
          <w:shd w:val="clear" w:color="auto" w:fill="FFFFFF"/>
        </w:rPr>
        <w:t>）</w:t>
      </w:r>
    </w:p>
    <w:p>
      <w:pPr>
        <w:adjustRightInd w:val="0"/>
        <w:snapToGrid w:val="0"/>
        <w:spacing w:line="276" w:lineRule="auto"/>
        <w:rPr>
          <w:color w:val="212121"/>
          <w:szCs w:val="21"/>
          <w:shd w:val="clear" w:color="auto" w:fill="FFFFFF"/>
        </w:rPr>
      </w:pPr>
      <w:r>
        <w:rPr>
          <w:rFonts w:hint="eastAsia"/>
          <w:color w:val="212121"/>
          <w:szCs w:val="21"/>
          <w:shd w:val="clear" w:color="auto" w:fill="FFFFFF"/>
        </w:rPr>
        <w:t>2</w:t>
      </w:r>
      <w:r>
        <w:rPr>
          <w:color w:val="212121"/>
          <w:szCs w:val="21"/>
          <w:shd w:val="clear" w:color="auto" w:fill="FFFFFF"/>
        </w:rPr>
        <w:t>. Li S</w:t>
      </w:r>
      <w:r>
        <w:rPr>
          <w:color w:val="212121"/>
          <w:szCs w:val="21"/>
          <w:shd w:val="clear" w:color="auto" w:fill="FFFFFF"/>
          <w:vertAlign w:val="superscript"/>
        </w:rPr>
        <w:t>#</w:t>
      </w:r>
      <w:r>
        <w:rPr>
          <w:color w:val="212121"/>
          <w:szCs w:val="21"/>
          <w:shd w:val="clear" w:color="auto" w:fill="FFFFFF"/>
        </w:rPr>
        <w:t>, Topatana W</w:t>
      </w:r>
      <w:r>
        <w:rPr>
          <w:color w:val="212121"/>
          <w:szCs w:val="21"/>
          <w:shd w:val="clear" w:color="auto" w:fill="FFFFFF"/>
          <w:vertAlign w:val="superscript"/>
        </w:rPr>
        <w:t>#</w:t>
      </w:r>
      <w:r>
        <w:rPr>
          <w:color w:val="212121"/>
          <w:szCs w:val="21"/>
          <w:shd w:val="clear" w:color="auto" w:fill="FFFFFF"/>
        </w:rPr>
        <w:t>, Juengpanich S</w:t>
      </w:r>
      <w:r>
        <w:rPr>
          <w:color w:val="212121"/>
          <w:szCs w:val="21"/>
          <w:shd w:val="clear" w:color="auto" w:fill="FFFFFF"/>
          <w:vertAlign w:val="superscript"/>
        </w:rPr>
        <w:t>#</w:t>
      </w:r>
      <w:r>
        <w:rPr>
          <w:color w:val="212121"/>
          <w:szCs w:val="21"/>
          <w:shd w:val="clear" w:color="auto" w:fill="FFFFFF"/>
        </w:rPr>
        <w:t xml:space="preserve">, Cao J, Hu J, Zhang B, Ma D, Cai X*, </w:t>
      </w:r>
      <w:r>
        <w:rPr>
          <w:b/>
          <w:bCs/>
          <w:color w:val="212121"/>
          <w:szCs w:val="21"/>
          <w:u w:val="single"/>
          <w:shd w:val="clear" w:color="auto" w:fill="FFFFFF"/>
        </w:rPr>
        <w:t>Chen M*</w:t>
      </w:r>
      <w:r>
        <w:rPr>
          <w:color w:val="212121"/>
          <w:szCs w:val="21"/>
          <w:shd w:val="clear" w:color="auto" w:fill="FFFFFF"/>
        </w:rPr>
        <w:t>. 2020</w:t>
      </w:r>
      <w:r>
        <w:rPr>
          <w:rFonts w:hint="eastAsia"/>
          <w:color w:val="212121"/>
          <w:szCs w:val="21"/>
          <w:shd w:val="clear" w:color="auto" w:fill="FFFFFF"/>
        </w:rPr>
        <w:t>.</w:t>
      </w:r>
      <w:r>
        <w:rPr>
          <w:color w:val="212121"/>
          <w:szCs w:val="21"/>
          <w:shd w:val="clear" w:color="auto" w:fill="FFFFFF"/>
        </w:rPr>
        <w:t xml:space="preserve"> Development of Synthetic Lethality in Cancer: Molecular and Cellular classification. Signal Transduct Target Ther. 19;5(1):241.</w:t>
      </w:r>
      <w:r>
        <w:rPr>
          <w:rFonts w:hint="eastAsia"/>
          <w:color w:val="212121"/>
          <w:szCs w:val="21"/>
          <w:shd w:val="clear" w:color="auto" w:fill="FFFFFF"/>
        </w:rPr>
        <w:t>（通讯作者, 影响因子</w:t>
      </w:r>
      <w:r>
        <w:rPr>
          <w:color w:val="212121"/>
          <w:szCs w:val="21"/>
          <w:shd w:val="clear" w:color="auto" w:fill="FFFFFF"/>
        </w:rPr>
        <w:t>: 38.1</w:t>
      </w:r>
      <w:r>
        <w:rPr>
          <w:rFonts w:hint="eastAsia"/>
          <w:color w:val="212121"/>
          <w:szCs w:val="21"/>
          <w:shd w:val="clear" w:color="auto" w:fill="FFFFFF"/>
        </w:rPr>
        <w:t>引用次数：</w:t>
      </w:r>
      <w:r>
        <w:rPr>
          <w:color w:val="212121"/>
          <w:szCs w:val="21"/>
          <w:shd w:val="clear" w:color="auto" w:fill="FFFFFF"/>
        </w:rPr>
        <w:t>29</w:t>
      </w:r>
      <w:r>
        <w:rPr>
          <w:rFonts w:hint="eastAsia"/>
          <w:color w:val="212121"/>
          <w:szCs w:val="21"/>
          <w:shd w:val="clear" w:color="auto" w:fill="FFFFFF"/>
        </w:rPr>
        <w:t>）</w:t>
      </w:r>
    </w:p>
    <w:p>
      <w:pPr>
        <w:adjustRightInd w:val="0"/>
        <w:snapToGrid w:val="0"/>
        <w:spacing w:line="276" w:lineRule="auto"/>
        <w:rPr>
          <w:color w:val="212121"/>
          <w:szCs w:val="21"/>
          <w:shd w:val="clear" w:color="auto" w:fill="FFFFFF"/>
        </w:rPr>
      </w:pPr>
      <w:r>
        <w:rPr>
          <w:color w:val="212121"/>
          <w:szCs w:val="21"/>
          <w:shd w:val="clear" w:color="auto" w:fill="FFFFFF"/>
        </w:rPr>
        <w:t xml:space="preserve">3. </w:t>
      </w:r>
      <w:r>
        <w:rPr>
          <w:b/>
          <w:bCs/>
          <w:color w:val="212121"/>
          <w:szCs w:val="21"/>
          <w:u w:val="single"/>
          <w:shd w:val="clear" w:color="auto" w:fill="FFFFFF"/>
        </w:rPr>
        <w:t>Chen M</w:t>
      </w:r>
      <w:r>
        <w:rPr>
          <w:b/>
          <w:bCs/>
          <w:color w:val="212121"/>
          <w:szCs w:val="21"/>
          <w:u w:val="single"/>
          <w:shd w:val="clear" w:color="auto" w:fill="FFFFFF"/>
          <w:vertAlign w:val="superscript"/>
        </w:rPr>
        <w:t>#</w:t>
      </w:r>
      <w:r>
        <w:rPr>
          <w:color w:val="212121"/>
          <w:szCs w:val="21"/>
          <w:shd w:val="clear" w:color="auto" w:fill="FFFFFF"/>
        </w:rPr>
        <w:t>, Cao J, Hu J, Topatana W, Li S, Juengpanich S, Lin J, Tong C, Shen J, Zhang B, Wu J, Pocha C, Kudo M, Amedei A, Trevisani F, Sung PS, Zaydfudim VM, Kanda T, Cai X*. 2021. Clinical-Radiomic Analysis for Pretreatment Prediction of Objective Response to First Transarterial Chemoembolization in Hepatocellular Carcinoma. Liver Cancer. 10(1):38-51. </w:t>
      </w:r>
      <w:r>
        <w:rPr>
          <w:rFonts w:hint="eastAsia"/>
          <w:color w:val="212121"/>
          <w:szCs w:val="21"/>
          <w:shd w:val="clear" w:color="auto" w:fill="FFFFFF"/>
        </w:rPr>
        <w:t>（第一作者，影响因子</w:t>
      </w:r>
      <w:r>
        <w:rPr>
          <w:color w:val="212121"/>
          <w:szCs w:val="21"/>
          <w:shd w:val="clear" w:color="auto" w:fill="FFFFFF"/>
        </w:rPr>
        <w:t>: 12.4</w:t>
      </w:r>
      <w:r>
        <w:rPr>
          <w:rFonts w:hint="eastAsia"/>
          <w:color w:val="212121"/>
          <w:szCs w:val="21"/>
          <w:shd w:val="clear" w:color="auto" w:fill="FFFFFF"/>
        </w:rPr>
        <w:t>，引用次数：</w:t>
      </w:r>
      <w:r>
        <w:rPr>
          <w:color w:val="212121"/>
          <w:szCs w:val="21"/>
          <w:shd w:val="clear" w:color="auto" w:fill="FFFFFF"/>
        </w:rPr>
        <w:t>40</w:t>
      </w:r>
      <w:r>
        <w:rPr>
          <w:rFonts w:hint="eastAsia"/>
          <w:color w:val="212121"/>
          <w:szCs w:val="21"/>
          <w:shd w:val="clear" w:color="auto" w:fill="FFFFFF"/>
        </w:rPr>
        <w:t>）</w:t>
      </w:r>
    </w:p>
    <w:p>
      <w:pPr>
        <w:adjustRightInd w:val="0"/>
        <w:snapToGrid w:val="0"/>
        <w:spacing w:line="276" w:lineRule="auto"/>
        <w:rPr>
          <w:color w:val="212121"/>
          <w:szCs w:val="21"/>
          <w:shd w:val="clear" w:color="auto" w:fill="FFFFFF"/>
        </w:rPr>
      </w:pPr>
      <w:r>
        <w:rPr>
          <w:rFonts w:hint="eastAsia"/>
          <w:color w:val="212121"/>
          <w:szCs w:val="21"/>
          <w:shd w:val="clear" w:color="auto" w:fill="FFFFFF"/>
        </w:rPr>
        <w:t>4</w:t>
      </w:r>
      <w:r>
        <w:rPr>
          <w:color w:val="212121"/>
          <w:szCs w:val="21"/>
          <w:shd w:val="clear" w:color="auto" w:fill="FFFFFF"/>
        </w:rPr>
        <w:t xml:space="preserve">. </w:t>
      </w:r>
      <w:r>
        <w:rPr>
          <w:b/>
          <w:bCs/>
          <w:color w:val="212121"/>
          <w:szCs w:val="21"/>
          <w:u w:val="single"/>
          <w:shd w:val="clear" w:color="auto" w:fill="FFFFFF"/>
        </w:rPr>
        <w:t>Chen M</w:t>
      </w:r>
      <w:r>
        <w:rPr>
          <w:b/>
          <w:bCs/>
          <w:color w:val="212121"/>
          <w:szCs w:val="21"/>
          <w:u w:val="single"/>
          <w:shd w:val="clear" w:color="auto" w:fill="FFFFFF"/>
          <w:vertAlign w:val="superscript"/>
        </w:rPr>
        <w:t>#</w:t>
      </w:r>
      <w:r>
        <w:rPr>
          <w:color w:val="212121"/>
          <w:szCs w:val="21"/>
          <w:shd w:val="clear" w:color="auto" w:fill="FFFFFF"/>
        </w:rPr>
        <w:t>, Juengpanich S</w:t>
      </w:r>
      <w:r>
        <w:rPr>
          <w:b/>
          <w:bCs/>
          <w:color w:val="212121"/>
          <w:szCs w:val="21"/>
          <w:u w:val="single"/>
          <w:shd w:val="clear" w:color="auto" w:fill="FFFFFF"/>
          <w:vertAlign w:val="superscript"/>
        </w:rPr>
        <w:t>#</w:t>
      </w:r>
      <w:r>
        <w:rPr>
          <w:color w:val="212121"/>
          <w:szCs w:val="21"/>
          <w:shd w:val="clear" w:color="auto" w:fill="FFFFFF"/>
        </w:rPr>
        <w:t>, Li S</w:t>
      </w:r>
      <w:r>
        <w:rPr>
          <w:b/>
          <w:bCs/>
          <w:color w:val="212121"/>
          <w:szCs w:val="21"/>
          <w:u w:val="single"/>
          <w:shd w:val="clear" w:color="auto" w:fill="FFFFFF"/>
          <w:vertAlign w:val="superscript"/>
        </w:rPr>
        <w:t>#</w:t>
      </w:r>
      <w:r>
        <w:rPr>
          <w:color w:val="212121"/>
          <w:szCs w:val="21"/>
          <w:shd w:val="clear" w:color="auto" w:fill="FFFFFF"/>
        </w:rPr>
        <w:t>, Topatana W</w:t>
      </w:r>
      <w:r>
        <w:rPr>
          <w:b/>
          <w:bCs/>
          <w:color w:val="212121"/>
          <w:szCs w:val="21"/>
          <w:u w:val="single"/>
          <w:shd w:val="clear" w:color="auto" w:fill="FFFFFF"/>
          <w:vertAlign w:val="superscript"/>
        </w:rPr>
        <w:t>#</w:t>
      </w:r>
      <w:r>
        <w:rPr>
          <w:color w:val="212121"/>
          <w:szCs w:val="21"/>
          <w:shd w:val="clear" w:color="auto" w:fill="FFFFFF"/>
        </w:rPr>
        <w:t>, Lu Z, Zheng Q, Cao J, Hu J, Chan E, Hou L, Chen J, Chen F, Liu Y, Jiansirisomboon S, Gu Z*, Tongpeng S*, Cai X*. 2022. Bortezomib-Encapsulated Dual Responsive Copolymeric Nanoparticles for Gallbladder Cancer Targeted Therapy. Adv Sci (Weinh). 9(7):e2103895.</w:t>
      </w:r>
      <w:r>
        <w:rPr>
          <w:rFonts w:hint="eastAsia"/>
          <w:color w:val="212121"/>
          <w:szCs w:val="21"/>
          <w:shd w:val="clear" w:color="auto" w:fill="FFFFFF"/>
        </w:rPr>
        <w:t>（第一作者，影响因子</w:t>
      </w:r>
      <w:r>
        <w:rPr>
          <w:color w:val="212121"/>
          <w:szCs w:val="21"/>
          <w:shd w:val="clear" w:color="auto" w:fill="FFFFFF"/>
        </w:rPr>
        <w:t>: 17.5</w:t>
      </w:r>
      <w:r>
        <w:rPr>
          <w:rFonts w:hint="eastAsia"/>
          <w:color w:val="212121"/>
          <w:szCs w:val="21"/>
          <w:shd w:val="clear" w:color="auto" w:fill="FFFFFF"/>
        </w:rPr>
        <w:t>，引用次数：2）</w:t>
      </w:r>
    </w:p>
    <w:p>
      <w:pPr>
        <w:adjustRightInd w:val="0"/>
        <w:snapToGrid w:val="0"/>
        <w:spacing w:line="276" w:lineRule="auto"/>
        <w:rPr>
          <w:color w:val="212121"/>
          <w:szCs w:val="21"/>
          <w:shd w:val="clear" w:color="auto" w:fill="FFFFFF"/>
        </w:rPr>
      </w:pPr>
      <w:r>
        <w:rPr>
          <w:rFonts w:hint="eastAsia"/>
          <w:color w:val="212121"/>
          <w:szCs w:val="21"/>
          <w:shd w:val="clear" w:color="auto" w:fill="FFFFFF"/>
        </w:rPr>
        <w:t>5</w:t>
      </w:r>
      <w:r>
        <w:rPr>
          <w:color w:val="212121"/>
          <w:szCs w:val="21"/>
          <w:shd w:val="clear" w:color="auto" w:fill="FFFFFF"/>
        </w:rPr>
        <w:t xml:space="preserve">. </w:t>
      </w:r>
      <w:r>
        <w:rPr>
          <w:b/>
          <w:bCs/>
          <w:color w:val="212121"/>
          <w:szCs w:val="21"/>
          <w:u w:val="single"/>
          <w:shd w:val="clear" w:color="auto" w:fill="FFFFFF"/>
        </w:rPr>
        <w:t>Chen M</w:t>
      </w:r>
      <w:r>
        <w:rPr>
          <w:b/>
          <w:bCs/>
          <w:color w:val="212121"/>
          <w:szCs w:val="21"/>
          <w:u w:val="single"/>
          <w:shd w:val="clear" w:color="auto" w:fill="FFFFFF"/>
          <w:vertAlign w:val="superscript"/>
        </w:rPr>
        <w:t>#</w:t>
      </w:r>
      <w:r>
        <w:rPr>
          <w:color w:val="212121"/>
          <w:szCs w:val="21"/>
          <w:shd w:val="clear" w:color="auto" w:fill="FFFFFF"/>
        </w:rPr>
        <w:t>, Lin J</w:t>
      </w:r>
      <w:r>
        <w:rPr>
          <w:color w:val="212121"/>
          <w:szCs w:val="21"/>
          <w:shd w:val="clear" w:color="auto" w:fill="FFFFFF"/>
          <w:vertAlign w:val="superscript"/>
        </w:rPr>
        <w:t>#</w:t>
      </w:r>
      <w:r>
        <w:rPr>
          <w:color w:val="212121"/>
          <w:szCs w:val="21"/>
          <w:shd w:val="clear" w:color="auto" w:fill="FFFFFF"/>
        </w:rPr>
        <w:t>, Cao J</w:t>
      </w:r>
      <w:r>
        <w:rPr>
          <w:color w:val="212121"/>
          <w:szCs w:val="21"/>
          <w:shd w:val="clear" w:color="auto" w:fill="FFFFFF"/>
          <w:vertAlign w:val="superscript"/>
        </w:rPr>
        <w:t>#</w:t>
      </w:r>
      <w:r>
        <w:rPr>
          <w:color w:val="212121"/>
          <w:szCs w:val="21"/>
          <w:shd w:val="clear" w:color="auto" w:fill="FFFFFF"/>
        </w:rPr>
        <w:t>, Zhu H, Zhang B, Wu A, Cai X*. Development and validation of a nomogram for survival benefit of lymphadenectomy in resected gallbladder cancer. Hepatobiliary Surg Nutr. 2019 Oct;8(5):480-489. </w:t>
      </w:r>
      <w:r>
        <w:rPr>
          <w:rFonts w:hint="eastAsia"/>
          <w:color w:val="212121"/>
          <w:szCs w:val="21"/>
          <w:shd w:val="clear" w:color="auto" w:fill="FFFFFF"/>
        </w:rPr>
        <w:t>（第一作者，影响因子</w:t>
      </w:r>
      <w:r>
        <w:rPr>
          <w:color w:val="212121"/>
          <w:szCs w:val="21"/>
          <w:shd w:val="clear" w:color="auto" w:fill="FFFFFF"/>
        </w:rPr>
        <w:t>: 7.29</w:t>
      </w:r>
      <w:r>
        <w:rPr>
          <w:rFonts w:hint="eastAsia"/>
          <w:color w:val="212121"/>
          <w:szCs w:val="21"/>
          <w:shd w:val="clear" w:color="auto" w:fill="FFFFFF"/>
        </w:rPr>
        <w:t>，引用次数：</w:t>
      </w:r>
      <w:r>
        <w:rPr>
          <w:color w:val="212121"/>
          <w:szCs w:val="21"/>
          <w:shd w:val="clear" w:color="auto" w:fill="FFFFFF"/>
        </w:rPr>
        <w:t>12</w:t>
      </w:r>
      <w:r>
        <w:rPr>
          <w:rFonts w:hint="eastAsia"/>
          <w:color w:val="212121"/>
          <w:szCs w:val="21"/>
          <w:shd w:val="clear" w:color="auto" w:fill="FFFFFF"/>
        </w:rPr>
        <w:t>）</w:t>
      </w:r>
    </w:p>
    <w:p>
      <w:pPr>
        <w:adjustRightInd w:val="0"/>
        <w:snapToGrid w:val="0"/>
        <w:spacing w:line="276" w:lineRule="auto"/>
        <w:rPr>
          <w:color w:val="212121"/>
          <w:szCs w:val="21"/>
          <w:shd w:val="clear" w:color="auto" w:fill="FFFFFF"/>
        </w:rPr>
      </w:pPr>
      <w:r>
        <w:rPr>
          <w:rFonts w:hint="eastAsia"/>
          <w:color w:val="212121"/>
          <w:szCs w:val="21"/>
          <w:shd w:val="clear" w:color="auto" w:fill="FFFFFF"/>
        </w:rPr>
        <w:t>6．</w:t>
      </w:r>
      <w:r>
        <w:rPr>
          <w:b/>
          <w:bCs/>
          <w:color w:val="212121"/>
          <w:szCs w:val="21"/>
          <w:u w:val="single"/>
          <w:shd w:val="clear" w:color="auto" w:fill="FFFFFF"/>
        </w:rPr>
        <w:t>Chen M</w:t>
      </w:r>
      <w:r>
        <w:rPr>
          <w:b/>
          <w:bCs/>
          <w:color w:val="212121"/>
          <w:szCs w:val="21"/>
          <w:u w:val="single"/>
          <w:shd w:val="clear" w:color="auto" w:fill="FFFFFF"/>
          <w:vertAlign w:val="superscript"/>
        </w:rPr>
        <w:t>#</w:t>
      </w:r>
      <w:r>
        <w:rPr>
          <w:color w:val="212121"/>
          <w:szCs w:val="21"/>
          <w:shd w:val="clear" w:color="auto" w:fill="FFFFFF"/>
        </w:rPr>
        <w:t>, Cao J</w:t>
      </w:r>
      <w:r>
        <w:rPr>
          <w:color w:val="212121"/>
          <w:szCs w:val="21"/>
          <w:shd w:val="clear" w:color="auto" w:fill="FFFFFF"/>
          <w:vertAlign w:val="superscript"/>
        </w:rPr>
        <w:t>#</w:t>
      </w:r>
      <w:r>
        <w:rPr>
          <w:color w:val="212121"/>
          <w:szCs w:val="21"/>
          <w:shd w:val="clear" w:color="auto" w:fill="FFFFFF"/>
        </w:rPr>
        <w:t>, Huang D, Zhang B, Pan L, Zhang Z, Wang Z, Ye Y, Xiu D, Li D, Cai X*. End-to-end intestinal anastomosis using a novel biodegradable stent for laparoscopic colonic surgery: a multicenter study. Surg Today. 2019 Dec;49(12):1003-1012.</w:t>
      </w:r>
      <w:r>
        <w:rPr>
          <w:rFonts w:hint="eastAsia"/>
          <w:color w:val="212121"/>
          <w:szCs w:val="21"/>
          <w:shd w:val="clear" w:color="auto" w:fill="FFFFFF"/>
        </w:rPr>
        <w:t xml:space="preserve"> （第一作者，影响因子</w:t>
      </w:r>
      <w:r>
        <w:rPr>
          <w:color w:val="212121"/>
          <w:szCs w:val="21"/>
          <w:shd w:val="clear" w:color="auto" w:fill="FFFFFF"/>
        </w:rPr>
        <w:t>: 2.8</w:t>
      </w:r>
      <w:r>
        <w:rPr>
          <w:rFonts w:hint="eastAsia"/>
          <w:color w:val="212121"/>
          <w:szCs w:val="21"/>
          <w:shd w:val="clear" w:color="auto" w:fill="FFFFFF"/>
        </w:rPr>
        <w:t>，引用次数：</w:t>
      </w:r>
      <w:r>
        <w:rPr>
          <w:color w:val="212121"/>
          <w:szCs w:val="21"/>
          <w:shd w:val="clear" w:color="auto" w:fill="FFFFFF"/>
        </w:rPr>
        <w:t>2</w:t>
      </w:r>
      <w:r>
        <w:rPr>
          <w:rFonts w:hint="eastAsia"/>
          <w:color w:val="212121"/>
          <w:szCs w:val="21"/>
          <w:shd w:val="clear" w:color="auto" w:fill="FFFFFF"/>
        </w:rPr>
        <w:t>）</w:t>
      </w:r>
    </w:p>
    <w:p>
      <w:pPr>
        <w:adjustRightInd w:val="0"/>
        <w:snapToGrid w:val="0"/>
        <w:spacing w:line="276" w:lineRule="auto"/>
        <w:rPr>
          <w:color w:val="212121"/>
          <w:szCs w:val="21"/>
          <w:shd w:val="clear" w:color="auto" w:fill="FFFFFF"/>
        </w:rPr>
      </w:pPr>
      <w:r>
        <w:rPr>
          <w:color w:val="212121"/>
          <w:szCs w:val="21"/>
          <w:shd w:val="clear" w:color="auto" w:fill="FFFFFF"/>
        </w:rPr>
        <w:t xml:space="preserve">7. </w:t>
      </w:r>
      <w:r>
        <w:rPr>
          <w:b/>
          <w:bCs/>
          <w:color w:val="212121"/>
          <w:szCs w:val="21"/>
          <w:u w:val="single"/>
          <w:shd w:val="clear" w:color="auto" w:fill="FFFFFF"/>
        </w:rPr>
        <w:t>Chen M</w:t>
      </w:r>
      <w:r>
        <w:rPr>
          <w:b/>
          <w:bCs/>
          <w:color w:val="212121"/>
          <w:szCs w:val="21"/>
          <w:u w:val="single"/>
          <w:shd w:val="clear" w:color="auto" w:fill="FFFFFF"/>
          <w:vertAlign w:val="superscript"/>
        </w:rPr>
        <w:t>#</w:t>
      </w:r>
      <w:r>
        <w:rPr>
          <w:color w:val="212121"/>
          <w:szCs w:val="21"/>
          <w:shd w:val="clear" w:color="auto" w:fill="FFFFFF"/>
        </w:rPr>
        <w:t>, Cao J</w:t>
      </w:r>
      <w:r>
        <w:rPr>
          <w:color w:val="212121"/>
          <w:szCs w:val="21"/>
          <w:shd w:val="clear" w:color="auto" w:fill="FFFFFF"/>
          <w:vertAlign w:val="superscript"/>
        </w:rPr>
        <w:t>#</w:t>
      </w:r>
      <w:r>
        <w:rPr>
          <w:color w:val="212121"/>
          <w:szCs w:val="21"/>
          <w:shd w:val="clear" w:color="auto" w:fill="FFFFFF"/>
        </w:rPr>
        <w:t>, Xiang Y, Ma X, Bai Y, Lai Q, Tong C, Ma Z, Topatana W, Hu J, Li S, Juengpanich S, Yu H, Cai X. Hepatectomy strategy for T2 gallbladder cancer between segment IVb and V resection and wedge resection: A propensity score-matched study. Surgery. 2021 Jun;169(6):1304-1311.</w:t>
      </w:r>
      <w:r>
        <w:rPr>
          <w:rFonts w:hint="eastAsia"/>
          <w:color w:val="212121"/>
          <w:szCs w:val="21"/>
          <w:shd w:val="clear" w:color="auto" w:fill="FFFFFF"/>
        </w:rPr>
        <w:t xml:space="preserve"> （第一作者，影响因子</w:t>
      </w:r>
      <w:r>
        <w:rPr>
          <w:color w:val="212121"/>
          <w:szCs w:val="21"/>
          <w:shd w:val="clear" w:color="auto" w:fill="FFFFFF"/>
        </w:rPr>
        <w:t>: 3.98</w:t>
      </w:r>
      <w:r>
        <w:rPr>
          <w:rFonts w:hint="eastAsia"/>
          <w:color w:val="212121"/>
          <w:szCs w:val="21"/>
          <w:shd w:val="clear" w:color="auto" w:fill="FFFFFF"/>
        </w:rPr>
        <w:t>，引用次数：</w:t>
      </w:r>
      <w:r>
        <w:rPr>
          <w:color w:val="212121"/>
          <w:szCs w:val="21"/>
          <w:shd w:val="clear" w:color="auto" w:fill="FFFFFF"/>
        </w:rPr>
        <w:t>9</w:t>
      </w:r>
      <w:r>
        <w:rPr>
          <w:rFonts w:hint="eastAsia"/>
          <w:color w:val="212121"/>
          <w:szCs w:val="21"/>
          <w:shd w:val="clear" w:color="auto" w:fill="FFFFFF"/>
        </w:rPr>
        <w:t>）</w:t>
      </w:r>
    </w:p>
    <w:p>
      <w:pPr>
        <w:pStyle w:val="8"/>
        <w:snapToGrid w:val="0"/>
        <w:spacing w:line="500" w:lineRule="exact"/>
        <w:ind w:firstLine="0" w:firstLineChars="0"/>
        <w:rPr>
          <w:rFonts w:hint="eastAsia" w:ascii="Times New Roman"/>
          <w:color w:val="000000"/>
          <w:kern w:val="0"/>
          <w:sz w:val="28"/>
          <w:szCs w:val="28"/>
        </w:rPr>
      </w:pPr>
      <w:r>
        <w:rPr>
          <w:rFonts w:ascii="Times New Roman"/>
          <w:color w:val="000000"/>
          <w:kern w:val="0"/>
          <w:sz w:val="28"/>
          <w:szCs w:val="28"/>
        </w:rPr>
        <w:t>主要知识产权和标准规范等目录：</w:t>
      </w:r>
    </w:p>
    <w:p>
      <w:pPr>
        <w:adjustRightInd w:val="0"/>
        <w:snapToGrid w:val="0"/>
        <w:spacing w:line="400" w:lineRule="exact"/>
        <w:jc w:val="left"/>
      </w:pPr>
      <w:r>
        <w:rPr>
          <w:rFonts w:hint="eastAsia"/>
          <w:b/>
          <w:bCs/>
        </w:rPr>
        <w:t>专利1：</w:t>
      </w:r>
      <w:r>
        <w:rPr>
          <w:rFonts w:hint="eastAsia"/>
        </w:rPr>
        <w:t>可吸收单向压缩性肠肠吻合器，蔡秀军；</w:t>
      </w:r>
      <w:r>
        <w:rPr>
          <w:rFonts w:hint="eastAsia"/>
          <w:b/>
          <w:bCs/>
          <w:u w:val="single"/>
        </w:rPr>
        <w:t>陈鸣宇</w:t>
      </w:r>
      <w:r>
        <w:rPr>
          <w:rFonts w:hint="eastAsia"/>
        </w:rPr>
        <w:t>；陆琛；王一帆；黄迪宇；祝和攀；朱艺斌；2</w:t>
      </w:r>
      <w:r>
        <w:t>016</w:t>
      </w:r>
      <w:r>
        <w:rPr>
          <w:rFonts w:hint="eastAsia"/>
        </w:rPr>
        <w:t>，</w:t>
      </w:r>
      <w:r>
        <w:t>ZL 201610863689.X, 2018</w:t>
      </w:r>
      <w:r>
        <w:rPr>
          <w:rFonts w:hint="eastAsia"/>
        </w:rPr>
        <w:t>；专利实施情况：专利中的产品已完成动物实验，目前正常开展临床前试验，也正在与器械厂家洽谈生产和转化事宜。（同时获得澳大利亚、日本、韩国、欧盟专利局批准</w:t>
      </w:r>
      <w:r>
        <w:t>)</w:t>
      </w:r>
    </w:p>
    <w:p>
      <w:pPr>
        <w:adjustRightInd w:val="0"/>
        <w:snapToGrid w:val="0"/>
        <w:spacing w:line="400" w:lineRule="exact"/>
        <w:jc w:val="left"/>
      </w:pPr>
      <w:r>
        <w:rPr>
          <w:rFonts w:hint="eastAsia"/>
          <w:b/>
          <w:bCs/>
        </w:rPr>
        <w:t>专利</w:t>
      </w:r>
      <w:r>
        <w:rPr>
          <w:b/>
          <w:bCs/>
        </w:rPr>
        <w:t>2</w:t>
      </w:r>
      <w:r>
        <w:rPr>
          <w:rFonts w:hint="eastAsia"/>
          <w:b/>
          <w:bCs/>
        </w:rPr>
        <w:t>：</w:t>
      </w:r>
      <w:r>
        <w:rPr>
          <w:rFonts w:hint="eastAsia"/>
        </w:rPr>
        <w:t>一种可降解的肠道完全转流支架,</w:t>
      </w:r>
      <w:r>
        <w:t xml:space="preserve"> </w:t>
      </w:r>
      <w:r>
        <w:rPr>
          <w:rFonts w:hint="eastAsia"/>
        </w:rPr>
        <w:t>蔡秀军；吴仲禺；</w:t>
      </w:r>
      <w:r>
        <w:rPr>
          <w:rFonts w:hint="eastAsia"/>
          <w:b/>
          <w:bCs/>
          <w:u w:val="single"/>
        </w:rPr>
        <w:t>陈鸣宇</w:t>
      </w:r>
      <w:r>
        <w:rPr>
          <w:rFonts w:hint="eastAsia"/>
        </w:rPr>
        <w:t>；黄迪宇；王一帆；石磊；戴炜建，马艳丽，2</w:t>
      </w:r>
      <w:r>
        <w:t>019</w:t>
      </w:r>
      <w:r>
        <w:rPr>
          <w:rFonts w:hint="eastAsia"/>
        </w:rPr>
        <w:t>，Z</w:t>
      </w:r>
      <w:r>
        <w:t>L 201910794214.3, 2021.4.2</w:t>
      </w:r>
      <w:r>
        <w:rPr>
          <w:rFonts w:hint="eastAsia"/>
        </w:rPr>
        <w:t>；专利实施情况：杭州圣石科技有限公司已生产专利中的产品，并已在临床上开展应用，效果显著，产品已被纳入医保。</w:t>
      </w:r>
    </w:p>
    <w:p>
      <w:pPr>
        <w:adjustRightInd w:val="0"/>
        <w:snapToGrid w:val="0"/>
        <w:spacing w:line="400" w:lineRule="exact"/>
        <w:jc w:val="left"/>
        <w:rPr>
          <w:sz w:val="24"/>
          <w:szCs w:val="32"/>
        </w:rPr>
      </w:pPr>
      <w:r>
        <w:rPr>
          <w:rFonts w:hint="eastAsia"/>
          <w:b/>
          <w:bCs/>
        </w:rPr>
        <w:t>专利</w:t>
      </w:r>
      <w:r>
        <w:rPr>
          <w:b/>
          <w:bCs/>
        </w:rPr>
        <w:t>3</w:t>
      </w:r>
      <w:r>
        <w:rPr>
          <w:rFonts w:hint="eastAsia"/>
          <w:b/>
          <w:bCs/>
        </w:rPr>
        <w:t>（软著）</w:t>
      </w:r>
      <w:r>
        <w:rPr>
          <w:rFonts w:hint="eastAsia"/>
        </w:rPr>
        <w:t>：个体化肠外营养方案配置软件</w:t>
      </w:r>
      <w:r>
        <w:t xml:space="preserve"> [</w:t>
      </w:r>
      <w:r>
        <w:rPr>
          <w:rFonts w:hint="eastAsia"/>
        </w:rPr>
        <w:t>简称</w:t>
      </w:r>
      <w:r>
        <w:t xml:space="preserve">:TPN] V1.0, </w:t>
      </w:r>
      <w:r>
        <w:rPr>
          <w:rFonts w:hint="eastAsia"/>
          <w:b/>
          <w:bCs/>
          <w:u w:val="single"/>
        </w:rPr>
        <w:t>陈鸣宇</w:t>
      </w:r>
      <w:r>
        <w:rPr>
          <w:rFonts w:hint="eastAsia"/>
        </w:rPr>
        <w:t>，2</w:t>
      </w:r>
      <w:r>
        <w:t>021</w:t>
      </w:r>
      <w:r>
        <w:rPr>
          <w:rFonts w:hint="eastAsia"/>
        </w:rPr>
        <w:t>，</w:t>
      </w:r>
      <w:r>
        <w:t>2021SR1666702, 2021.3</w:t>
      </w:r>
      <w:r>
        <w:rPr>
          <w:rFonts w:hint="eastAsia"/>
        </w:rPr>
        <w:t>。专利实施情况：该软件/平台目前已上线，免费向医务人员开放，平台使用次数达2万</w:t>
      </w:r>
      <w:r>
        <w:t>+</w:t>
      </w:r>
      <w:r>
        <w:rPr>
          <w:rFonts w:hint="eastAsia"/>
        </w:rPr>
        <w:t>，超过</w:t>
      </w:r>
      <w:r>
        <w:t>1</w:t>
      </w:r>
      <w:r>
        <w:rPr>
          <w:rFonts w:hint="eastAsia"/>
        </w:rPr>
        <w:t>万名医生使用过。</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OGM3NzVjY2Q3MzMwZDBiYjA4NDUwMmIxYWJmYzYifQ=="/>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43B8"/>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6C22"/>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17B92"/>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4D78467B"/>
    <w:rsid w:val="5771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customStyle="1" w:styleId="8">
    <w:name w:val="_Style 8"/>
    <w:basedOn w:val="1"/>
    <w:next w:val="1"/>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2964</Characters>
  <Lines>24</Lines>
  <Paragraphs>6</Paragraphs>
  <TotalTime>1</TotalTime>
  <ScaleCrop>false</ScaleCrop>
  <LinksUpToDate>false</LinksUpToDate>
  <CharactersWithSpaces>3308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2023-04-13T05:27:00Z</dcterms:created>
  <dc:creator>255</dc:creator>
  <cp:lastModifiedBy>乡关何处</cp:lastModifiedBy>
  <dcterms:modified xsi:type="dcterms:W3CDTF">2023-04-14T00:54:57Z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4B6778EEE24F4F3984B9F8E85EB71D23_12</vt:lpwstr>
  </property>
</Properties>
</file>