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30" w:rsidRDefault="001C01BF">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rsidR="00AC0C30" w:rsidRDefault="00AC0C30" w:rsidP="001C01BF">
      <w:pPr>
        <w:adjustRightInd w:val="0"/>
        <w:snapToGrid w:val="0"/>
        <w:spacing w:line="500" w:lineRule="exact"/>
        <w:ind w:firstLineChars="196" w:firstLine="608"/>
        <w:rPr>
          <w:color w:val="000000"/>
          <w:kern w:val="0"/>
          <w:sz w:val="31"/>
          <w:szCs w:val="31"/>
        </w:rPr>
      </w:pPr>
    </w:p>
    <w:p w:rsidR="00AC0C30" w:rsidRDefault="001C01BF">
      <w:pPr>
        <w:adjustRightInd w:val="0"/>
        <w:snapToGrid w:val="0"/>
        <w:spacing w:line="500" w:lineRule="exact"/>
        <w:rPr>
          <w:color w:val="000000"/>
          <w:kern w:val="0"/>
          <w:sz w:val="28"/>
          <w:szCs w:val="28"/>
        </w:rPr>
      </w:pPr>
      <w:bookmarkStart w:id="0" w:name="_GoBack"/>
      <w:bookmarkEnd w:id="0"/>
      <w:r>
        <w:rPr>
          <w:color w:val="000000"/>
          <w:kern w:val="0"/>
          <w:sz w:val="28"/>
          <w:szCs w:val="28"/>
        </w:rPr>
        <w:t>奖项类别：华夏医学科技奖</w:t>
      </w:r>
    </w:p>
    <w:p w:rsidR="00AC0C30" w:rsidRDefault="00AC0C30">
      <w:pPr>
        <w:adjustRightInd w:val="0"/>
        <w:snapToGrid w:val="0"/>
        <w:spacing w:line="500" w:lineRule="exact"/>
        <w:rPr>
          <w:color w:val="000000"/>
          <w:kern w:val="0"/>
          <w:sz w:val="28"/>
          <w:szCs w:val="28"/>
        </w:rPr>
      </w:pPr>
    </w:p>
    <w:p w:rsidR="00AC0C30" w:rsidRDefault="001C01BF">
      <w:pPr>
        <w:adjustRightInd w:val="0"/>
        <w:snapToGrid w:val="0"/>
        <w:spacing w:line="500" w:lineRule="exact"/>
        <w:rPr>
          <w:color w:val="000000"/>
          <w:kern w:val="0"/>
          <w:sz w:val="28"/>
          <w:szCs w:val="28"/>
        </w:rPr>
      </w:pPr>
      <w:r>
        <w:rPr>
          <w:color w:val="000000"/>
          <w:kern w:val="0"/>
          <w:sz w:val="28"/>
          <w:szCs w:val="28"/>
        </w:rPr>
        <w:t>项目名称：</w:t>
      </w:r>
      <w:r>
        <w:rPr>
          <w:color w:val="000000"/>
          <w:kern w:val="0"/>
          <w:sz w:val="28"/>
          <w:szCs w:val="28"/>
        </w:rPr>
        <w:t xml:space="preserve"> </w:t>
      </w:r>
      <w:r>
        <w:rPr>
          <w:color w:val="000000"/>
          <w:kern w:val="0"/>
          <w:sz w:val="28"/>
          <w:szCs w:val="28"/>
        </w:rPr>
        <w:t>急性缺血性卒中创新诊疗体系的建立及推广应用</w:t>
      </w:r>
    </w:p>
    <w:p w:rsidR="00AC0C30" w:rsidRDefault="00AC0C30">
      <w:pPr>
        <w:adjustRightInd w:val="0"/>
        <w:snapToGrid w:val="0"/>
        <w:spacing w:line="500" w:lineRule="exact"/>
        <w:rPr>
          <w:color w:val="000000"/>
          <w:kern w:val="0"/>
          <w:sz w:val="28"/>
          <w:szCs w:val="28"/>
        </w:rPr>
      </w:pPr>
    </w:p>
    <w:p w:rsidR="00AC0C30" w:rsidRDefault="001C01BF">
      <w:pPr>
        <w:tabs>
          <w:tab w:val="left" w:pos="3575"/>
        </w:tabs>
        <w:adjustRightInd w:val="0"/>
        <w:snapToGrid w:val="0"/>
        <w:spacing w:line="500" w:lineRule="exact"/>
        <w:rPr>
          <w:color w:val="000000"/>
          <w:kern w:val="0"/>
          <w:sz w:val="28"/>
          <w:szCs w:val="28"/>
        </w:rPr>
      </w:pPr>
      <w:r>
        <w:rPr>
          <w:color w:val="000000"/>
          <w:kern w:val="0"/>
          <w:sz w:val="28"/>
          <w:szCs w:val="28"/>
        </w:rPr>
        <w:t>主要完成人：</w:t>
      </w:r>
      <w:r>
        <w:rPr>
          <w:rFonts w:hint="eastAsia"/>
          <w:color w:val="000000"/>
          <w:kern w:val="0"/>
          <w:sz w:val="28"/>
          <w:szCs w:val="28"/>
        </w:rPr>
        <w:t>楼敏，周颖，钟晚思，陈逸，严慎强，陈智才，张旭婷，贺耀德，张珂萌，胡海涛，童璐莎</w:t>
      </w:r>
    </w:p>
    <w:p w:rsidR="00AC0C30" w:rsidRDefault="00AC0C30">
      <w:pPr>
        <w:adjustRightInd w:val="0"/>
        <w:snapToGrid w:val="0"/>
        <w:spacing w:line="500" w:lineRule="exact"/>
        <w:rPr>
          <w:color w:val="000000"/>
          <w:kern w:val="0"/>
          <w:sz w:val="28"/>
          <w:szCs w:val="28"/>
        </w:rPr>
      </w:pPr>
    </w:p>
    <w:p w:rsidR="00AC0C30" w:rsidRDefault="001C01BF">
      <w:pPr>
        <w:adjustRightInd w:val="0"/>
        <w:snapToGrid w:val="0"/>
        <w:spacing w:line="500" w:lineRule="exact"/>
        <w:rPr>
          <w:color w:val="000000"/>
          <w:kern w:val="0"/>
          <w:sz w:val="28"/>
          <w:szCs w:val="28"/>
        </w:rPr>
      </w:pPr>
      <w:r>
        <w:rPr>
          <w:color w:val="000000"/>
          <w:kern w:val="0"/>
          <w:sz w:val="28"/>
          <w:szCs w:val="28"/>
        </w:rPr>
        <w:t>主要完成单位：</w:t>
      </w:r>
      <w:r>
        <w:rPr>
          <w:rFonts w:hint="eastAsia"/>
          <w:color w:val="000000"/>
          <w:kern w:val="0"/>
          <w:sz w:val="28"/>
          <w:szCs w:val="28"/>
        </w:rPr>
        <w:t>浙江大学</w:t>
      </w:r>
    </w:p>
    <w:p w:rsidR="00AC0C30" w:rsidRDefault="00AC0C30">
      <w:pPr>
        <w:adjustRightInd w:val="0"/>
        <w:snapToGrid w:val="0"/>
        <w:spacing w:line="500" w:lineRule="exact"/>
        <w:rPr>
          <w:color w:val="000000"/>
          <w:kern w:val="0"/>
          <w:sz w:val="28"/>
          <w:szCs w:val="28"/>
        </w:rPr>
      </w:pPr>
    </w:p>
    <w:p w:rsidR="00AC0C30" w:rsidRDefault="001C01BF">
      <w:pPr>
        <w:adjustRightInd w:val="0"/>
        <w:snapToGrid w:val="0"/>
        <w:spacing w:line="500" w:lineRule="exact"/>
        <w:rPr>
          <w:color w:val="000000"/>
          <w:kern w:val="0"/>
          <w:sz w:val="28"/>
          <w:szCs w:val="28"/>
        </w:rPr>
      </w:pPr>
      <w:r>
        <w:rPr>
          <w:color w:val="000000"/>
          <w:kern w:val="0"/>
          <w:sz w:val="28"/>
          <w:szCs w:val="28"/>
        </w:rPr>
        <w:t>项目简介：</w:t>
      </w:r>
      <w:r>
        <w:rPr>
          <w:color w:val="000000"/>
          <w:kern w:val="0"/>
          <w:sz w:val="28"/>
          <w:szCs w:val="28"/>
        </w:rPr>
        <w:t xml:space="preserve"> </w:t>
      </w:r>
    </w:p>
    <w:p w:rsidR="00AC0C30" w:rsidRDefault="001C01BF">
      <w:pPr>
        <w:snapToGrid w:val="0"/>
        <w:spacing w:line="360" w:lineRule="exact"/>
        <w:ind w:firstLineChars="200" w:firstLine="480"/>
        <w:rPr>
          <w:sz w:val="24"/>
          <w:szCs w:val="24"/>
        </w:rPr>
      </w:pPr>
      <w:r>
        <w:rPr>
          <w:sz w:val="24"/>
          <w:szCs w:val="24"/>
        </w:rPr>
        <w:t>我国卒中终生发病风险为</w:t>
      </w:r>
      <w:r>
        <w:rPr>
          <w:sz w:val="24"/>
          <w:szCs w:val="24"/>
        </w:rPr>
        <w:t>39.9%</w:t>
      </w:r>
      <w:r>
        <w:rPr>
          <w:sz w:val="24"/>
          <w:szCs w:val="24"/>
        </w:rPr>
        <w:t>，位居全球首位，缺血性卒中占全部脑卒中的</w:t>
      </w:r>
      <w:r>
        <w:rPr>
          <w:sz w:val="24"/>
          <w:szCs w:val="24"/>
        </w:rPr>
        <w:t>60-80%</w:t>
      </w:r>
      <w:r>
        <w:rPr>
          <w:sz w:val="24"/>
          <w:szCs w:val="24"/>
        </w:rPr>
        <w:t>，具有高发病率、高致残率、高病死率的特点，造成了巨大的社会和经济负担。</w:t>
      </w:r>
      <w:r>
        <w:rPr>
          <w:rFonts w:hint="eastAsia"/>
          <w:sz w:val="24"/>
          <w:szCs w:val="24"/>
          <w:lang w:eastAsia="zh-Hans"/>
        </w:rPr>
        <w:t>再灌注治疗是国内外指南推荐的急性缺血性卒中最有效的治疗手段，但再灌注风险及相应的脑缺血性损伤是上述治疗最常见的问题</w:t>
      </w:r>
      <w:r>
        <w:rPr>
          <w:rFonts w:hint="eastAsia"/>
          <w:sz w:val="24"/>
          <w:szCs w:val="24"/>
        </w:rPr>
        <w:t>。</w:t>
      </w:r>
      <w:r>
        <w:rPr>
          <w:rFonts w:hint="eastAsia"/>
          <w:sz w:val="24"/>
          <w:szCs w:val="24"/>
          <w:lang w:eastAsia="zh-Hans"/>
        </w:rPr>
        <w:t>针对急性</w:t>
      </w:r>
      <w:r>
        <w:rPr>
          <w:sz w:val="24"/>
          <w:szCs w:val="24"/>
        </w:rPr>
        <w:t>缺血性卒中救治过程中存在诊治</w:t>
      </w:r>
      <w:r>
        <w:rPr>
          <w:rFonts w:hint="eastAsia"/>
          <w:sz w:val="24"/>
          <w:szCs w:val="24"/>
          <w:lang w:eastAsia="zh-Hans"/>
        </w:rPr>
        <w:t>时间延误</w:t>
      </w:r>
      <w:r>
        <w:rPr>
          <w:sz w:val="24"/>
          <w:szCs w:val="24"/>
        </w:rPr>
        <w:t>、</w:t>
      </w:r>
      <w:r>
        <w:rPr>
          <w:rFonts w:hint="eastAsia"/>
          <w:sz w:val="24"/>
          <w:szCs w:val="24"/>
        </w:rPr>
        <w:t>难以</w:t>
      </w:r>
      <w:r>
        <w:rPr>
          <w:sz w:val="24"/>
          <w:szCs w:val="24"/>
        </w:rPr>
        <w:t>对再灌注风险进行科学预测</w:t>
      </w:r>
      <w:r>
        <w:rPr>
          <w:rFonts w:hint="eastAsia"/>
          <w:sz w:val="24"/>
          <w:szCs w:val="24"/>
        </w:rPr>
        <w:t>、</w:t>
      </w:r>
      <w:r>
        <w:rPr>
          <w:rFonts w:hint="eastAsia"/>
          <w:sz w:val="24"/>
          <w:szCs w:val="24"/>
          <w:lang w:eastAsia="zh-Hans"/>
        </w:rPr>
        <w:t>缺乏</w:t>
      </w:r>
      <w:r>
        <w:rPr>
          <w:rFonts w:hint="eastAsia"/>
          <w:sz w:val="24"/>
          <w:szCs w:val="24"/>
        </w:rPr>
        <w:t>脑缺血性损伤</w:t>
      </w:r>
      <w:r>
        <w:rPr>
          <w:rFonts w:hint="eastAsia"/>
          <w:sz w:val="24"/>
          <w:szCs w:val="24"/>
          <w:lang w:eastAsia="zh-Hans"/>
        </w:rPr>
        <w:t>的有效治疗方案</w:t>
      </w:r>
      <w:r>
        <w:rPr>
          <w:rFonts w:hint="eastAsia"/>
          <w:sz w:val="24"/>
          <w:szCs w:val="24"/>
        </w:rPr>
        <w:t>等</w:t>
      </w:r>
      <w:r>
        <w:rPr>
          <w:rFonts w:hint="eastAsia"/>
          <w:sz w:val="24"/>
          <w:szCs w:val="24"/>
          <w:lang w:eastAsia="zh-Hans"/>
        </w:rPr>
        <w:t>瓶颈</w:t>
      </w:r>
      <w:r>
        <w:rPr>
          <w:sz w:val="24"/>
          <w:szCs w:val="24"/>
        </w:rPr>
        <w:t>问题，</w:t>
      </w:r>
      <w:r>
        <w:rPr>
          <w:rFonts w:hint="eastAsia"/>
          <w:b/>
          <w:bCs/>
          <w:sz w:val="24"/>
          <w:szCs w:val="24"/>
        </w:rPr>
        <w:t>研究团队</w:t>
      </w:r>
      <w:r>
        <w:rPr>
          <w:b/>
          <w:bCs/>
          <w:sz w:val="24"/>
          <w:szCs w:val="24"/>
        </w:rPr>
        <w:t>自</w:t>
      </w:r>
      <w:r>
        <w:rPr>
          <w:b/>
          <w:bCs/>
          <w:sz w:val="24"/>
          <w:szCs w:val="24"/>
        </w:rPr>
        <w:t>201</w:t>
      </w:r>
      <w:r>
        <w:rPr>
          <w:rFonts w:hint="eastAsia"/>
          <w:b/>
          <w:bCs/>
          <w:sz w:val="24"/>
          <w:szCs w:val="24"/>
        </w:rPr>
        <w:t>1</w:t>
      </w:r>
      <w:r>
        <w:rPr>
          <w:b/>
          <w:bCs/>
          <w:sz w:val="24"/>
          <w:szCs w:val="24"/>
        </w:rPr>
        <w:t>年以来开展了系列研究，取得如下成果：</w:t>
      </w:r>
    </w:p>
    <w:p w:rsidR="00AC0C30" w:rsidRDefault="001C01BF">
      <w:pPr>
        <w:snapToGrid w:val="0"/>
        <w:spacing w:line="360" w:lineRule="exact"/>
        <w:rPr>
          <w:sz w:val="24"/>
          <w:szCs w:val="24"/>
        </w:rPr>
      </w:pPr>
      <w:r>
        <w:rPr>
          <w:b/>
          <w:bCs/>
          <w:sz w:val="24"/>
          <w:szCs w:val="24"/>
        </w:rPr>
        <w:t>1</w:t>
      </w:r>
      <w:r>
        <w:rPr>
          <w:b/>
          <w:bCs/>
          <w:sz w:val="24"/>
          <w:szCs w:val="24"/>
        </w:rPr>
        <w:t>、显著优化了急性缺血性卒中的救治</w:t>
      </w:r>
      <w:r>
        <w:rPr>
          <w:b/>
          <w:sz w:val="24"/>
          <w:szCs w:val="24"/>
        </w:rPr>
        <w:t>流程</w:t>
      </w:r>
      <w:r>
        <w:rPr>
          <w:sz w:val="24"/>
          <w:szCs w:val="24"/>
        </w:rPr>
        <w:t>：</w:t>
      </w:r>
      <w:r>
        <w:rPr>
          <w:rFonts w:hint="eastAsia"/>
          <w:sz w:val="24"/>
          <w:szCs w:val="24"/>
        </w:rPr>
        <w:t>建立了数据驱动的集院前</w:t>
      </w:r>
      <w:r>
        <w:rPr>
          <w:rFonts w:hint="eastAsia"/>
          <w:sz w:val="24"/>
          <w:szCs w:val="24"/>
        </w:rPr>
        <w:t>-</w:t>
      </w:r>
      <w:r>
        <w:rPr>
          <w:rFonts w:hint="eastAsia"/>
          <w:sz w:val="24"/>
          <w:szCs w:val="24"/>
        </w:rPr>
        <w:t>院内联动、个体化再灌注治疗、早期病因防治为一体的“一站式”诊疗流程，在国内领先的信息化数据平台和人工智能技术的辅助下，实现了缺血性卒中的精准评估及</w:t>
      </w:r>
      <w:r>
        <w:rPr>
          <w:rFonts w:hint="eastAsia"/>
          <w:sz w:val="24"/>
          <w:szCs w:val="24"/>
          <w:lang w:eastAsia="zh-Hans"/>
        </w:rPr>
        <w:t>快速诊</w:t>
      </w:r>
      <w:r>
        <w:rPr>
          <w:rFonts w:hint="eastAsia"/>
          <w:sz w:val="24"/>
          <w:szCs w:val="24"/>
        </w:rPr>
        <w:t>疗，极大缩短了卒中的急救时间，降低了住院卒中死亡率，显著提高了缺血性卒中患者的预后。</w:t>
      </w:r>
    </w:p>
    <w:p w:rsidR="00AC0C30" w:rsidRDefault="001C01BF">
      <w:pPr>
        <w:snapToGrid w:val="0"/>
        <w:spacing w:line="360" w:lineRule="exact"/>
        <w:rPr>
          <w:bCs/>
          <w:sz w:val="24"/>
          <w:szCs w:val="24"/>
        </w:rPr>
      </w:pPr>
      <w:r>
        <w:rPr>
          <w:b/>
          <w:bCs/>
          <w:sz w:val="24"/>
          <w:szCs w:val="24"/>
        </w:rPr>
        <w:t>2</w:t>
      </w:r>
      <w:r>
        <w:rPr>
          <w:b/>
          <w:bCs/>
          <w:sz w:val="24"/>
          <w:szCs w:val="24"/>
        </w:rPr>
        <w:t>、建立了基于多模式影像技术的</w:t>
      </w:r>
      <w:r>
        <w:rPr>
          <w:rFonts w:hint="eastAsia"/>
          <w:b/>
          <w:bCs/>
          <w:sz w:val="24"/>
          <w:szCs w:val="24"/>
        </w:rPr>
        <w:t>缺血性卒中再灌注治疗风险及病因评估体系</w:t>
      </w:r>
      <w:r>
        <w:rPr>
          <w:rFonts w:hint="eastAsia"/>
          <w:sz w:val="24"/>
          <w:szCs w:val="24"/>
        </w:rPr>
        <w:t>：</w:t>
      </w:r>
      <w:r>
        <w:rPr>
          <w:rFonts w:hint="eastAsia"/>
          <w:bCs/>
          <w:sz w:val="24"/>
          <w:szCs w:val="24"/>
        </w:rPr>
        <w:t>采用多模态灌注、血栓、动静脉整体评估的影像组学技术，结合数据挖掘与人工智能技术，成功构建了一个无创条件下</w:t>
      </w:r>
      <w:proofErr w:type="gramStart"/>
      <w:r>
        <w:rPr>
          <w:rFonts w:hint="eastAsia"/>
          <w:bCs/>
          <w:sz w:val="24"/>
          <w:szCs w:val="24"/>
        </w:rPr>
        <w:t>评估再</w:t>
      </w:r>
      <w:proofErr w:type="gramEnd"/>
      <w:r>
        <w:rPr>
          <w:rFonts w:hint="eastAsia"/>
          <w:bCs/>
          <w:sz w:val="24"/>
          <w:szCs w:val="24"/>
        </w:rPr>
        <w:t>灌注治疗风险及病因分型的</w:t>
      </w:r>
      <w:r>
        <w:rPr>
          <w:rFonts w:hint="eastAsia"/>
          <w:bCs/>
          <w:sz w:val="24"/>
          <w:szCs w:val="24"/>
          <w:lang w:eastAsia="zh-Hans"/>
        </w:rPr>
        <w:t>精准</w:t>
      </w:r>
      <w:r>
        <w:rPr>
          <w:rFonts w:hint="eastAsia"/>
          <w:bCs/>
          <w:sz w:val="24"/>
          <w:szCs w:val="24"/>
        </w:rPr>
        <w:t>辅助决策平台，为指导急性缺血性卒中患者的个体化诊疗和二级预防方案的制定提供了科学依据。</w:t>
      </w:r>
    </w:p>
    <w:p w:rsidR="00AC0C30" w:rsidRDefault="001C01BF">
      <w:pPr>
        <w:snapToGrid w:val="0"/>
        <w:spacing w:line="360" w:lineRule="exact"/>
        <w:rPr>
          <w:bCs/>
          <w:sz w:val="24"/>
          <w:szCs w:val="24"/>
        </w:rPr>
      </w:pPr>
      <w:r>
        <w:rPr>
          <w:b/>
          <w:bCs/>
          <w:sz w:val="24"/>
          <w:szCs w:val="24"/>
        </w:rPr>
        <w:t>3</w:t>
      </w:r>
      <w:r>
        <w:rPr>
          <w:b/>
          <w:bCs/>
          <w:sz w:val="24"/>
          <w:szCs w:val="24"/>
        </w:rPr>
        <w:t>、</w:t>
      </w:r>
      <w:r>
        <w:rPr>
          <w:rFonts w:hint="eastAsia"/>
          <w:b/>
          <w:bCs/>
          <w:sz w:val="24"/>
          <w:szCs w:val="24"/>
          <w:lang w:eastAsia="zh-Hans"/>
        </w:rPr>
        <w:t>提出</w:t>
      </w:r>
      <w:r>
        <w:rPr>
          <w:rFonts w:hint="eastAsia"/>
          <w:b/>
          <w:bCs/>
          <w:sz w:val="24"/>
          <w:szCs w:val="24"/>
        </w:rPr>
        <w:t>了脑缺血性损伤的病</w:t>
      </w:r>
      <w:r>
        <w:rPr>
          <w:rFonts w:hint="eastAsia"/>
          <w:b/>
          <w:bCs/>
          <w:sz w:val="24"/>
          <w:szCs w:val="24"/>
          <w:lang w:eastAsia="zh-Hans"/>
        </w:rPr>
        <w:t>变新</w:t>
      </w:r>
      <w:r>
        <w:rPr>
          <w:rFonts w:hint="eastAsia"/>
          <w:b/>
          <w:bCs/>
          <w:sz w:val="24"/>
          <w:szCs w:val="24"/>
        </w:rPr>
        <w:t>机制：</w:t>
      </w:r>
      <w:r>
        <w:rPr>
          <w:rFonts w:hint="eastAsia"/>
          <w:bCs/>
          <w:sz w:val="24"/>
          <w:szCs w:val="24"/>
        </w:rPr>
        <w:t>利用多模态影像队列及自主研发的</w:t>
      </w:r>
      <w:r>
        <w:rPr>
          <w:rFonts w:hint="eastAsia"/>
          <w:bCs/>
          <w:sz w:val="24"/>
          <w:szCs w:val="24"/>
          <w:lang w:eastAsia="zh-Hans"/>
        </w:rPr>
        <w:t>分析</w:t>
      </w:r>
      <w:r>
        <w:rPr>
          <w:rFonts w:hint="eastAsia"/>
          <w:bCs/>
          <w:sz w:val="24"/>
          <w:szCs w:val="24"/>
        </w:rPr>
        <w:t>技术，提出</w:t>
      </w:r>
      <w:proofErr w:type="gramStart"/>
      <w:r>
        <w:rPr>
          <w:rFonts w:hint="eastAsia"/>
          <w:bCs/>
          <w:sz w:val="24"/>
          <w:szCs w:val="24"/>
        </w:rPr>
        <w:t>了</w:t>
      </w:r>
      <w:r>
        <w:rPr>
          <w:rFonts w:hint="eastAsia"/>
          <w:bCs/>
          <w:sz w:val="24"/>
          <w:szCs w:val="24"/>
          <w:lang w:eastAsia="zh-Hans"/>
        </w:rPr>
        <w:t>脑</w:t>
      </w:r>
      <w:r>
        <w:rPr>
          <w:rFonts w:hint="eastAsia"/>
          <w:bCs/>
          <w:sz w:val="24"/>
          <w:szCs w:val="24"/>
        </w:rPr>
        <w:t>类淋巴系统</w:t>
      </w:r>
      <w:proofErr w:type="gramEnd"/>
      <w:r>
        <w:rPr>
          <w:rFonts w:hint="eastAsia"/>
          <w:bCs/>
          <w:sz w:val="24"/>
          <w:szCs w:val="24"/>
        </w:rPr>
        <w:t>及静脉</w:t>
      </w:r>
      <w:r>
        <w:rPr>
          <w:rFonts w:hint="eastAsia"/>
          <w:bCs/>
          <w:sz w:val="24"/>
          <w:szCs w:val="24"/>
          <w:lang w:eastAsia="zh-Hans"/>
        </w:rPr>
        <w:t>调控</w:t>
      </w:r>
      <w:r>
        <w:rPr>
          <w:rFonts w:hint="eastAsia"/>
          <w:bCs/>
          <w:sz w:val="24"/>
          <w:szCs w:val="24"/>
        </w:rPr>
        <w:t>在脑缺血性损伤中的全新机制，结合床</w:t>
      </w:r>
      <w:r>
        <w:rPr>
          <w:rFonts w:hint="eastAsia"/>
          <w:bCs/>
          <w:sz w:val="24"/>
          <w:szCs w:val="24"/>
          <w:lang w:eastAsia="zh-Hans"/>
        </w:rPr>
        <w:t>旁</w:t>
      </w:r>
      <w:r>
        <w:rPr>
          <w:rFonts w:hint="eastAsia"/>
          <w:bCs/>
          <w:sz w:val="24"/>
          <w:szCs w:val="24"/>
        </w:rPr>
        <w:t>检验及</w:t>
      </w:r>
      <w:proofErr w:type="gramStart"/>
      <w:r>
        <w:rPr>
          <w:rFonts w:hint="eastAsia"/>
          <w:bCs/>
          <w:sz w:val="24"/>
          <w:szCs w:val="24"/>
        </w:rPr>
        <w:t>临床大</w:t>
      </w:r>
      <w:proofErr w:type="gramEnd"/>
      <w:r>
        <w:rPr>
          <w:rFonts w:hint="eastAsia"/>
          <w:bCs/>
          <w:sz w:val="24"/>
          <w:szCs w:val="24"/>
        </w:rPr>
        <w:t>数据，</w:t>
      </w:r>
      <w:r>
        <w:rPr>
          <w:rFonts w:hint="eastAsia"/>
          <w:bCs/>
          <w:sz w:val="24"/>
          <w:szCs w:val="24"/>
          <w:lang w:eastAsia="zh-Hans"/>
        </w:rPr>
        <w:t>筛选</w:t>
      </w:r>
      <w:r>
        <w:rPr>
          <w:rFonts w:hint="eastAsia"/>
          <w:bCs/>
          <w:sz w:val="24"/>
          <w:szCs w:val="24"/>
        </w:rPr>
        <w:t>发现</w:t>
      </w:r>
      <w:proofErr w:type="gramStart"/>
      <w:r>
        <w:rPr>
          <w:rFonts w:hint="eastAsia"/>
          <w:bCs/>
          <w:sz w:val="24"/>
          <w:szCs w:val="24"/>
        </w:rPr>
        <w:t>脑利钠肽</w:t>
      </w:r>
      <w:proofErr w:type="gramEnd"/>
      <w:r>
        <w:rPr>
          <w:rFonts w:hint="eastAsia"/>
          <w:bCs/>
          <w:sz w:val="24"/>
          <w:szCs w:val="24"/>
        </w:rPr>
        <w:t>前体、纤维蛋白原、血钙、血压变异、血脑屏障通透性等在急性缺血性卒中再灌注损伤发生中的重要作用，为后续基础研究和临</w:t>
      </w:r>
      <w:r>
        <w:rPr>
          <w:rFonts w:hint="eastAsia"/>
          <w:bCs/>
          <w:sz w:val="24"/>
          <w:szCs w:val="24"/>
        </w:rPr>
        <w:t>床转化提供了新思路和方向。</w:t>
      </w:r>
    </w:p>
    <w:p w:rsidR="00AC0C30" w:rsidRDefault="001C01BF">
      <w:pPr>
        <w:snapToGrid w:val="0"/>
        <w:spacing w:line="360" w:lineRule="exact"/>
        <w:rPr>
          <w:sz w:val="24"/>
          <w:szCs w:val="24"/>
        </w:rPr>
      </w:pPr>
      <w:r>
        <w:rPr>
          <w:sz w:val="24"/>
          <w:szCs w:val="24"/>
        </w:rPr>
        <w:lastRenderedPageBreak/>
        <w:tab/>
      </w:r>
      <w:r>
        <w:rPr>
          <w:rFonts w:hint="eastAsia"/>
          <w:sz w:val="24"/>
          <w:szCs w:val="24"/>
        </w:rPr>
        <w:t>研究团队</w:t>
      </w:r>
      <w:r>
        <w:rPr>
          <w:sz w:val="24"/>
          <w:szCs w:val="24"/>
        </w:rPr>
        <w:t>相关技术的推广应用显著提高了全省急性缺血性卒中的诊</w:t>
      </w:r>
      <w:r>
        <w:rPr>
          <w:rFonts w:hint="eastAsia"/>
          <w:sz w:val="24"/>
          <w:szCs w:val="24"/>
          <w:lang w:eastAsia="zh-Hans"/>
        </w:rPr>
        <w:t>疗</w:t>
      </w:r>
      <w:r>
        <w:rPr>
          <w:sz w:val="24"/>
          <w:szCs w:val="24"/>
        </w:rPr>
        <w:t>水平。</w:t>
      </w:r>
      <w:r>
        <w:rPr>
          <w:rFonts w:hint="eastAsia"/>
          <w:sz w:val="24"/>
          <w:szCs w:val="24"/>
        </w:rPr>
        <w:t>自</w:t>
      </w:r>
      <w:r>
        <w:rPr>
          <w:rFonts w:hint="eastAsia"/>
          <w:sz w:val="24"/>
          <w:szCs w:val="24"/>
        </w:rPr>
        <w:t>2</w:t>
      </w:r>
      <w:r>
        <w:rPr>
          <w:sz w:val="24"/>
          <w:szCs w:val="24"/>
        </w:rPr>
        <w:t>01</w:t>
      </w:r>
      <w:r>
        <w:rPr>
          <w:rFonts w:hint="eastAsia"/>
          <w:sz w:val="24"/>
          <w:szCs w:val="24"/>
        </w:rPr>
        <w:t>1</w:t>
      </w:r>
      <w:r>
        <w:rPr>
          <w:rFonts w:hint="eastAsia"/>
          <w:sz w:val="24"/>
          <w:szCs w:val="24"/>
        </w:rPr>
        <w:t>年起，开展</w:t>
      </w:r>
      <w:r>
        <w:rPr>
          <w:rFonts w:hint="eastAsia"/>
          <w:bCs/>
          <w:sz w:val="24"/>
          <w:szCs w:val="24"/>
        </w:rPr>
        <w:t>缺血性卒中</w:t>
      </w:r>
      <w:r>
        <w:rPr>
          <w:rFonts w:hint="eastAsia"/>
          <w:sz w:val="24"/>
          <w:szCs w:val="24"/>
          <w:lang w:eastAsia="zh-Hans"/>
        </w:rPr>
        <w:t>再灌注治疗</w:t>
      </w:r>
      <w:r>
        <w:rPr>
          <w:rFonts w:hint="eastAsia"/>
          <w:sz w:val="24"/>
          <w:szCs w:val="24"/>
        </w:rPr>
        <w:t>急救流程培训及</w:t>
      </w:r>
      <w:r>
        <w:rPr>
          <w:rFonts w:hint="eastAsia"/>
          <w:sz w:val="24"/>
          <w:szCs w:val="24"/>
          <w:lang w:eastAsia="zh-Hans"/>
        </w:rPr>
        <w:t>现场</w:t>
      </w:r>
      <w:r>
        <w:rPr>
          <w:rFonts w:hint="eastAsia"/>
          <w:sz w:val="24"/>
          <w:szCs w:val="24"/>
        </w:rPr>
        <w:t>技术指导</w:t>
      </w:r>
      <w:r>
        <w:rPr>
          <w:sz w:val="24"/>
          <w:szCs w:val="24"/>
        </w:rPr>
        <w:t>400</w:t>
      </w:r>
      <w:r>
        <w:rPr>
          <w:rFonts w:hint="eastAsia"/>
          <w:sz w:val="24"/>
          <w:szCs w:val="24"/>
        </w:rPr>
        <w:t>余次，累计培训逾</w:t>
      </w:r>
      <w:r>
        <w:rPr>
          <w:sz w:val="24"/>
          <w:szCs w:val="24"/>
        </w:rPr>
        <w:t>2</w:t>
      </w:r>
      <w:r>
        <w:rPr>
          <w:rFonts w:hint="eastAsia"/>
          <w:sz w:val="24"/>
          <w:szCs w:val="24"/>
          <w:lang w:eastAsia="zh-Hans"/>
        </w:rPr>
        <w:t>万</w:t>
      </w:r>
      <w:r>
        <w:rPr>
          <w:rFonts w:hint="eastAsia"/>
          <w:sz w:val="24"/>
          <w:szCs w:val="24"/>
        </w:rPr>
        <w:t>人次；</w:t>
      </w:r>
      <w:r>
        <w:rPr>
          <w:rFonts w:hint="eastAsia"/>
          <w:bCs/>
          <w:sz w:val="24"/>
        </w:rPr>
        <w:t>自</w:t>
      </w:r>
      <w:r>
        <w:rPr>
          <w:rFonts w:hint="eastAsia"/>
          <w:bCs/>
          <w:sz w:val="24"/>
        </w:rPr>
        <w:t>2019</w:t>
      </w:r>
      <w:r>
        <w:rPr>
          <w:rFonts w:hint="eastAsia"/>
          <w:bCs/>
          <w:sz w:val="24"/>
        </w:rPr>
        <w:t>年起，面向全省神经内科医生开展了基于远程视频网络会议的卒中诊疗规范化培训，累计召开视频会议</w:t>
      </w:r>
      <w:r>
        <w:rPr>
          <w:bCs/>
          <w:sz w:val="24"/>
        </w:rPr>
        <w:t>50</w:t>
      </w:r>
      <w:r>
        <w:rPr>
          <w:rFonts w:hint="eastAsia"/>
          <w:bCs/>
          <w:sz w:val="24"/>
        </w:rPr>
        <w:t>0</w:t>
      </w:r>
      <w:r>
        <w:rPr>
          <w:rFonts w:hint="eastAsia"/>
          <w:bCs/>
          <w:sz w:val="24"/>
        </w:rPr>
        <w:t>余场</w:t>
      </w:r>
      <w:r>
        <w:rPr>
          <w:rFonts w:hint="eastAsia"/>
          <w:sz w:val="24"/>
          <w:szCs w:val="24"/>
        </w:rPr>
        <w:t>培训</w:t>
      </w:r>
      <w:r>
        <w:rPr>
          <w:sz w:val="24"/>
          <w:szCs w:val="24"/>
        </w:rPr>
        <w:t>3</w:t>
      </w:r>
      <w:r>
        <w:rPr>
          <w:rFonts w:hint="eastAsia"/>
          <w:sz w:val="24"/>
          <w:szCs w:val="24"/>
        </w:rPr>
        <w:t>万</w:t>
      </w:r>
      <w:r>
        <w:rPr>
          <w:rFonts w:hint="eastAsia"/>
          <w:sz w:val="24"/>
          <w:szCs w:val="24"/>
          <w:lang w:eastAsia="zh-Hans"/>
        </w:rPr>
        <w:t>余</w:t>
      </w:r>
      <w:r>
        <w:rPr>
          <w:rFonts w:hint="eastAsia"/>
          <w:sz w:val="24"/>
          <w:szCs w:val="24"/>
        </w:rPr>
        <w:t>人次</w:t>
      </w:r>
      <w:r>
        <w:rPr>
          <w:rFonts w:hint="eastAsia"/>
          <w:bCs/>
          <w:sz w:val="24"/>
        </w:rPr>
        <w:t>。</w:t>
      </w:r>
      <w:r>
        <w:rPr>
          <w:sz w:val="24"/>
          <w:szCs w:val="24"/>
        </w:rPr>
        <w:t>截止</w:t>
      </w:r>
      <w:r>
        <w:rPr>
          <w:sz w:val="24"/>
          <w:szCs w:val="24"/>
        </w:rPr>
        <w:t>2022</w:t>
      </w:r>
      <w:r>
        <w:rPr>
          <w:sz w:val="24"/>
          <w:szCs w:val="24"/>
        </w:rPr>
        <w:t>年</w:t>
      </w:r>
      <w:r>
        <w:rPr>
          <w:sz w:val="24"/>
          <w:szCs w:val="24"/>
        </w:rPr>
        <w:t>12</w:t>
      </w:r>
      <w:r>
        <w:rPr>
          <w:sz w:val="24"/>
          <w:szCs w:val="24"/>
        </w:rPr>
        <w:t>月</w:t>
      </w:r>
      <w:r>
        <w:rPr>
          <w:sz w:val="24"/>
          <w:szCs w:val="24"/>
        </w:rPr>
        <w:t>31</w:t>
      </w:r>
      <w:r>
        <w:rPr>
          <w:sz w:val="24"/>
          <w:szCs w:val="24"/>
        </w:rPr>
        <w:t>日，</w:t>
      </w:r>
      <w:r>
        <w:rPr>
          <w:rFonts w:hint="eastAsia"/>
          <w:sz w:val="24"/>
          <w:szCs w:val="24"/>
        </w:rPr>
        <w:t>研究团队优化的急性缺血性卒中救治流程、再灌注治疗风险及病因评估体系已</w:t>
      </w:r>
      <w:r>
        <w:rPr>
          <w:rFonts w:hint="eastAsia"/>
          <w:sz w:val="24"/>
          <w:szCs w:val="24"/>
          <w:lang w:eastAsia="zh-Hans"/>
        </w:rPr>
        <w:t>利用省级质控中心平台</w:t>
      </w:r>
      <w:r>
        <w:rPr>
          <w:rFonts w:hint="eastAsia"/>
          <w:sz w:val="24"/>
          <w:szCs w:val="24"/>
        </w:rPr>
        <w:t>在浙江省</w:t>
      </w:r>
      <w:r>
        <w:rPr>
          <w:sz w:val="24"/>
          <w:szCs w:val="24"/>
        </w:rPr>
        <w:t>181</w:t>
      </w:r>
      <w:r>
        <w:rPr>
          <w:rFonts w:hint="eastAsia"/>
          <w:sz w:val="24"/>
          <w:szCs w:val="24"/>
        </w:rPr>
        <w:t>家卒中中心推广应用，使住院卒中死亡率下降了</w:t>
      </w:r>
      <w:r>
        <w:rPr>
          <w:sz w:val="24"/>
          <w:szCs w:val="24"/>
        </w:rPr>
        <w:t>2.5%</w:t>
      </w:r>
      <w:r>
        <w:rPr>
          <w:rFonts w:hint="eastAsia"/>
          <w:sz w:val="24"/>
          <w:szCs w:val="24"/>
        </w:rPr>
        <w:t>，增加了</w:t>
      </w:r>
      <w:r>
        <w:rPr>
          <w:sz w:val="24"/>
          <w:szCs w:val="24"/>
        </w:rPr>
        <w:t>30%</w:t>
      </w:r>
      <w:r>
        <w:rPr>
          <w:rFonts w:hint="eastAsia"/>
          <w:sz w:val="24"/>
          <w:szCs w:val="24"/>
        </w:rPr>
        <w:t>的时间窗外再灌注治疗患者，且将治疗患者的良好预后率从</w:t>
      </w:r>
      <w:r>
        <w:rPr>
          <w:sz w:val="24"/>
          <w:szCs w:val="24"/>
        </w:rPr>
        <w:t>27%</w:t>
      </w:r>
      <w:r>
        <w:rPr>
          <w:rFonts w:hint="eastAsia"/>
          <w:sz w:val="24"/>
          <w:szCs w:val="24"/>
        </w:rPr>
        <w:t>提高至</w:t>
      </w:r>
      <w:r>
        <w:rPr>
          <w:sz w:val="24"/>
          <w:szCs w:val="24"/>
        </w:rPr>
        <w:t>60%</w:t>
      </w:r>
      <w:r>
        <w:rPr>
          <w:rFonts w:hint="eastAsia"/>
          <w:sz w:val="24"/>
          <w:szCs w:val="24"/>
        </w:rPr>
        <w:t>，同时使浙江省各级医院急性缺血性卒中患者人均住院天数由</w:t>
      </w:r>
      <w:r>
        <w:rPr>
          <w:rFonts w:hint="eastAsia"/>
          <w:sz w:val="24"/>
          <w:szCs w:val="24"/>
        </w:rPr>
        <w:t>11</w:t>
      </w:r>
      <w:r>
        <w:rPr>
          <w:rFonts w:hint="eastAsia"/>
          <w:sz w:val="24"/>
          <w:szCs w:val="24"/>
        </w:rPr>
        <w:t>天下降至</w:t>
      </w:r>
      <w:r>
        <w:rPr>
          <w:rFonts w:hint="eastAsia"/>
          <w:sz w:val="24"/>
          <w:szCs w:val="24"/>
        </w:rPr>
        <w:t>9</w:t>
      </w:r>
      <w:r>
        <w:rPr>
          <w:rFonts w:hint="eastAsia"/>
          <w:sz w:val="24"/>
          <w:szCs w:val="24"/>
        </w:rPr>
        <w:t>天，人均住院费用由</w:t>
      </w:r>
      <w:r>
        <w:rPr>
          <w:rFonts w:hint="eastAsia"/>
          <w:sz w:val="24"/>
          <w:szCs w:val="24"/>
        </w:rPr>
        <w:t>10713</w:t>
      </w:r>
      <w:r>
        <w:rPr>
          <w:rFonts w:hint="eastAsia"/>
          <w:sz w:val="24"/>
          <w:szCs w:val="24"/>
        </w:rPr>
        <w:t>元下降至</w:t>
      </w:r>
      <w:r>
        <w:rPr>
          <w:rFonts w:hint="eastAsia"/>
          <w:sz w:val="24"/>
          <w:szCs w:val="24"/>
        </w:rPr>
        <w:t>8518</w:t>
      </w:r>
      <w:r>
        <w:rPr>
          <w:rFonts w:hint="eastAsia"/>
          <w:sz w:val="24"/>
          <w:szCs w:val="24"/>
        </w:rPr>
        <w:t>元。在省内推广的基础上，项目成果辐射全国，</w:t>
      </w:r>
      <w:r>
        <w:rPr>
          <w:rFonts w:hint="eastAsia"/>
          <w:sz w:val="24"/>
          <w:szCs w:val="24"/>
          <w:lang w:eastAsia="zh-Hans"/>
        </w:rPr>
        <w:t>成功应用于国内</w:t>
      </w:r>
      <w:r>
        <w:rPr>
          <w:sz w:val="24"/>
          <w:szCs w:val="24"/>
          <w:lang w:eastAsia="zh-Hans"/>
        </w:rPr>
        <w:t>50</w:t>
      </w:r>
      <w:r>
        <w:rPr>
          <w:rFonts w:hint="eastAsia"/>
          <w:sz w:val="24"/>
          <w:szCs w:val="24"/>
          <w:lang w:eastAsia="zh-Hans"/>
        </w:rPr>
        <w:t>余家大型卒中中心</w:t>
      </w:r>
      <w:r>
        <w:rPr>
          <w:sz w:val="24"/>
          <w:szCs w:val="24"/>
          <w:lang w:eastAsia="zh-Hans"/>
        </w:rPr>
        <w:t>。</w:t>
      </w:r>
      <w:r>
        <w:rPr>
          <w:rFonts w:hint="eastAsia"/>
          <w:sz w:val="24"/>
          <w:szCs w:val="24"/>
          <w:lang w:eastAsia="zh-Hans"/>
        </w:rPr>
        <w:t>共</w:t>
      </w:r>
      <w:r>
        <w:rPr>
          <w:rFonts w:hint="eastAsia"/>
          <w:sz w:val="24"/>
          <w:szCs w:val="24"/>
        </w:rPr>
        <w:t>累计</w:t>
      </w:r>
      <w:r>
        <w:rPr>
          <w:sz w:val="24"/>
          <w:szCs w:val="24"/>
        </w:rPr>
        <w:t>25</w:t>
      </w:r>
      <w:r>
        <w:rPr>
          <w:rFonts w:hint="eastAsia"/>
          <w:sz w:val="24"/>
          <w:szCs w:val="24"/>
        </w:rPr>
        <w:t>万余卒中患者直接受益。</w:t>
      </w:r>
      <w:r>
        <w:rPr>
          <w:sz w:val="24"/>
          <w:szCs w:val="24"/>
        </w:rPr>
        <w:t>研究团队已发表</w:t>
      </w:r>
      <w:r>
        <w:rPr>
          <w:sz w:val="24"/>
          <w:szCs w:val="24"/>
        </w:rPr>
        <w:t>SCI</w:t>
      </w:r>
      <w:r>
        <w:rPr>
          <w:sz w:val="24"/>
          <w:szCs w:val="24"/>
        </w:rPr>
        <w:t>论文</w:t>
      </w:r>
      <w:r>
        <w:rPr>
          <w:sz w:val="24"/>
          <w:szCs w:val="24"/>
        </w:rPr>
        <w:t>125</w:t>
      </w:r>
      <w:r>
        <w:rPr>
          <w:sz w:val="24"/>
          <w:szCs w:val="24"/>
        </w:rPr>
        <w:t>篇，其中影响因子</w:t>
      </w:r>
      <w:r>
        <w:rPr>
          <w:sz w:val="24"/>
          <w:szCs w:val="24"/>
        </w:rPr>
        <w:t>10</w:t>
      </w:r>
      <w:r>
        <w:rPr>
          <w:sz w:val="24"/>
          <w:szCs w:val="24"/>
        </w:rPr>
        <w:t>分以上</w:t>
      </w:r>
      <w:r>
        <w:rPr>
          <w:sz w:val="24"/>
          <w:szCs w:val="24"/>
        </w:rPr>
        <w:t>25</w:t>
      </w:r>
      <w:r>
        <w:rPr>
          <w:sz w:val="24"/>
          <w:szCs w:val="24"/>
        </w:rPr>
        <w:t>篇，影响因子</w:t>
      </w:r>
      <w:r>
        <w:rPr>
          <w:sz w:val="24"/>
          <w:szCs w:val="24"/>
        </w:rPr>
        <w:t>5</w:t>
      </w:r>
      <w:r>
        <w:rPr>
          <w:sz w:val="24"/>
          <w:szCs w:val="24"/>
        </w:rPr>
        <w:t>分以上</w:t>
      </w:r>
      <w:r>
        <w:rPr>
          <w:sz w:val="24"/>
          <w:szCs w:val="24"/>
        </w:rPr>
        <w:t>80</w:t>
      </w:r>
      <w:r>
        <w:rPr>
          <w:sz w:val="24"/>
          <w:szCs w:val="24"/>
        </w:rPr>
        <w:t>篇，另获国家发明专利</w:t>
      </w:r>
      <w:r>
        <w:rPr>
          <w:sz w:val="24"/>
          <w:szCs w:val="24"/>
        </w:rPr>
        <w:t>1</w:t>
      </w:r>
      <w:r>
        <w:rPr>
          <w:sz w:val="24"/>
          <w:szCs w:val="24"/>
        </w:rPr>
        <w:t>项，</w:t>
      </w:r>
      <w:r>
        <w:rPr>
          <w:rFonts w:hint="eastAsia"/>
          <w:sz w:val="24"/>
          <w:szCs w:val="24"/>
        </w:rPr>
        <w:t>以第一执笔人</w:t>
      </w:r>
      <w:r>
        <w:rPr>
          <w:sz w:val="24"/>
          <w:szCs w:val="24"/>
        </w:rPr>
        <w:t>撰写《中国卒中中心建设指南》、《</w:t>
      </w:r>
      <w:r>
        <w:rPr>
          <w:sz w:val="24"/>
          <w:szCs w:val="24"/>
        </w:rPr>
        <w:t>2019</w:t>
      </w:r>
      <w:r>
        <w:rPr>
          <w:sz w:val="24"/>
          <w:szCs w:val="24"/>
        </w:rPr>
        <w:t>中国脑血管病临床管理指南》，累计培养硕士、博士</w:t>
      </w:r>
      <w:r>
        <w:rPr>
          <w:sz w:val="24"/>
          <w:szCs w:val="24"/>
        </w:rPr>
        <w:t>78</w:t>
      </w:r>
      <w:r>
        <w:rPr>
          <w:sz w:val="24"/>
          <w:szCs w:val="24"/>
        </w:rPr>
        <w:t>名</w:t>
      </w:r>
      <w:r>
        <w:rPr>
          <w:sz w:val="24"/>
          <w:szCs w:val="24"/>
        </w:rPr>
        <w:t>，在国内外</w:t>
      </w:r>
      <w:r>
        <w:rPr>
          <w:rFonts w:hint="eastAsia"/>
          <w:sz w:val="24"/>
          <w:szCs w:val="24"/>
        </w:rPr>
        <w:t>具有广泛的学术影响力。研究团队</w:t>
      </w:r>
      <w:r>
        <w:rPr>
          <w:sz w:val="24"/>
          <w:szCs w:val="24"/>
        </w:rPr>
        <w:t>对提升我国缺血性卒中的诊疗水平、保障国民健康、促进卫生产业发展、全面提高社会和经济效益发挥了重要的推动作用。</w:t>
      </w:r>
    </w:p>
    <w:p w:rsidR="00AC0C30" w:rsidRDefault="00AC0C30">
      <w:pPr>
        <w:snapToGrid w:val="0"/>
        <w:spacing w:line="360" w:lineRule="exact"/>
        <w:rPr>
          <w:sz w:val="28"/>
          <w:szCs w:val="21"/>
        </w:rPr>
      </w:pPr>
    </w:p>
    <w:p w:rsidR="00AC0C30" w:rsidRDefault="00AC0C30">
      <w:pPr>
        <w:adjustRightInd w:val="0"/>
        <w:snapToGrid w:val="0"/>
        <w:spacing w:line="500" w:lineRule="exact"/>
        <w:rPr>
          <w:color w:val="000000"/>
          <w:kern w:val="0"/>
          <w:sz w:val="28"/>
          <w:szCs w:val="28"/>
        </w:rPr>
      </w:pPr>
    </w:p>
    <w:p w:rsidR="00AC0C30" w:rsidRDefault="00AC0C30">
      <w:pPr>
        <w:adjustRightInd w:val="0"/>
        <w:snapToGrid w:val="0"/>
        <w:spacing w:line="500" w:lineRule="exact"/>
        <w:rPr>
          <w:color w:val="000000"/>
          <w:kern w:val="0"/>
          <w:sz w:val="28"/>
          <w:szCs w:val="28"/>
        </w:rPr>
      </w:pPr>
    </w:p>
    <w:p w:rsidR="00AC0C30" w:rsidRDefault="001C01BF">
      <w:pPr>
        <w:adjustRightInd w:val="0"/>
        <w:snapToGrid w:val="0"/>
        <w:spacing w:line="500" w:lineRule="exact"/>
        <w:rPr>
          <w:color w:val="000000"/>
          <w:kern w:val="0"/>
          <w:sz w:val="28"/>
          <w:szCs w:val="28"/>
        </w:rPr>
      </w:pPr>
      <w:r>
        <w:rPr>
          <w:color w:val="000000"/>
          <w:kern w:val="0"/>
          <w:sz w:val="28"/>
          <w:szCs w:val="28"/>
        </w:rPr>
        <w:t>代表性论文（专著）目录：</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014"/>
        <w:gridCol w:w="1425"/>
        <w:gridCol w:w="1039"/>
        <w:gridCol w:w="1286"/>
        <w:gridCol w:w="707"/>
        <w:gridCol w:w="793"/>
        <w:gridCol w:w="913"/>
      </w:tblGrid>
      <w:tr w:rsidR="00AC0C30">
        <w:trPr>
          <w:trHeight w:val="970"/>
        </w:trPr>
        <w:tc>
          <w:tcPr>
            <w:tcW w:w="822" w:type="dxa"/>
            <w:vAlign w:val="center"/>
          </w:tcPr>
          <w:p w:rsidR="00AC0C30" w:rsidRDefault="001C01BF">
            <w:pPr>
              <w:adjustRightInd w:val="0"/>
              <w:snapToGrid w:val="0"/>
              <w:jc w:val="center"/>
              <w:rPr>
                <w:rFonts w:eastAsia="仿宋"/>
                <w:bCs/>
                <w:sz w:val="24"/>
                <w:szCs w:val="24"/>
              </w:rPr>
            </w:pPr>
            <w:r>
              <w:rPr>
                <w:rFonts w:eastAsia="仿宋"/>
                <w:bCs/>
                <w:sz w:val="24"/>
                <w:szCs w:val="24"/>
              </w:rPr>
              <w:t>序号</w:t>
            </w:r>
          </w:p>
        </w:tc>
        <w:tc>
          <w:tcPr>
            <w:tcW w:w="2014" w:type="dxa"/>
            <w:vAlign w:val="center"/>
          </w:tcPr>
          <w:p w:rsidR="00AC0C30" w:rsidRDefault="001C01BF">
            <w:pPr>
              <w:adjustRightInd w:val="0"/>
              <w:snapToGrid w:val="0"/>
              <w:jc w:val="center"/>
              <w:rPr>
                <w:rFonts w:eastAsia="仿宋"/>
                <w:bCs/>
                <w:sz w:val="24"/>
                <w:szCs w:val="24"/>
              </w:rPr>
            </w:pPr>
            <w:r>
              <w:rPr>
                <w:rFonts w:eastAsia="仿宋"/>
                <w:bCs/>
                <w:sz w:val="24"/>
                <w:szCs w:val="24"/>
              </w:rPr>
              <w:t>论文名称</w:t>
            </w:r>
            <w:r>
              <w:rPr>
                <w:rFonts w:eastAsia="仿宋"/>
                <w:bCs/>
                <w:sz w:val="24"/>
                <w:szCs w:val="24"/>
              </w:rPr>
              <w:t>/</w:t>
            </w:r>
            <w:r>
              <w:rPr>
                <w:rFonts w:eastAsia="仿宋"/>
                <w:bCs/>
                <w:sz w:val="24"/>
                <w:szCs w:val="24"/>
              </w:rPr>
              <w:t>作者</w:t>
            </w:r>
          </w:p>
        </w:tc>
        <w:tc>
          <w:tcPr>
            <w:tcW w:w="1425" w:type="dxa"/>
            <w:vAlign w:val="center"/>
          </w:tcPr>
          <w:p w:rsidR="00AC0C30" w:rsidRDefault="001C01BF">
            <w:pPr>
              <w:adjustRightInd w:val="0"/>
              <w:snapToGrid w:val="0"/>
              <w:jc w:val="center"/>
              <w:rPr>
                <w:rFonts w:eastAsia="仿宋"/>
                <w:bCs/>
                <w:sz w:val="24"/>
                <w:szCs w:val="24"/>
              </w:rPr>
            </w:pPr>
            <w:r>
              <w:rPr>
                <w:rFonts w:eastAsia="仿宋"/>
                <w:bCs/>
                <w:sz w:val="24"/>
                <w:szCs w:val="24"/>
              </w:rPr>
              <w:t>刊名</w:t>
            </w:r>
          </w:p>
        </w:tc>
        <w:tc>
          <w:tcPr>
            <w:tcW w:w="1039" w:type="dxa"/>
            <w:vAlign w:val="center"/>
          </w:tcPr>
          <w:p w:rsidR="00AC0C30" w:rsidRDefault="001C01BF">
            <w:pPr>
              <w:adjustRightInd w:val="0"/>
              <w:snapToGrid w:val="0"/>
              <w:jc w:val="center"/>
              <w:rPr>
                <w:rFonts w:eastAsia="仿宋"/>
                <w:bCs/>
                <w:sz w:val="24"/>
                <w:szCs w:val="24"/>
              </w:rPr>
            </w:pPr>
            <w:r>
              <w:rPr>
                <w:rFonts w:eastAsia="仿宋"/>
                <w:bCs/>
                <w:sz w:val="24"/>
                <w:szCs w:val="24"/>
              </w:rPr>
              <w:t>年卷页码</w:t>
            </w:r>
          </w:p>
        </w:tc>
        <w:tc>
          <w:tcPr>
            <w:tcW w:w="1286" w:type="dxa"/>
            <w:vAlign w:val="center"/>
          </w:tcPr>
          <w:p w:rsidR="00AC0C30" w:rsidRDefault="001C01BF">
            <w:pPr>
              <w:adjustRightInd w:val="0"/>
              <w:snapToGrid w:val="0"/>
              <w:jc w:val="center"/>
              <w:rPr>
                <w:rFonts w:eastAsia="仿宋"/>
                <w:bCs/>
                <w:sz w:val="24"/>
                <w:szCs w:val="24"/>
              </w:rPr>
            </w:pPr>
            <w:r>
              <w:rPr>
                <w:rFonts w:eastAsia="仿宋"/>
                <w:bCs/>
                <w:sz w:val="24"/>
                <w:szCs w:val="24"/>
              </w:rPr>
              <w:t>通讯作者和第一作者（含共同）</w:t>
            </w:r>
          </w:p>
        </w:tc>
        <w:tc>
          <w:tcPr>
            <w:tcW w:w="707" w:type="dxa"/>
            <w:vAlign w:val="center"/>
          </w:tcPr>
          <w:p w:rsidR="00AC0C30" w:rsidRDefault="001C01BF">
            <w:pPr>
              <w:adjustRightInd w:val="0"/>
              <w:snapToGrid w:val="0"/>
              <w:jc w:val="center"/>
              <w:rPr>
                <w:rFonts w:eastAsia="仿宋"/>
                <w:bCs/>
                <w:sz w:val="24"/>
                <w:szCs w:val="24"/>
              </w:rPr>
            </w:pPr>
            <w:r>
              <w:rPr>
                <w:rFonts w:eastAsia="仿宋"/>
                <w:bCs/>
                <w:sz w:val="24"/>
                <w:szCs w:val="24"/>
              </w:rPr>
              <w:t>他引次数</w:t>
            </w:r>
          </w:p>
        </w:tc>
        <w:tc>
          <w:tcPr>
            <w:tcW w:w="793" w:type="dxa"/>
            <w:vAlign w:val="center"/>
          </w:tcPr>
          <w:p w:rsidR="00AC0C30" w:rsidRDefault="001C01BF">
            <w:pPr>
              <w:adjustRightInd w:val="0"/>
              <w:snapToGrid w:val="0"/>
              <w:jc w:val="center"/>
              <w:rPr>
                <w:rFonts w:eastAsia="仿宋"/>
                <w:bCs/>
                <w:sz w:val="24"/>
                <w:szCs w:val="24"/>
              </w:rPr>
            </w:pPr>
            <w:r>
              <w:rPr>
                <w:rFonts w:eastAsia="仿宋"/>
                <w:bCs/>
                <w:sz w:val="24"/>
                <w:szCs w:val="24"/>
              </w:rPr>
              <w:t>检索数据库</w:t>
            </w:r>
          </w:p>
        </w:tc>
        <w:tc>
          <w:tcPr>
            <w:tcW w:w="913" w:type="dxa"/>
            <w:vAlign w:val="center"/>
          </w:tcPr>
          <w:p w:rsidR="00AC0C30" w:rsidRDefault="001C01BF">
            <w:pPr>
              <w:adjustRightInd w:val="0"/>
              <w:snapToGrid w:val="0"/>
              <w:jc w:val="center"/>
              <w:rPr>
                <w:rFonts w:eastAsia="仿宋"/>
                <w:bCs/>
                <w:sz w:val="24"/>
                <w:szCs w:val="24"/>
              </w:rPr>
            </w:pPr>
            <w:r>
              <w:rPr>
                <w:rFonts w:eastAsia="仿宋"/>
                <w:bCs/>
                <w:sz w:val="24"/>
                <w:szCs w:val="24"/>
              </w:rPr>
              <w:t>通讯作者单位是否包含国外单位</w:t>
            </w:r>
          </w:p>
        </w:tc>
      </w:tr>
      <w:tr w:rsidR="00AC0C30">
        <w:trPr>
          <w:trHeight w:val="3002"/>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Evaluation of a Multilevel Program to Improve Clinician Adherence to Management Guidelines for Acute Ischemic Stroke</w:t>
            </w:r>
            <w:r>
              <w:rPr>
                <w:rFonts w:eastAsia="仿宋" w:hint="eastAsia"/>
                <w:bCs/>
                <w:sz w:val="24"/>
                <w:szCs w:val="24"/>
              </w:rPr>
              <w:t>/</w:t>
            </w:r>
            <w:r>
              <w:rPr>
                <w:rFonts w:eastAsia="仿宋" w:hint="eastAsia"/>
                <w:bCs/>
                <w:sz w:val="24"/>
                <w:szCs w:val="24"/>
              </w:rPr>
              <w:t>陈逸，龚筱弦，钟晚思，王建炳，杨宗明，严慎强，</w:t>
            </w:r>
            <w:proofErr w:type="spellStart"/>
            <w:r>
              <w:rPr>
                <w:rFonts w:eastAsia="仿宋" w:hint="eastAsia"/>
                <w:bCs/>
                <w:sz w:val="24"/>
                <w:szCs w:val="24"/>
              </w:rPr>
              <w:t>Fangli</w:t>
            </w:r>
            <w:proofErr w:type="spellEnd"/>
            <w:r>
              <w:rPr>
                <w:rFonts w:eastAsia="仿宋" w:hint="eastAsia"/>
                <w:bCs/>
                <w:sz w:val="24"/>
                <w:szCs w:val="24"/>
              </w:rPr>
              <w:t xml:space="preserve"> </w:t>
            </w:r>
            <w:proofErr w:type="spellStart"/>
            <w:r>
              <w:rPr>
                <w:rFonts w:eastAsia="仿宋" w:hint="eastAsia"/>
                <w:bCs/>
                <w:sz w:val="24"/>
                <w:szCs w:val="24"/>
              </w:rPr>
              <w:t>Geng</w:t>
            </w:r>
            <w:proofErr w:type="spellEnd"/>
            <w:r>
              <w:rPr>
                <w:rFonts w:eastAsia="仿宋" w:hint="eastAsia"/>
                <w:bCs/>
                <w:sz w:val="24"/>
                <w:szCs w:val="24"/>
              </w:rPr>
              <w:t>，周颖，张旭婷，陈智才，胡海涛，</w:t>
            </w:r>
            <w:r>
              <w:rPr>
                <w:rFonts w:eastAsia="仿宋" w:hint="eastAsia"/>
                <w:bCs/>
                <w:sz w:val="24"/>
                <w:szCs w:val="24"/>
              </w:rPr>
              <w:lastRenderedPageBreak/>
              <w:t>童璐莎，陈红芳，柯绍发，何宇平，王亚仙，张晓玲，王志敏，陈志辉，赵恒，袁长征，</w:t>
            </w:r>
            <w:proofErr w:type="gramStart"/>
            <w:r>
              <w:rPr>
                <w:rFonts w:eastAsia="仿宋" w:hint="eastAsia"/>
                <w:bCs/>
                <w:sz w:val="24"/>
                <w:szCs w:val="24"/>
              </w:rPr>
              <w:t>楼敏</w:t>
            </w:r>
            <w:proofErr w:type="gramEnd"/>
            <w:r>
              <w:rPr>
                <w:rFonts w:eastAsia="仿宋" w:hint="eastAsia"/>
                <w:bCs/>
                <w:sz w:val="24"/>
                <w:szCs w:val="24"/>
              </w:rPr>
              <w:t xml:space="preserve"> </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lastRenderedPageBreak/>
              <w:t>JAMA N</w:t>
            </w:r>
            <w:r>
              <w:rPr>
                <w:rFonts w:eastAsia="仿宋" w:hint="eastAsia"/>
                <w:bCs/>
                <w:sz w:val="24"/>
                <w:szCs w:val="24"/>
              </w:rPr>
              <w:t>etwork Open</w:t>
            </w:r>
          </w:p>
        </w:tc>
        <w:tc>
          <w:tcPr>
            <w:tcW w:w="1039" w:type="dxa"/>
            <w:vAlign w:val="center"/>
          </w:tcPr>
          <w:p w:rsidR="00AC0C30" w:rsidRDefault="001C01BF">
            <w:pPr>
              <w:adjustRightInd w:val="0"/>
              <w:snapToGrid w:val="0"/>
              <w:jc w:val="center"/>
              <w:rPr>
                <w:rFonts w:eastAsia="仿宋"/>
                <w:bCs/>
                <w:sz w:val="24"/>
                <w:szCs w:val="24"/>
              </w:rPr>
            </w:pPr>
            <w:r>
              <w:rPr>
                <w:rFonts w:hint="eastAsia"/>
                <w:color w:val="000000"/>
                <w:kern w:val="0"/>
              </w:rPr>
              <w:t>2022, 5 (5): e2210596</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楼敏；陈逸，</w:t>
            </w:r>
            <w:r>
              <w:rPr>
                <w:rFonts w:eastAsia="仿宋" w:hint="eastAsia"/>
                <w:bCs/>
                <w:sz w:val="24"/>
                <w:szCs w:val="24"/>
              </w:rPr>
              <w:t>龚筱弦，钟晚思</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0</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381"/>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lastRenderedPageBreak/>
              <w:t>2</w:t>
            </w:r>
          </w:p>
        </w:tc>
        <w:tc>
          <w:tcPr>
            <w:tcW w:w="2014" w:type="dxa"/>
            <w:vAlign w:val="center"/>
          </w:tcPr>
          <w:p w:rsidR="00AC0C30" w:rsidRDefault="001C01BF">
            <w:pPr>
              <w:adjustRightInd w:val="0"/>
              <w:snapToGrid w:val="0"/>
              <w:rPr>
                <w:rFonts w:eastAsia="仿宋"/>
                <w:bCs/>
                <w:sz w:val="24"/>
                <w:szCs w:val="24"/>
              </w:rPr>
            </w:pPr>
            <w:r>
              <w:rPr>
                <w:rFonts w:eastAsia="仿宋" w:hint="eastAsia"/>
                <w:bCs/>
                <w:sz w:val="24"/>
                <w:szCs w:val="24"/>
              </w:rPr>
              <w:t xml:space="preserve">Prediction of large vessel occlusion for </w:t>
            </w:r>
            <w:proofErr w:type="spellStart"/>
            <w:r>
              <w:rPr>
                <w:rFonts w:eastAsia="仿宋" w:hint="eastAsia"/>
                <w:bCs/>
                <w:sz w:val="24"/>
                <w:szCs w:val="24"/>
              </w:rPr>
              <w:t>ischaemic</w:t>
            </w:r>
            <w:proofErr w:type="spellEnd"/>
            <w:r>
              <w:rPr>
                <w:rFonts w:eastAsia="仿宋" w:hint="eastAsia"/>
                <w:bCs/>
                <w:sz w:val="24"/>
                <w:szCs w:val="24"/>
              </w:rPr>
              <w:t xml:space="preserve"> stroke by using the machine learning model random forests/</w:t>
            </w:r>
            <w:r>
              <w:rPr>
                <w:rFonts w:eastAsia="仿宋" w:hint="eastAsia"/>
                <w:bCs/>
                <w:sz w:val="24"/>
                <w:szCs w:val="24"/>
              </w:rPr>
              <w:t>王嘉楠，张军根，龚筱弦，张文华，周颖，</w:t>
            </w:r>
            <w:proofErr w:type="gramStart"/>
            <w:r>
              <w:rPr>
                <w:rFonts w:eastAsia="仿宋" w:hint="eastAsia"/>
                <w:bCs/>
                <w:sz w:val="24"/>
                <w:szCs w:val="24"/>
              </w:rPr>
              <w:t>楼敏</w:t>
            </w:r>
            <w:proofErr w:type="gramEnd"/>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Stroke and Vascular Neurology</w:t>
            </w:r>
          </w:p>
        </w:tc>
        <w:tc>
          <w:tcPr>
            <w:tcW w:w="1039" w:type="dxa"/>
            <w:vAlign w:val="center"/>
          </w:tcPr>
          <w:p w:rsidR="00AC0C30" w:rsidRDefault="001C01BF">
            <w:pPr>
              <w:adjustRightInd w:val="0"/>
              <w:snapToGrid w:val="0"/>
              <w:jc w:val="center"/>
              <w:rPr>
                <w:rFonts w:eastAsia="仿宋"/>
                <w:bCs/>
                <w:sz w:val="24"/>
                <w:szCs w:val="24"/>
              </w:rPr>
            </w:pPr>
            <w:r>
              <w:rPr>
                <w:rFonts w:eastAsia="仿宋"/>
                <w:bCs/>
                <w:szCs w:val="21"/>
              </w:rPr>
              <w:t>2022</w:t>
            </w:r>
            <w:r>
              <w:rPr>
                <w:rFonts w:eastAsia="仿宋" w:hint="eastAsia"/>
                <w:bCs/>
                <w:szCs w:val="21"/>
              </w:rPr>
              <w:t xml:space="preserve">, </w:t>
            </w:r>
            <w:r>
              <w:rPr>
                <w:rFonts w:eastAsia="仿宋"/>
                <w:bCs/>
                <w:szCs w:val="21"/>
              </w:rPr>
              <w:t>7(2):</w:t>
            </w:r>
            <w:r>
              <w:rPr>
                <w:rFonts w:eastAsia="仿宋" w:hint="eastAsia"/>
                <w:bCs/>
                <w:szCs w:val="21"/>
              </w:rPr>
              <w:t xml:space="preserve"> </w:t>
            </w:r>
            <w:r>
              <w:rPr>
                <w:rFonts w:eastAsia="仿宋"/>
                <w:bCs/>
                <w:szCs w:val="21"/>
              </w:rPr>
              <w:t>94</w:t>
            </w:r>
            <w:r>
              <w:rPr>
                <w:rFonts w:eastAsia="仿宋" w:hint="eastAsia"/>
                <w:bCs/>
                <w:szCs w:val="21"/>
              </w:rPr>
              <w:t>-</w:t>
            </w:r>
            <w:r>
              <w:rPr>
                <w:rFonts w:eastAsia="仿宋"/>
                <w:bCs/>
                <w:szCs w:val="21"/>
              </w:rPr>
              <w:t>100</w:t>
            </w:r>
          </w:p>
        </w:tc>
        <w:tc>
          <w:tcPr>
            <w:tcW w:w="1286" w:type="dxa"/>
            <w:vAlign w:val="center"/>
          </w:tcPr>
          <w:p w:rsidR="00AC0C30" w:rsidRDefault="001C01BF">
            <w:pPr>
              <w:adjustRightInd w:val="0"/>
              <w:snapToGrid w:val="0"/>
              <w:rPr>
                <w:rFonts w:eastAsia="仿宋"/>
                <w:bCs/>
                <w:sz w:val="24"/>
                <w:szCs w:val="24"/>
              </w:rPr>
            </w:pPr>
            <w:r>
              <w:rPr>
                <w:rFonts w:eastAsia="仿宋" w:hint="eastAsia"/>
                <w:bCs/>
                <w:sz w:val="24"/>
                <w:szCs w:val="24"/>
              </w:rPr>
              <w:t>楼敏；王嘉楠，张军根，龚筱弦</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3</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90"/>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3</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 xml:space="preserve">Evaluation of a </w:t>
            </w:r>
            <w:r>
              <w:rPr>
                <w:rFonts w:eastAsia="仿宋" w:hint="eastAsia"/>
                <w:bCs/>
                <w:sz w:val="24"/>
                <w:szCs w:val="24"/>
              </w:rPr>
              <w:t>multicomponent intervention to shorten thrombolytic door-to-needle time in stroke patients in China (MISSION): A cluster-randomized controlled trial</w:t>
            </w:r>
            <w:r>
              <w:rPr>
                <w:rFonts w:eastAsia="仿宋" w:hint="eastAsia"/>
                <w:bCs/>
                <w:sz w:val="24"/>
                <w:szCs w:val="24"/>
              </w:rPr>
              <w:t>/</w:t>
            </w:r>
            <w:r>
              <w:rPr>
                <w:rFonts w:eastAsia="仿宋" w:hint="eastAsia"/>
                <w:bCs/>
                <w:sz w:val="24"/>
                <w:szCs w:val="24"/>
              </w:rPr>
              <w:t>钟晚思，林隆婷，龚筱弦，陈智才，陈逸，严慎强，周颖，张旭婷，胡海涛，童璐莎，程超婵，顾群，陈勇，余小金，黄昱晖，袁长征，</w:t>
            </w:r>
            <w:proofErr w:type="gramStart"/>
            <w:r>
              <w:rPr>
                <w:rFonts w:eastAsia="仿宋" w:hint="eastAsia"/>
                <w:bCs/>
                <w:sz w:val="24"/>
                <w:szCs w:val="24"/>
              </w:rPr>
              <w:t>楼敏</w:t>
            </w:r>
            <w:proofErr w:type="gramEnd"/>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PL</w:t>
            </w:r>
            <w:r>
              <w:rPr>
                <w:rFonts w:eastAsia="仿宋" w:hint="eastAsia"/>
                <w:bCs/>
                <w:sz w:val="24"/>
                <w:szCs w:val="24"/>
              </w:rPr>
              <w:t>OS</w:t>
            </w:r>
            <w:r>
              <w:rPr>
                <w:rFonts w:eastAsia="仿宋" w:hint="eastAsia"/>
                <w:bCs/>
                <w:sz w:val="24"/>
                <w:szCs w:val="24"/>
              </w:rPr>
              <w:t xml:space="preserve"> Med</w:t>
            </w:r>
            <w:r>
              <w:rPr>
                <w:rFonts w:eastAsia="仿宋" w:hint="eastAsia"/>
                <w:bCs/>
                <w:sz w:val="24"/>
                <w:szCs w:val="24"/>
              </w:rPr>
              <w:t>icine</w:t>
            </w:r>
          </w:p>
        </w:tc>
        <w:tc>
          <w:tcPr>
            <w:tcW w:w="1039" w:type="dxa"/>
            <w:vAlign w:val="center"/>
          </w:tcPr>
          <w:p w:rsidR="00AC0C30" w:rsidRDefault="001C01BF">
            <w:pPr>
              <w:adjustRightInd w:val="0"/>
              <w:snapToGrid w:val="0"/>
              <w:jc w:val="center"/>
              <w:rPr>
                <w:rFonts w:eastAsia="仿宋"/>
                <w:bCs/>
                <w:sz w:val="24"/>
                <w:szCs w:val="24"/>
              </w:rPr>
            </w:pPr>
            <w:r>
              <w:rPr>
                <w:color w:val="000000"/>
                <w:kern w:val="0"/>
              </w:rPr>
              <w:t xml:space="preserve">2022, </w:t>
            </w:r>
            <w:r>
              <w:rPr>
                <w:rFonts w:hint="eastAsia"/>
                <w:color w:val="000000"/>
                <w:kern w:val="0"/>
              </w:rPr>
              <w:t>19(7)</w:t>
            </w:r>
            <w:r>
              <w:rPr>
                <w:color w:val="000000"/>
                <w:kern w:val="0"/>
              </w:rPr>
              <w:t>:</w:t>
            </w:r>
            <w:r>
              <w:rPr>
                <w:rFonts w:hint="eastAsia"/>
                <w:color w:val="000000"/>
                <w:kern w:val="0"/>
              </w:rPr>
              <w:t xml:space="preserve"> e</w:t>
            </w:r>
            <w:r>
              <w:rPr>
                <w:color w:val="000000"/>
                <w:kern w:val="0"/>
              </w:rPr>
              <w:t>1004034</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楼敏，袁长征；钟晚思，林隆婷</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0</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BCI</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152"/>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4</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中国脑血管病临床管理指南</w:t>
            </w:r>
            <w:r>
              <w:rPr>
                <w:rFonts w:eastAsia="仿宋" w:hint="eastAsia"/>
                <w:bCs/>
                <w:sz w:val="24"/>
                <w:szCs w:val="24"/>
              </w:rPr>
              <w:t>(</w:t>
            </w:r>
            <w:r>
              <w:rPr>
                <w:rFonts w:eastAsia="仿宋" w:hint="eastAsia"/>
                <w:bCs/>
                <w:sz w:val="24"/>
                <w:szCs w:val="24"/>
              </w:rPr>
              <w:t>节选版</w:t>
            </w:r>
            <w:r>
              <w:rPr>
                <w:rFonts w:eastAsia="仿宋" w:hint="eastAsia"/>
                <w:bCs/>
                <w:sz w:val="24"/>
                <w:szCs w:val="24"/>
              </w:rPr>
              <w:t>)</w:t>
            </w:r>
            <w:r>
              <w:rPr>
                <w:rFonts w:eastAsia="仿宋" w:hint="eastAsia"/>
                <w:bCs/>
                <w:sz w:val="24"/>
                <w:szCs w:val="24"/>
              </w:rPr>
              <w:t>——卒中组织化管理</w:t>
            </w:r>
            <w:r>
              <w:rPr>
                <w:rFonts w:eastAsia="仿宋" w:hint="eastAsia"/>
                <w:bCs/>
                <w:sz w:val="24"/>
                <w:szCs w:val="24"/>
              </w:rPr>
              <w:t>/</w:t>
            </w:r>
            <w:r>
              <w:rPr>
                <w:rFonts w:eastAsia="仿宋" w:hint="eastAsia"/>
                <w:bCs/>
                <w:sz w:val="24"/>
                <w:szCs w:val="24"/>
              </w:rPr>
              <w:t>楼敏，丁晶，胡波，张玉生，李昊，谭泽</w:t>
            </w:r>
            <w:r>
              <w:rPr>
                <w:rFonts w:eastAsia="仿宋" w:hint="eastAsia"/>
                <w:bCs/>
                <w:sz w:val="24"/>
                <w:szCs w:val="24"/>
              </w:rPr>
              <w:lastRenderedPageBreak/>
              <w:t>锋，万艳，徐安定，中国卒中学会中国脑血管病临床管理指南撰写委员会</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lastRenderedPageBreak/>
              <w:t>中国卒中杂志</w:t>
            </w:r>
          </w:p>
        </w:tc>
        <w:tc>
          <w:tcPr>
            <w:tcW w:w="1039" w:type="dxa"/>
            <w:vAlign w:val="center"/>
          </w:tcPr>
          <w:p w:rsidR="00AC0C30" w:rsidRDefault="001C01BF">
            <w:pPr>
              <w:adjustRightInd w:val="0"/>
              <w:snapToGrid w:val="0"/>
              <w:jc w:val="center"/>
              <w:rPr>
                <w:rFonts w:eastAsia="仿宋"/>
                <w:bCs/>
                <w:szCs w:val="21"/>
              </w:rPr>
            </w:pPr>
            <w:r>
              <w:rPr>
                <w:rFonts w:eastAsia="仿宋" w:hint="eastAsia"/>
                <w:bCs/>
                <w:szCs w:val="21"/>
              </w:rPr>
              <w:t>2019, 14(7): 692-699</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徐安定；楼敏</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18</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CNKI</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314"/>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lastRenderedPageBreak/>
              <w:t>5</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Acute Stroke: Prognostic Value of Quantitative Collateral Assessment at Perfusion CT. Radiology</w:t>
            </w:r>
            <w:r>
              <w:rPr>
                <w:rFonts w:eastAsia="仿宋" w:hint="eastAsia"/>
                <w:bCs/>
                <w:sz w:val="24"/>
                <w:szCs w:val="24"/>
              </w:rPr>
              <w:t>/</w:t>
            </w:r>
            <w:r>
              <w:rPr>
                <w:rFonts w:eastAsia="仿宋" w:hint="eastAsia"/>
                <w:bCs/>
                <w:sz w:val="24"/>
                <w:szCs w:val="24"/>
              </w:rPr>
              <w:t>史飞娜，龚筱弦，刘畅，曾强，张美霞，陈智才，严慎强，楼敏</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R</w:t>
            </w:r>
            <w:r>
              <w:rPr>
                <w:rFonts w:eastAsia="仿宋" w:hint="eastAsia"/>
                <w:bCs/>
                <w:sz w:val="24"/>
                <w:szCs w:val="24"/>
              </w:rPr>
              <w:t>adiology</w:t>
            </w:r>
          </w:p>
        </w:tc>
        <w:tc>
          <w:tcPr>
            <w:tcW w:w="1039" w:type="dxa"/>
            <w:vAlign w:val="center"/>
          </w:tcPr>
          <w:p w:rsidR="00AC0C30" w:rsidRDefault="001C01BF">
            <w:pPr>
              <w:adjustRightInd w:val="0"/>
              <w:snapToGrid w:val="0"/>
              <w:jc w:val="center"/>
              <w:rPr>
                <w:rFonts w:eastAsia="仿宋"/>
                <w:bCs/>
                <w:szCs w:val="21"/>
              </w:rPr>
            </w:pPr>
            <w:r>
              <w:rPr>
                <w:rFonts w:eastAsia="仿宋_GB2312"/>
                <w:szCs w:val="21"/>
              </w:rPr>
              <w:t>2019, 290(3):</w:t>
            </w:r>
            <w:r>
              <w:rPr>
                <w:rFonts w:eastAsia="仿宋_GB2312" w:hint="eastAsia"/>
                <w:szCs w:val="21"/>
              </w:rPr>
              <w:t xml:space="preserve"> </w:t>
            </w:r>
            <w:r>
              <w:rPr>
                <w:rFonts w:eastAsia="仿宋_GB2312"/>
                <w:szCs w:val="21"/>
              </w:rPr>
              <w:t>760-768</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楼敏；史飞娜</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19</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891"/>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6</w:t>
            </w:r>
          </w:p>
        </w:tc>
        <w:tc>
          <w:tcPr>
            <w:tcW w:w="2014" w:type="dxa"/>
            <w:vAlign w:val="center"/>
          </w:tcPr>
          <w:p w:rsidR="00AC0C30" w:rsidRDefault="001C01BF">
            <w:pPr>
              <w:adjustRightInd w:val="0"/>
              <w:snapToGrid w:val="0"/>
              <w:jc w:val="center"/>
              <w:rPr>
                <w:rFonts w:eastAsia="仿宋"/>
                <w:bCs/>
                <w:sz w:val="24"/>
                <w:szCs w:val="24"/>
              </w:rPr>
            </w:pPr>
            <w:bookmarkStart w:id="1" w:name="OLE_LINK5"/>
            <w:r>
              <w:rPr>
                <w:rFonts w:eastAsia="仿宋" w:hint="eastAsia"/>
                <w:bCs/>
                <w:sz w:val="24"/>
                <w:szCs w:val="24"/>
              </w:rPr>
              <w:t>Effect of Imaging Markers on Reperfusion Therapy in Basilar Artery Occlusion</w:t>
            </w:r>
            <w:bookmarkEnd w:id="1"/>
            <w:r>
              <w:rPr>
                <w:rFonts w:eastAsia="仿宋" w:hint="eastAsia"/>
                <w:bCs/>
                <w:sz w:val="24"/>
                <w:szCs w:val="24"/>
              </w:rPr>
              <w:t>/</w:t>
            </w:r>
            <w:r>
              <w:rPr>
                <w:rFonts w:eastAsia="仿宋" w:hint="eastAsia"/>
                <w:bCs/>
                <w:sz w:val="24"/>
                <w:szCs w:val="24"/>
              </w:rPr>
              <w:t>严慎强，周颖，赵玉绮，王凤，陶安阳，周琳，潘梦雄，钟根龙，胡灵芝，江选飞，茅新蕾，唐欢，王建伟，钱淑霞，孙锦萍，龚筱弦，钟晚思，楼敏</w:t>
            </w:r>
          </w:p>
        </w:tc>
        <w:tc>
          <w:tcPr>
            <w:tcW w:w="1425" w:type="dxa"/>
            <w:vAlign w:val="center"/>
          </w:tcPr>
          <w:p w:rsidR="00AC0C30" w:rsidRDefault="001C01BF">
            <w:pPr>
              <w:adjustRightInd w:val="0"/>
              <w:snapToGrid w:val="0"/>
              <w:jc w:val="center"/>
              <w:rPr>
                <w:rFonts w:eastAsia="仿宋"/>
                <w:bCs/>
                <w:sz w:val="24"/>
                <w:szCs w:val="24"/>
              </w:rPr>
            </w:pPr>
            <w:bookmarkStart w:id="2" w:name="OLE_LINK2"/>
            <w:r>
              <w:rPr>
                <w:rFonts w:eastAsia="仿宋" w:hint="eastAsia"/>
                <w:bCs/>
                <w:sz w:val="24"/>
                <w:szCs w:val="24"/>
              </w:rPr>
              <w:t>Annals of Neurology</w:t>
            </w:r>
            <w:bookmarkEnd w:id="2"/>
          </w:p>
        </w:tc>
        <w:tc>
          <w:tcPr>
            <w:tcW w:w="1039" w:type="dxa"/>
            <w:vAlign w:val="center"/>
          </w:tcPr>
          <w:p w:rsidR="00AC0C30" w:rsidRDefault="001C01BF">
            <w:pPr>
              <w:adjustRightInd w:val="0"/>
              <w:snapToGrid w:val="0"/>
              <w:jc w:val="center"/>
              <w:rPr>
                <w:rFonts w:eastAsia="仿宋"/>
                <w:bCs/>
                <w:szCs w:val="21"/>
              </w:rPr>
            </w:pPr>
            <w:r>
              <w:rPr>
                <w:rFonts w:eastAsia="仿宋" w:hint="eastAsia"/>
                <w:bCs/>
                <w:szCs w:val="21"/>
              </w:rPr>
              <w:t>2022</w:t>
            </w:r>
            <w:r>
              <w:rPr>
                <w:rFonts w:eastAsia="仿宋" w:hint="eastAsia"/>
                <w:bCs/>
                <w:szCs w:val="21"/>
              </w:rPr>
              <w:t xml:space="preserve">, </w:t>
            </w:r>
            <w:r>
              <w:rPr>
                <w:rFonts w:eastAsia="仿宋" w:hint="eastAsia"/>
                <w:bCs/>
                <w:szCs w:val="21"/>
              </w:rPr>
              <w:t>92(1):</w:t>
            </w:r>
            <w:r>
              <w:rPr>
                <w:rFonts w:eastAsia="仿宋" w:hint="eastAsia"/>
                <w:bCs/>
                <w:szCs w:val="21"/>
              </w:rPr>
              <w:t xml:space="preserve"> </w:t>
            </w:r>
            <w:r>
              <w:rPr>
                <w:rFonts w:eastAsia="仿宋" w:hint="eastAsia"/>
                <w:bCs/>
                <w:szCs w:val="21"/>
              </w:rPr>
              <w:t>97</w:t>
            </w:r>
            <w:r>
              <w:rPr>
                <w:rFonts w:eastAsia="仿宋" w:hint="eastAsia"/>
                <w:bCs/>
                <w:szCs w:val="21"/>
              </w:rPr>
              <w:t>-</w:t>
            </w:r>
            <w:r>
              <w:rPr>
                <w:rFonts w:eastAsia="仿宋" w:hint="eastAsia"/>
                <w:bCs/>
                <w:szCs w:val="21"/>
              </w:rPr>
              <w:t>106.</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楼敏；严慎强，周颖</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3</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959"/>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7</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 xml:space="preserve">Stroke outcome of early antiplatelet in post-thrombolysis </w:t>
            </w:r>
            <w:proofErr w:type="spellStart"/>
            <w:r>
              <w:rPr>
                <w:rFonts w:eastAsia="仿宋" w:hint="eastAsia"/>
                <w:bCs/>
                <w:sz w:val="24"/>
                <w:szCs w:val="24"/>
              </w:rPr>
              <w:t>haemorrhagic</w:t>
            </w:r>
            <w:proofErr w:type="spellEnd"/>
            <w:r>
              <w:rPr>
                <w:rFonts w:eastAsia="仿宋" w:hint="eastAsia"/>
                <w:bCs/>
                <w:sz w:val="24"/>
                <w:szCs w:val="24"/>
              </w:rPr>
              <w:t xml:space="preserve"> infarction</w:t>
            </w:r>
            <w:r>
              <w:rPr>
                <w:rFonts w:eastAsia="仿宋" w:hint="eastAsia"/>
                <w:bCs/>
                <w:sz w:val="24"/>
                <w:szCs w:val="24"/>
              </w:rPr>
              <w:t>/</w:t>
            </w:r>
            <w:r>
              <w:rPr>
                <w:rFonts w:eastAsia="仿宋" w:hint="eastAsia"/>
                <w:bCs/>
                <w:sz w:val="24"/>
                <w:szCs w:val="24"/>
              </w:rPr>
              <w:t>钟晚思，严慎强，陈智才，罗钟毓，陈逸，张旭婷，吴承龙，唐维国，张晓玲，王亚仙，顾群，徐冬娟，陈红芳，楼敏</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J</w:t>
            </w:r>
            <w:r>
              <w:rPr>
                <w:rFonts w:eastAsia="仿宋" w:hint="eastAsia"/>
                <w:bCs/>
                <w:sz w:val="24"/>
                <w:szCs w:val="24"/>
              </w:rPr>
              <w:t xml:space="preserve">ournal of Neurology </w:t>
            </w:r>
          </w:p>
          <w:p w:rsidR="00AC0C30" w:rsidRDefault="001C01BF">
            <w:pPr>
              <w:adjustRightInd w:val="0"/>
              <w:snapToGrid w:val="0"/>
              <w:rPr>
                <w:rFonts w:eastAsia="仿宋"/>
                <w:bCs/>
                <w:sz w:val="24"/>
                <w:szCs w:val="24"/>
              </w:rPr>
            </w:pPr>
            <w:r>
              <w:rPr>
                <w:rFonts w:eastAsia="仿宋" w:hint="eastAsia"/>
                <w:bCs/>
                <w:sz w:val="24"/>
                <w:szCs w:val="24"/>
              </w:rPr>
              <w:t>Neurosurgery and Psychiatry</w:t>
            </w:r>
          </w:p>
          <w:p w:rsidR="00AC0C30" w:rsidRDefault="00AC0C30">
            <w:pPr>
              <w:adjustRightInd w:val="0"/>
              <w:snapToGrid w:val="0"/>
              <w:rPr>
                <w:rFonts w:eastAsia="仿宋"/>
                <w:bCs/>
                <w:sz w:val="24"/>
                <w:szCs w:val="24"/>
              </w:rPr>
            </w:pPr>
          </w:p>
        </w:tc>
        <w:tc>
          <w:tcPr>
            <w:tcW w:w="1039" w:type="dxa"/>
            <w:vAlign w:val="center"/>
          </w:tcPr>
          <w:p w:rsidR="00AC0C30" w:rsidRDefault="001C01BF">
            <w:pPr>
              <w:adjustRightInd w:val="0"/>
              <w:snapToGrid w:val="0"/>
              <w:jc w:val="center"/>
              <w:rPr>
                <w:rFonts w:eastAsia="仿宋"/>
                <w:bCs/>
                <w:szCs w:val="21"/>
              </w:rPr>
            </w:pPr>
            <w:r>
              <w:rPr>
                <w:rFonts w:eastAsia="仿宋" w:hint="eastAsia"/>
                <w:bCs/>
                <w:szCs w:val="21"/>
              </w:rPr>
              <w:t xml:space="preserve">2022, </w:t>
            </w:r>
            <w:r>
              <w:rPr>
                <w:rFonts w:eastAsia="仿宋"/>
                <w:bCs/>
                <w:szCs w:val="21"/>
              </w:rPr>
              <w:t>93</w:t>
            </w:r>
            <w:r>
              <w:rPr>
                <w:rFonts w:eastAsia="仿宋"/>
                <w:bCs/>
                <w:szCs w:val="21"/>
              </w:rPr>
              <w:t>(8)</w:t>
            </w:r>
            <w:r>
              <w:rPr>
                <w:rFonts w:eastAsia="仿宋" w:hint="eastAsia"/>
                <w:bCs/>
                <w:szCs w:val="21"/>
              </w:rPr>
              <w:t xml:space="preserve">: </w:t>
            </w:r>
            <w:r>
              <w:rPr>
                <w:rFonts w:eastAsia="仿宋"/>
                <w:bCs/>
                <w:szCs w:val="21"/>
              </w:rPr>
              <w:t>816-821</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w:t>
            </w:r>
            <w:proofErr w:type="gramStart"/>
            <w:r>
              <w:rPr>
                <w:rFonts w:eastAsia="仿宋" w:hint="eastAsia"/>
                <w:bCs/>
                <w:sz w:val="24"/>
                <w:szCs w:val="24"/>
              </w:rPr>
              <w:t>钟晚思，严慎强</w:t>
            </w:r>
            <w:proofErr w:type="gramEnd"/>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0</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891"/>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lastRenderedPageBreak/>
              <w:t>8</w:t>
            </w:r>
          </w:p>
        </w:tc>
        <w:tc>
          <w:tcPr>
            <w:tcW w:w="2014" w:type="dxa"/>
            <w:vAlign w:val="center"/>
          </w:tcPr>
          <w:p w:rsidR="00AC0C30" w:rsidRDefault="001C01BF">
            <w:pPr>
              <w:adjustRightInd w:val="0"/>
              <w:snapToGrid w:val="0"/>
              <w:rPr>
                <w:rFonts w:eastAsia="仿宋"/>
                <w:bCs/>
                <w:sz w:val="24"/>
                <w:szCs w:val="24"/>
              </w:rPr>
            </w:pPr>
            <w:r>
              <w:rPr>
                <w:rFonts w:eastAsia="仿宋" w:hint="eastAsia"/>
                <w:bCs/>
                <w:sz w:val="24"/>
                <w:szCs w:val="24"/>
              </w:rPr>
              <w:t>Can imaging extend the thrombolytic time window after stroke?</w:t>
            </w:r>
            <w:r>
              <w:rPr>
                <w:rFonts w:eastAsia="仿宋" w:hint="eastAsia"/>
                <w:bCs/>
                <w:sz w:val="24"/>
                <w:szCs w:val="24"/>
              </w:rPr>
              <w:t>/</w:t>
            </w:r>
            <w:r>
              <w:rPr>
                <w:rFonts w:eastAsia="仿宋" w:hint="eastAsia"/>
                <w:bCs/>
                <w:sz w:val="24"/>
                <w:szCs w:val="24"/>
              </w:rPr>
              <w:t>楼敏</w:t>
            </w:r>
          </w:p>
        </w:tc>
        <w:tc>
          <w:tcPr>
            <w:tcW w:w="1425" w:type="dxa"/>
            <w:vAlign w:val="center"/>
          </w:tcPr>
          <w:p w:rsidR="00AC0C30" w:rsidRDefault="001C01BF">
            <w:pPr>
              <w:adjustRightInd w:val="0"/>
              <w:snapToGrid w:val="0"/>
              <w:jc w:val="center"/>
              <w:rPr>
                <w:rFonts w:eastAsia="仿宋"/>
                <w:bCs/>
                <w:sz w:val="24"/>
                <w:szCs w:val="24"/>
              </w:rPr>
            </w:pPr>
            <w:r>
              <w:rPr>
                <w:rFonts w:eastAsia="仿宋"/>
                <w:bCs/>
                <w:sz w:val="24"/>
                <w:szCs w:val="24"/>
              </w:rPr>
              <w:t xml:space="preserve">Nature </w:t>
            </w:r>
            <w:r>
              <w:rPr>
                <w:rFonts w:eastAsia="仿宋" w:hint="eastAsia"/>
                <w:bCs/>
                <w:sz w:val="24"/>
                <w:szCs w:val="24"/>
              </w:rPr>
              <w:t>R</w:t>
            </w:r>
            <w:r>
              <w:rPr>
                <w:rFonts w:eastAsia="仿宋"/>
                <w:bCs/>
                <w:sz w:val="24"/>
                <w:szCs w:val="24"/>
              </w:rPr>
              <w:t>eviews Neurology</w:t>
            </w:r>
          </w:p>
        </w:tc>
        <w:tc>
          <w:tcPr>
            <w:tcW w:w="1039" w:type="dxa"/>
            <w:vAlign w:val="center"/>
          </w:tcPr>
          <w:p w:rsidR="00AC0C30" w:rsidRDefault="001C01BF">
            <w:pPr>
              <w:adjustRightInd w:val="0"/>
              <w:snapToGrid w:val="0"/>
              <w:jc w:val="center"/>
              <w:rPr>
                <w:rFonts w:eastAsia="仿宋"/>
                <w:bCs/>
                <w:szCs w:val="21"/>
              </w:rPr>
            </w:pPr>
            <w:r>
              <w:rPr>
                <w:szCs w:val="21"/>
              </w:rPr>
              <w:t>2019, 15(9)</w:t>
            </w:r>
            <w:r>
              <w:rPr>
                <w:rFonts w:hint="eastAsia"/>
                <w:szCs w:val="21"/>
              </w:rPr>
              <w:t>: 496-498</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302"/>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9</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灌注加权成像</w:t>
            </w:r>
            <w:r>
              <w:rPr>
                <w:rFonts w:eastAsia="仿宋" w:hint="eastAsia"/>
                <w:bCs/>
                <w:sz w:val="24"/>
                <w:szCs w:val="24"/>
              </w:rPr>
              <w:t>-</w:t>
            </w:r>
            <w:r>
              <w:rPr>
                <w:rFonts w:eastAsia="仿宋" w:hint="eastAsia"/>
                <w:bCs/>
                <w:sz w:val="24"/>
                <w:szCs w:val="24"/>
              </w:rPr>
              <w:t>弥散加权成像不匹配与缺血性卒中静脉溶栓后早期再灌注的相关性</w:t>
            </w:r>
            <w:r>
              <w:rPr>
                <w:rFonts w:eastAsia="仿宋" w:hint="eastAsia"/>
                <w:bCs/>
                <w:sz w:val="24"/>
                <w:szCs w:val="24"/>
              </w:rPr>
              <w:t>/</w:t>
            </w:r>
            <w:r>
              <w:rPr>
                <w:rFonts w:eastAsia="仿宋" w:hint="eastAsia"/>
                <w:bCs/>
                <w:sz w:val="24"/>
                <w:szCs w:val="24"/>
              </w:rPr>
              <w:t>楼敏，严余清，陈智才，孙建忠，胡海涛，</w:t>
            </w:r>
            <w:proofErr w:type="gramStart"/>
            <w:r>
              <w:rPr>
                <w:rFonts w:eastAsia="仿宋" w:hint="eastAsia"/>
                <w:bCs/>
                <w:sz w:val="24"/>
                <w:szCs w:val="24"/>
              </w:rPr>
              <w:t>吴继敏</w:t>
            </w:r>
            <w:proofErr w:type="gramEnd"/>
          </w:p>
        </w:tc>
        <w:tc>
          <w:tcPr>
            <w:tcW w:w="1425" w:type="dxa"/>
            <w:vAlign w:val="center"/>
          </w:tcPr>
          <w:p w:rsidR="00AC0C30" w:rsidRDefault="001C01BF">
            <w:pPr>
              <w:adjustRightInd w:val="0"/>
              <w:snapToGrid w:val="0"/>
              <w:rPr>
                <w:rFonts w:eastAsia="仿宋"/>
                <w:bCs/>
                <w:sz w:val="24"/>
                <w:szCs w:val="24"/>
              </w:rPr>
            </w:pPr>
            <w:r>
              <w:rPr>
                <w:rFonts w:eastAsia="仿宋" w:hint="eastAsia"/>
                <w:bCs/>
                <w:sz w:val="24"/>
                <w:szCs w:val="24"/>
              </w:rPr>
              <w:t>中华神经科杂志</w:t>
            </w:r>
          </w:p>
        </w:tc>
        <w:tc>
          <w:tcPr>
            <w:tcW w:w="1039" w:type="dxa"/>
            <w:vAlign w:val="center"/>
          </w:tcPr>
          <w:p w:rsidR="00AC0C30" w:rsidRDefault="001C01BF">
            <w:pPr>
              <w:adjustRightInd w:val="0"/>
              <w:snapToGrid w:val="0"/>
              <w:jc w:val="center"/>
              <w:rPr>
                <w:rFonts w:eastAsia="仿宋"/>
                <w:bCs/>
                <w:sz w:val="24"/>
                <w:szCs w:val="24"/>
              </w:rPr>
            </w:pPr>
            <w:r>
              <w:rPr>
                <w:rFonts w:hint="eastAsia"/>
                <w:color w:val="000000"/>
                <w:kern w:val="0"/>
              </w:rPr>
              <w:t>2012</w:t>
            </w:r>
            <w:r>
              <w:rPr>
                <w:color w:val="000000"/>
                <w:kern w:val="0"/>
              </w:rPr>
              <w:t xml:space="preserve">, </w:t>
            </w:r>
            <w:r>
              <w:rPr>
                <w:rFonts w:hint="eastAsia"/>
                <w:color w:val="000000"/>
                <w:kern w:val="0"/>
              </w:rPr>
              <w:t>45(7)</w:t>
            </w:r>
            <w:r>
              <w:rPr>
                <w:color w:val="000000"/>
                <w:kern w:val="0"/>
              </w:rPr>
              <w:t>:</w:t>
            </w:r>
            <w:r>
              <w:rPr>
                <w:rFonts w:hint="eastAsia"/>
                <w:color w:val="000000"/>
                <w:kern w:val="0"/>
              </w:rPr>
              <w:t xml:space="preserve"> 471-477</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10</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CSCD</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698"/>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10</w:t>
            </w:r>
          </w:p>
        </w:tc>
        <w:tc>
          <w:tcPr>
            <w:tcW w:w="2014" w:type="dxa"/>
            <w:vAlign w:val="center"/>
          </w:tcPr>
          <w:p w:rsidR="00AC0C30" w:rsidRDefault="001C01BF">
            <w:pPr>
              <w:adjustRightInd w:val="0"/>
              <w:snapToGrid w:val="0"/>
              <w:jc w:val="center"/>
              <w:rPr>
                <w:rFonts w:eastAsia="仿宋"/>
                <w:bCs/>
                <w:sz w:val="24"/>
                <w:szCs w:val="24"/>
              </w:rPr>
            </w:pPr>
            <w:bookmarkStart w:id="3" w:name="OLE_LINK7"/>
            <w:r>
              <w:rPr>
                <w:rFonts w:eastAsia="仿宋" w:hint="eastAsia"/>
                <w:bCs/>
                <w:sz w:val="24"/>
                <w:szCs w:val="24"/>
              </w:rPr>
              <w:t>Impairment of</w:t>
            </w:r>
            <w:r>
              <w:rPr>
                <w:rFonts w:eastAsia="仿宋" w:hint="eastAsia"/>
                <w:bCs/>
                <w:sz w:val="24"/>
                <w:szCs w:val="24"/>
              </w:rPr>
              <w:t xml:space="preserve"> the </w:t>
            </w:r>
            <w:proofErr w:type="spellStart"/>
            <w:r>
              <w:rPr>
                <w:rFonts w:eastAsia="仿宋" w:hint="eastAsia"/>
                <w:bCs/>
                <w:sz w:val="24"/>
                <w:szCs w:val="24"/>
              </w:rPr>
              <w:t>Glymphatic</w:t>
            </w:r>
            <w:proofErr w:type="spellEnd"/>
            <w:r>
              <w:rPr>
                <w:rFonts w:eastAsia="仿宋" w:hint="eastAsia"/>
                <w:bCs/>
                <w:sz w:val="24"/>
                <w:szCs w:val="24"/>
              </w:rPr>
              <w:t xml:space="preserve"> Pathway and Putative Meningeal Lymphatic Vessels in the Aging Human</w:t>
            </w:r>
            <w:bookmarkEnd w:id="3"/>
            <w:r>
              <w:rPr>
                <w:rFonts w:eastAsia="仿宋" w:hint="eastAsia"/>
                <w:bCs/>
                <w:sz w:val="24"/>
                <w:szCs w:val="24"/>
              </w:rPr>
              <w:t>/</w:t>
            </w:r>
            <w:r>
              <w:rPr>
                <w:rFonts w:eastAsia="仿宋" w:hint="eastAsia"/>
                <w:bCs/>
                <w:sz w:val="24"/>
                <w:szCs w:val="24"/>
              </w:rPr>
              <w:t>周颖，</w:t>
            </w:r>
            <w:proofErr w:type="gramStart"/>
            <w:r>
              <w:rPr>
                <w:rFonts w:eastAsia="仿宋" w:hint="eastAsia"/>
                <w:bCs/>
                <w:sz w:val="24"/>
                <w:szCs w:val="24"/>
              </w:rPr>
              <w:t>蔡</w:t>
            </w:r>
            <w:proofErr w:type="gramEnd"/>
            <w:r>
              <w:rPr>
                <w:rFonts w:eastAsia="仿宋" w:hint="eastAsia"/>
                <w:bCs/>
                <w:sz w:val="24"/>
                <w:szCs w:val="24"/>
              </w:rPr>
              <w:t>劲松，张文华，龚筱弦，严慎强，张珂萌，罗钟毓，孙建忠，蒋泉，楼敏</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Annals of Neurology</w:t>
            </w:r>
          </w:p>
        </w:tc>
        <w:tc>
          <w:tcPr>
            <w:tcW w:w="1039" w:type="dxa"/>
            <w:vAlign w:val="center"/>
          </w:tcPr>
          <w:p w:rsidR="00AC0C30" w:rsidRDefault="001C01BF">
            <w:pPr>
              <w:adjustRightInd w:val="0"/>
              <w:snapToGrid w:val="0"/>
              <w:jc w:val="center"/>
              <w:rPr>
                <w:rFonts w:eastAsia="仿宋"/>
                <w:bCs/>
                <w:szCs w:val="21"/>
              </w:rPr>
            </w:pPr>
            <w:r>
              <w:rPr>
                <w:color w:val="000000"/>
                <w:kern w:val="0"/>
                <w:szCs w:val="21"/>
              </w:rPr>
              <w:t>2020, 87(3)</w:t>
            </w:r>
            <w:r>
              <w:rPr>
                <w:rFonts w:hint="eastAsia"/>
                <w:color w:val="000000"/>
                <w:kern w:val="0"/>
                <w:szCs w:val="21"/>
              </w:rPr>
              <w:t>: 357-369</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楼敏；周颖，</w:t>
            </w:r>
            <w:proofErr w:type="gramStart"/>
            <w:r>
              <w:rPr>
                <w:rFonts w:eastAsia="仿宋" w:hint="eastAsia"/>
                <w:bCs/>
                <w:sz w:val="24"/>
                <w:szCs w:val="24"/>
              </w:rPr>
              <w:t>蔡</w:t>
            </w:r>
            <w:proofErr w:type="gramEnd"/>
            <w:r>
              <w:rPr>
                <w:rFonts w:eastAsia="仿宋" w:hint="eastAsia"/>
                <w:bCs/>
                <w:sz w:val="24"/>
                <w:szCs w:val="24"/>
              </w:rPr>
              <w:t>劲松</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90</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805"/>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11</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 xml:space="preserve">Impaired </w:t>
            </w:r>
            <w:proofErr w:type="spellStart"/>
            <w:r>
              <w:rPr>
                <w:rFonts w:eastAsia="仿宋" w:hint="eastAsia"/>
                <w:bCs/>
                <w:sz w:val="24"/>
                <w:szCs w:val="24"/>
              </w:rPr>
              <w:t>peri</w:t>
            </w:r>
            <w:proofErr w:type="spellEnd"/>
            <w:r>
              <w:rPr>
                <w:rFonts w:eastAsia="仿宋" w:hint="eastAsia"/>
                <w:bCs/>
                <w:sz w:val="24"/>
                <w:szCs w:val="24"/>
              </w:rPr>
              <w:t xml:space="preserve">-olfactory cerebrospinal fluid clearance is associated </w:t>
            </w:r>
            <w:r>
              <w:rPr>
                <w:rFonts w:eastAsia="仿宋" w:hint="eastAsia"/>
                <w:bCs/>
                <w:sz w:val="24"/>
                <w:szCs w:val="24"/>
              </w:rPr>
              <w:t xml:space="preserve">with ageing, cognitive decline and </w:t>
            </w:r>
            <w:proofErr w:type="spellStart"/>
            <w:r>
              <w:rPr>
                <w:rFonts w:eastAsia="仿宋" w:hint="eastAsia"/>
                <w:bCs/>
                <w:sz w:val="24"/>
                <w:szCs w:val="24"/>
              </w:rPr>
              <w:t>dyssomnia</w:t>
            </w:r>
            <w:proofErr w:type="spellEnd"/>
            <w:r>
              <w:rPr>
                <w:rFonts w:eastAsia="仿宋" w:hint="eastAsia"/>
                <w:bCs/>
                <w:sz w:val="24"/>
                <w:szCs w:val="24"/>
              </w:rPr>
              <w:t>/</w:t>
            </w:r>
            <w:r>
              <w:rPr>
                <w:rFonts w:eastAsia="仿宋" w:hint="eastAsia"/>
                <w:bCs/>
                <w:sz w:val="24"/>
                <w:szCs w:val="24"/>
              </w:rPr>
              <w:t>周颖，冉旺，罗钟毓，王嘉楠，房</w:t>
            </w:r>
            <w:proofErr w:type="gramStart"/>
            <w:r>
              <w:rPr>
                <w:rFonts w:eastAsia="仿宋" w:hint="eastAsia"/>
                <w:bCs/>
                <w:sz w:val="24"/>
                <w:szCs w:val="24"/>
              </w:rPr>
              <w:t>濛濛</w:t>
            </w:r>
            <w:proofErr w:type="gramEnd"/>
            <w:r>
              <w:rPr>
                <w:rFonts w:eastAsia="仿宋" w:hint="eastAsia"/>
                <w:bCs/>
                <w:sz w:val="24"/>
                <w:szCs w:val="24"/>
              </w:rPr>
              <w:t>，魏凯，孙建忠，楼敏</w:t>
            </w:r>
          </w:p>
        </w:tc>
        <w:tc>
          <w:tcPr>
            <w:tcW w:w="1425" w:type="dxa"/>
            <w:vAlign w:val="center"/>
          </w:tcPr>
          <w:p w:rsidR="00AC0C30" w:rsidRDefault="001C01BF">
            <w:pPr>
              <w:adjustRightInd w:val="0"/>
              <w:snapToGrid w:val="0"/>
              <w:jc w:val="center"/>
              <w:rPr>
                <w:rFonts w:eastAsia="仿宋"/>
                <w:bCs/>
                <w:sz w:val="24"/>
                <w:szCs w:val="24"/>
              </w:rPr>
            </w:pPr>
            <w:proofErr w:type="spellStart"/>
            <w:r>
              <w:rPr>
                <w:rFonts w:eastAsia="仿宋" w:hint="eastAsia"/>
                <w:bCs/>
                <w:sz w:val="24"/>
                <w:szCs w:val="24"/>
              </w:rPr>
              <w:t>eBiomedicine</w:t>
            </w:r>
            <w:proofErr w:type="spellEnd"/>
          </w:p>
        </w:tc>
        <w:tc>
          <w:tcPr>
            <w:tcW w:w="1039" w:type="dxa"/>
            <w:vAlign w:val="center"/>
          </w:tcPr>
          <w:p w:rsidR="00AC0C30" w:rsidRDefault="001C01BF">
            <w:pPr>
              <w:adjustRightInd w:val="0"/>
              <w:snapToGrid w:val="0"/>
              <w:jc w:val="center"/>
              <w:rPr>
                <w:rFonts w:eastAsia="仿宋"/>
                <w:bCs/>
                <w:szCs w:val="21"/>
              </w:rPr>
            </w:pPr>
            <w:r>
              <w:rPr>
                <w:rFonts w:eastAsia="仿宋"/>
                <w:bCs/>
                <w:szCs w:val="21"/>
              </w:rPr>
              <w:t>2</w:t>
            </w:r>
            <w:r>
              <w:rPr>
                <w:rFonts w:eastAsia="仿宋"/>
                <w:bCs/>
                <w:szCs w:val="21"/>
              </w:rPr>
              <w:t>022</w:t>
            </w:r>
            <w:r>
              <w:rPr>
                <w:rFonts w:eastAsia="仿宋" w:hint="eastAsia"/>
                <w:bCs/>
                <w:szCs w:val="21"/>
              </w:rPr>
              <w:t xml:space="preserve">, </w:t>
            </w:r>
            <w:r>
              <w:rPr>
                <w:rFonts w:eastAsia="仿宋"/>
                <w:bCs/>
                <w:szCs w:val="21"/>
              </w:rPr>
              <w:t>86:</w:t>
            </w:r>
            <w:r>
              <w:rPr>
                <w:rFonts w:eastAsia="仿宋" w:hint="eastAsia"/>
                <w:bCs/>
                <w:szCs w:val="21"/>
              </w:rPr>
              <w:t xml:space="preserve"> </w:t>
            </w:r>
            <w:r>
              <w:rPr>
                <w:rFonts w:eastAsia="仿宋"/>
                <w:bCs/>
                <w:szCs w:val="21"/>
              </w:rPr>
              <w:t>104381</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楼敏；周颖，冉旺</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0</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2106"/>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12</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Cerebral venous collaterals: A new fort for fighting ischemic stroke?</w:t>
            </w:r>
            <w:r>
              <w:rPr>
                <w:rFonts w:eastAsia="仿宋" w:hint="eastAsia"/>
                <w:bCs/>
                <w:sz w:val="24"/>
                <w:szCs w:val="24"/>
              </w:rPr>
              <w:t>/</w:t>
            </w:r>
            <w:r>
              <w:rPr>
                <w:rFonts w:eastAsia="仿宋" w:hint="eastAsia"/>
                <w:bCs/>
                <w:sz w:val="24"/>
                <w:szCs w:val="24"/>
              </w:rPr>
              <w:t>童璐莎</w:t>
            </w:r>
            <w:r>
              <w:rPr>
                <w:rFonts w:eastAsia="仿宋" w:hint="eastAsia"/>
                <w:bCs/>
                <w:sz w:val="24"/>
                <w:szCs w:val="24"/>
              </w:rPr>
              <w:t xml:space="preserve">, </w:t>
            </w:r>
            <w:r>
              <w:rPr>
                <w:rFonts w:eastAsia="仿宋" w:hint="eastAsia"/>
                <w:bCs/>
                <w:sz w:val="24"/>
                <w:szCs w:val="24"/>
              </w:rPr>
              <w:t>郭珍妮</w:t>
            </w:r>
            <w:r>
              <w:rPr>
                <w:rFonts w:eastAsia="仿宋" w:hint="eastAsia"/>
                <w:bCs/>
                <w:sz w:val="24"/>
                <w:szCs w:val="24"/>
              </w:rPr>
              <w:t xml:space="preserve">, </w:t>
            </w:r>
            <w:r>
              <w:rPr>
                <w:rFonts w:eastAsia="仿宋" w:hint="eastAsia"/>
                <w:bCs/>
                <w:sz w:val="24"/>
                <w:szCs w:val="24"/>
              </w:rPr>
              <w:t>欧一博</w:t>
            </w:r>
            <w:r>
              <w:rPr>
                <w:rFonts w:eastAsia="仿宋" w:hint="eastAsia"/>
                <w:bCs/>
                <w:sz w:val="24"/>
                <w:szCs w:val="24"/>
              </w:rPr>
              <w:t xml:space="preserve">, </w:t>
            </w:r>
            <w:r>
              <w:rPr>
                <w:rFonts w:eastAsia="仿宋" w:hint="eastAsia"/>
                <w:bCs/>
                <w:sz w:val="24"/>
                <w:szCs w:val="24"/>
              </w:rPr>
              <w:t>虞燕南</w:t>
            </w:r>
            <w:r>
              <w:rPr>
                <w:rFonts w:eastAsia="仿宋" w:hint="eastAsia"/>
                <w:bCs/>
                <w:sz w:val="24"/>
                <w:szCs w:val="24"/>
              </w:rPr>
              <w:t xml:space="preserve">, </w:t>
            </w:r>
            <w:r>
              <w:rPr>
                <w:rFonts w:eastAsia="仿宋" w:hint="eastAsia"/>
                <w:bCs/>
                <w:sz w:val="24"/>
                <w:szCs w:val="24"/>
              </w:rPr>
              <w:t>张晓程</w:t>
            </w:r>
            <w:r>
              <w:rPr>
                <w:rFonts w:eastAsia="仿宋" w:hint="eastAsia"/>
                <w:bCs/>
                <w:sz w:val="24"/>
                <w:szCs w:val="24"/>
              </w:rPr>
              <w:t xml:space="preserve">, </w:t>
            </w:r>
            <w:r>
              <w:rPr>
                <w:rFonts w:eastAsia="仿宋" w:hint="eastAsia"/>
                <w:bCs/>
                <w:sz w:val="24"/>
                <w:szCs w:val="24"/>
              </w:rPr>
              <w:t>唐继平</w:t>
            </w:r>
            <w:r>
              <w:rPr>
                <w:rFonts w:eastAsia="仿宋" w:hint="eastAsia"/>
                <w:bCs/>
                <w:sz w:val="24"/>
                <w:szCs w:val="24"/>
              </w:rPr>
              <w:t xml:space="preserve">, </w:t>
            </w:r>
            <w:r>
              <w:rPr>
                <w:rFonts w:eastAsia="仿宋" w:hint="eastAsia"/>
                <w:bCs/>
                <w:sz w:val="24"/>
                <w:szCs w:val="24"/>
              </w:rPr>
              <w:lastRenderedPageBreak/>
              <w:t xml:space="preserve">John H. Zhang, </w:t>
            </w:r>
            <w:r>
              <w:rPr>
                <w:rFonts w:eastAsia="仿宋" w:hint="eastAsia"/>
                <w:bCs/>
                <w:sz w:val="24"/>
                <w:szCs w:val="24"/>
              </w:rPr>
              <w:t>楼敏</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lastRenderedPageBreak/>
              <w:t xml:space="preserve">Progress in </w:t>
            </w:r>
            <w:r>
              <w:rPr>
                <w:rFonts w:eastAsia="仿宋" w:hint="eastAsia"/>
                <w:bCs/>
                <w:sz w:val="24"/>
                <w:szCs w:val="24"/>
              </w:rPr>
              <w:t>Neurobiology</w:t>
            </w:r>
          </w:p>
        </w:tc>
        <w:tc>
          <w:tcPr>
            <w:tcW w:w="1039" w:type="dxa"/>
            <w:vAlign w:val="center"/>
          </w:tcPr>
          <w:p w:rsidR="00AC0C30" w:rsidRDefault="001C01BF">
            <w:pPr>
              <w:adjustRightInd w:val="0"/>
              <w:snapToGrid w:val="0"/>
              <w:jc w:val="center"/>
              <w:rPr>
                <w:rFonts w:eastAsia="仿宋"/>
                <w:bCs/>
                <w:sz w:val="24"/>
                <w:szCs w:val="24"/>
              </w:rPr>
            </w:pPr>
            <w:r>
              <w:rPr>
                <w:rFonts w:eastAsia="仿宋" w:hint="eastAsia"/>
                <w:bCs/>
                <w:szCs w:val="21"/>
              </w:rPr>
              <w:t xml:space="preserve">2018, </w:t>
            </w:r>
            <w:r>
              <w:rPr>
                <w:rFonts w:eastAsia="仿宋" w:hint="eastAsia"/>
                <w:bCs/>
                <w:szCs w:val="21"/>
              </w:rPr>
              <w:t>163</w:t>
            </w:r>
            <w:r>
              <w:rPr>
                <w:rFonts w:eastAsia="仿宋" w:hint="eastAsia"/>
                <w:bCs/>
                <w:szCs w:val="21"/>
              </w:rPr>
              <w:t>:</w:t>
            </w:r>
            <w:r>
              <w:rPr>
                <w:rFonts w:eastAsia="仿宋" w:hint="eastAsia"/>
                <w:bCs/>
                <w:szCs w:val="21"/>
              </w:rPr>
              <w:t xml:space="preserve"> </w:t>
            </w:r>
            <w:r>
              <w:rPr>
                <w:rFonts w:eastAsia="仿宋" w:hint="eastAsia"/>
                <w:bCs/>
                <w:szCs w:val="21"/>
              </w:rPr>
              <w:t>172-193</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w:t>
            </w:r>
            <w:r>
              <w:rPr>
                <w:rFonts w:eastAsia="仿宋" w:hint="eastAsia"/>
                <w:bCs/>
                <w:sz w:val="24"/>
                <w:szCs w:val="24"/>
              </w:rPr>
              <w:t>John H. Zhang</w:t>
            </w:r>
            <w:r>
              <w:rPr>
                <w:rFonts w:eastAsia="仿宋" w:hint="eastAsia"/>
                <w:bCs/>
                <w:sz w:val="24"/>
                <w:szCs w:val="24"/>
              </w:rPr>
              <w:t>；童璐莎</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33</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是</w:t>
            </w:r>
          </w:p>
        </w:tc>
      </w:tr>
      <w:tr w:rsidR="00AC0C30">
        <w:trPr>
          <w:trHeight w:val="1548"/>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lastRenderedPageBreak/>
              <w:t>13</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Absent Filling of Ipsilateral Superficial Middle Cerebral Vein Is Associated With Poor Outcome After Reperfusion Therapy/</w:t>
            </w:r>
            <w:r>
              <w:rPr>
                <w:rFonts w:eastAsia="仿宋" w:hint="eastAsia"/>
                <w:bCs/>
                <w:sz w:val="24"/>
                <w:szCs w:val="24"/>
              </w:rPr>
              <w:t>张圣，赖赖杨骁，丁信法，</w:t>
            </w:r>
            <w:r>
              <w:rPr>
                <w:rFonts w:eastAsia="仿宋" w:hint="eastAsia"/>
                <w:bCs/>
                <w:sz w:val="24"/>
                <w:szCs w:val="24"/>
              </w:rPr>
              <w:t>Mark Parsons</w:t>
            </w:r>
            <w:r>
              <w:rPr>
                <w:rFonts w:eastAsia="仿宋" w:hint="eastAsia"/>
                <w:bCs/>
                <w:sz w:val="24"/>
                <w:szCs w:val="24"/>
              </w:rPr>
              <w:t>，</w:t>
            </w:r>
            <w:r>
              <w:rPr>
                <w:rFonts w:eastAsia="仿宋" w:hint="eastAsia"/>
                <w:bCs/>
                <w:sz w:val="24"/>
                <w:szCs w:val="24"/>
              </w:rPr>
              <w:t>John H Zhang</w:t>
            </w:r>
            <w:r>
              <w:rPr>
                <w:rFonts w:eastAsia="仿宋" w:hint="eastAsia"/>
                <w:bCs/>
                <w:sz w:val="24"/>
                <w:szCs w:val="24"/>
              </w:rPr>
              <w:t>，楼敏</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Stroke</w:t>
            </w:r>
          </w:p>
        </w:tc>
        <w:tc>
          <w:tcPr>
            <w:tcW w:w="1039" w:type="dxa"/>
            <w:vAlign w:val="center"/>
          </w:tcPr>
          <w:p w:rsidR="00AC0C30" w:rsidRDefault="001C01BF">
            <w:pPr>
              <w:adjustRightInd w:val="0"/>
              <w:snapToGrid w:val="0"/>
              <w:jc w:val="center"/>
              <w:rPr>
                <w:rFonts w:eastAsia="仿宋"/>
                <w:bCs/>
                <w:szCs w:val="21"/>
              </w:rPr>
            </w:pPr>
            <w:r>
              <w:rPr>
                <w:rFonts w:eastAsia="仿宋"/>
                <w:bCs/>
                <w:szCs w:val="21"/>
              </w:rPr>
              <w:t>201</w:t>
            </w:r>
            <w:r>
              <w:rPr>
                <w:rFonts w:eastAsia="仿宋" w:hint="eastAsia"/>
                <w:bCs/>
                <w:szCs w:val="21"/>
              </w:rPr>
              <w:t>7</w:t>
            </w:r>
            <w:r>
              <w:rPr>
                <w:rFonts w:eastAsia="仿宋"/>
                <w:bCs/>
                <w:szCs w:val="21"/>
              </w:rPr>
              <w:t xml:space="preserve">, </w:t>
            </w:r>
            <w:r>
              <w:rPr>
                <w:rFonts w:eastAsia="仿宋" w:hint="eastAsia"/>
                <w:bCs/>
                <w:szCs w:val="21"/>
              </w:rPr>
              <w:t>48</w:t>
            </w:r>
            <w:r>
              <w:rPr>
                <w:rFonts w:eastAsia="仿宋"/>
                <w:bCs/>
                <w:szCs w:val="21"/>
              </w:rPr>
              <w:t>(</w:t>
            </w:r>
            <w:r>
              <w:rPr>
                <w:rFonts w:eastAsia="仿宋" w:hint="eastAsia"/>
                <w:bCs/>
                <w:szCs w:val="21"/>
              </w:rPr>
              <w:t>4</w:t>
            </w:r>
            <w:r>
              <w:rPr>
                <w:rFonts w:eastAsia="仿宋"/>
                <w:bCs/>
                <w:szCs w:val="21"/>
              </w:rPr>
              <w:t>):</w:t>
            </w:r>
            <w:r>
              <w:rPr>
                <w:rFonts w:eastAsia="仿宋" w:hint="eastAsia"/>
                <w:bCs/>
                <w:szCs w:val="21"/>
              </w:rPr>
              <w:t xml:space="preserve"> 907-914</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楼敏；张圣</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27</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960"/>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14</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Early Fibrinogen Depletion and Symptomatic Intracranial Hemorrhage After Reperfusion Therapy/</w:t>
            </w:r>
            <w:r>
              <w:rPr>
                <w:rFonts w:eastAsia="仿宋" w:hint="eastAsia"/>
                <w:bCs/>
                <w:sz w:val="24"/>
                <w:szCs w:val="24"/>
              </w:rPr>
              <w:t>严慎强，张旭婷，章</w:t>
            </w:r>
            <w:proofErr w:type="gramStart"/>
            <w:r>
              <w:rPr>
                <w:rFonts w:eastAsia="仿宋" w:hint="eastAsia"/>
                <w:bCs/>
                <w:sz w:val="24"/>
                <w:szCs w:val="24"/>
              </w:rPr>
              <w:t>若夏</w:t>
            </w:r>
            <w:proofErr w:type="gramEnd"/>
            <w:r>
              <w:rPr>
                <w:rFonts w:eastAsia="仿宋" w:hint="eastAsia"/>
                <w:bCs/>
                <w:sz w:val="24"/>
                <w:szCs w:val="24"/>
              </w:rPr>
              <w:t>，许锦锦，楼敏</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Stroke</w:t>
            </w:r>
          </w:p>
        </w:tc>
        <w:tc>
          <w:tcPr>
            <w:tcW w:w="1039" w:type="dxa"/>
            <w:vAlign w:val="center"/>
          </w:tcPr>
          <w:p w:rsidR="00AC0C30" w:rsidRDefault="001C01BF">
            <w:pPr>
              <w:adjustRightInd w:val="0"/>
              <w:snapToGrid w:val="0"/>
              <w:rPr>
                <w:rFonts w:eastAsia="仿宋"/>
                <w:bCs/>
                <w:szCs w:val="21"/>
              </w:rPr>
            </w:pPr>
            <w:r>
              <w:rPr>
                <w:rFonts w:eastAsia="仿宋" w:hint="eastAsia"/>
                <w:bCs/>
                <w:szCs w:val="21"/>
              </w:rPr>
              <w:t>2019, 5</w:t>
            </w:r>
            <w:r>
              <w:rPr>
                <w:rFonts w:eastAsia="仿宋"/>
                <w:bCs/>
                <w:szCs w:val="21"/>
              </w:rPr>
              <w:t>(</w:t>
            </w:r>
            <w:r>
              <w:rPr>
                <w:rFonts w:eastAsia="仿宋" w:hint="eastAsia"/>
                <w:bCs/>
                <w:szCs w:val="21"/>
              </w:rPr>
              <w:t>10</w:t>
            </w:r>
            <w:r>
              <w:rPr>
                <w:rFonts w:eastAsia="仿宋"/>
                <w:bCs/>
                <w:szCs w:val="21"/>
              </w:rPr>
              <w:t>)</w:t>
            </w:r>
            <w:r>
              <w:rPr>
                <w:rFonts w:eastAsia="仿宋" w:hint="eastAsia"/>
                <w:bCs/>
                <w:szCs w:val="21"/>
              </w:rPr>
              <w:t>: 2716-2721</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楼敏；严慎强，张旭婷</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6</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r w:rsidR="00AC0C30">
        <w:trPr>
          <w:trHeight w:val="1837"/>
        </w:trPr>
        <w:tc>
          <w:tcPr>
            <w:tcW w:w="822"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15</w:t>
            </w:r>
          </w:p>
        </w:tc>
        <w:tc>
          <w:tcPr>
            <w:tcW w:w="2014"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Early NT-</w:t>
            </w:r>
            <w:proofErr w:type="spellStart"/>
            <w:r>
              <w:rPr>
                <w:rFonts w:eastAsia="仿宋" w:hint="eastAsia"/>
                <w:bCs/>
                <w:sz w:val="24"/>
                <w:szCs w:val="24"/>
              </w:rPr>
              <w:t>ProBNP</w:t>
            </w:r>
            <w:proofErr w:type="spellEnd"/>
            <w:r>
              <w:rPr>
                <w:rFonts w:eastAsia="仿宋" w:hint="eastAsia"/>
                <w:bCs/>
                <w:sz w:val="24"/>
                <w:szCs w:val="24"/>
              </w:rPr>
              <w:t xml:space="preserve"> (N-Terminal </w:t>
            </w:r>
            <w:proofErr w:type="spellStart"/>
            <w:r>
              <w:rPr>
                <w:rFonts w:eastAsia="仿宋" w:hint="eastAsia"/>
                <w:bCs/>
                <w:sz w:val="24"/>
                <w:szCs w:val="24"/>
              </w:rPr>
              <w:t>Probrain</w:t>
            </w:r>
            <w:proofErr w:type="spellEnd"/>
            <w:r>
              <w:rPr>
                <w:rFonts w:eastAsia="仿宋" w:hint="eastAsia"/>
                <w:bCs/>
                <w:sz w:val="24"/>
                <w:szCs w:val="24"/>
              </w:rPr>
              <w:t xml:space="preserve"> Natriuretic Peptide) Elevation </w:t>
            </w:r>
            <w:r>
              <w:rPr>
                <w:rFonts w:eastAsia="仿宋" w:hint="eastAsia"/>
                <w:bCs/>
                <w:sz w:val="24"/>
                <w:szCs w:val="24"/>
              </w:rPr>
              <w:t>Predicts Malignant Edema and Death After Reperfusion Therapy in Acute Ischemic Stroke Patients</w:t>
            </w:r>
            <w:r>
              <w:rPr>
                <w:rFonts w:eastAsia="仿宋" w:hint="eastAsia"/>
                <w:bCs/>
                <w:sz w:val="24"/>
                <w:szCs w:val="24"/>
              </w:rPr>
              <w:t>/</w:t>
            </w:r>
            <w:r>
              <w:rPr>
                <w:rFonts w:eastAsia="仿宋" w:hint="eastAsia"/>
                <w:bCs/>
                <w:sz w:val="24"/>
                <w:szCs w:val="24"/>
              </w:rPr>
              <w:t>张旭婷，严慎强，钟晚思，虞燕南，楼敏</w:t>
            </w:r>
          </w:p>
        </w:tc>
        <w:tc>
          <w:tcPr>
            <w:tcW w:w="1425"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Stroke</w:t>
            </w:r>
          </w:p>
        </w:tc>
        <w:tc>
          <w:tcPr>
            <w:tcW w:w="1039" w:type="dxa"/>
            <w:vAlign w:val="center"/>
          </w:tcPr>
          <w:p w:rsidR="00AC0C30" w:rsidRDefault="001C01BF">
            <w:pPr>
              <w:adjustRightInd w:val="0"/>
              <w:snapToGrid w:val="0"/>
              <w:jc w:val="center"/>
              <w:rPr>
                <w:rFonts w:eastAsia="仿宋"/>
                <w:bCs/>
                <w:sz w:val="24"/>
                <w:szCs w:val="24"/>
              </w:rPr>
            </w:pPr>
            <w:r>
              <w:rPr>
                <w:rFonts w:eastAsia="仿宋"/>
                <w:bCs/>
                <w:szCs w:val="21"/>
              </w:rPr>
              <w:t>2021</w:t>
            </w:r>
            <w:r>
              <w:rPr>
                <w:rFonts w:eastAsia="仿宋" w:hint="eastAsia"/>
                <w:bCs/>
                <w:szCs w:val="21"/>
              </w:rPr>
              <w:t xml:space="preserve">, </w:t>
            </w:r>
            <w:r>
              <w:rPr>
                <w:rFonts w:eastAsia="仿宋"/>
                <w:bCs/>
                <w:szCs w:val="21"/>
              </w:rPr>
              <w:t>52</w:t>
            </w:r>
            <w:r>
              <w:rPr>
                <w:rFonts w:eastAsia="仿宋" w:hint="eastAsia"/>
                <w:bCs/>
                <w:szCs w:val="21"/>
              </w:rPr>
              <w:t>(2)</w:t>
            </w:r>
            <w:r>
              <w:rPr>
                <w:rFonts w:eastAsia="仿宋"/>
                <w:bCs/>
                <w:szCs w:val="21"/>
              </w:rPr>
              <w:t>:</w:t>
            </w:r>
            <w:r>
              <w:rPr>
                <w:rFonts w:eastAsia="仿宋" w:hint="eastAsia"/>
                <w:bCs/>
                <w:szCs w:val="21"/>
              </w:rPr>
              <w:t xml:space="preserve"> </w:t>
            </w:r>
            <w:r>
              <w:rPr>
                <w:rFonts w:eastAsia="仿宋"/>
                <w:bCs/>
                <w:szCs w:val="21"/>
              </w:rPr>
              <w:t>537–542</w:t>
            </w:r>
          </w:p>
        </w:tc>
        <w:tc>
          <w:tcPr>
            <w:tcW w:w="1286"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楼敏；张旭婷，严慎强</w:t>
            </w:r>
          </w:p>
        </w:tc>
        <w:tc>
          <w:tcPr>
            <w:tcW w:w="707"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6</w:t>
            </w:r>
          </w:p>
        </w:tc>
        <w:tc>
          <w:tcPr>
            <w:tcW w:w="79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SCIE</w:t>
            </w:r>
          </w:p>
        </w:tc>
        <w:tc>
          <w:tcPr>
            <w:tcW w:w="913" w:type="dxa"/>
            <w:vAlign w:val="center"/>
          </w:tcPr>
          <w:p w:rsidR="00AC0C30" w:rsidRDefault="001C01BF">
            <w:pPr>
              <w:adjustRightInd w:val="0"/>
              <w:snapToGrid w:val="0"/>
              <w:jc w:val="center"/>
              <w:rPr>
                <w:rFonts w:eastAsia="仿宋"/>
                <w:bCs/>
                <w:sz w:val="24"/>
                <w:szCs w:val="24"/>
              </w:rPr>
            </w:pPr>
            <w:r>
              <w:rPr>
                <w:rFonts w:eastAsia="仿宋" w:hint="eastAsia"/>
                <w:bCs/>
                <w:sz w:val="24"/>
                <w:szCs w:val="24"/>
              </w:rPr>
              <w:t>否</w:t>
            </w:r>
          </w:p>
        </w:tc>
      </w:tr>
    </w:tbl>
    <w:p w:rsidR="00AC0C30" w:rsidRDefault="00AC0C30">
      <w:pPr>
        <w:adjustRightInd w:val="0"/>
        <w:snapToGrid w:val="0"/>
        <w:spacing w:line="500" w:lineRule="exact"/>
        <w:rPr>
          <w:color w:val="000000"/>
          <w:kern w:val="0"/>
          <w:sz w:val="28"/>
          <w:szCs w:val="28"/>
        </w:rPr>
      </w:pPr>
    </w:p>
    <w:p w:rsidR="00AC0C30" w:rsidRDefault="001C01BF">
      <w:pPr>
        <w:pStyle w:val="Style8"/>
        <w:snapToGrid w:val="0"/>
        <w:spacing w:line="500" w:lineRule="exact"/>
        <w:ind w:firstLineChars="0" w:firstLine="0"/>
        <w:rPr>
          <w:rFonts w:ascii="Times New Roman"/>
          <w:color w:val="000000"/>
          <w:kern w:val="0"/>
          <w:sz w:val="28"/>
          <w:szCs w:val="28"/>
        </w:rPr>
      </w:pPr>
      <w:r>
        <w:rPr>
          <w:rFonts w:ascii="Times New Roman"/>
          <w:color w:val="000000"/>
          <w:kern w:val="0"/>
          <w:sz w:val="28"/>
          <w:szCs w:val="28"/>
        </w:rPr>
        <w:t>主要知识产权和标准规范等目录：</w:t>
      </w:r>
    </w:p>
    <w:p w:rsidR="00AC0C30" w:rsidRDefault="001C01BF">
      <w:r>
        <w:rPr>
          <w:rFonts w:hint="eastAsia"/>
        </w:rPr>
        <w:t>发明专利，无创测量脑组织铁含量的方法，</w:t>
      </w:r>
      <w:r>
        <w:rPr>
          <w:rFonts w:hint="eastAsia"/>
        </w:rPr>
        <w:t>ZL2012 1 0250456.4</w:t>
      </w:r>
      <w:r>
        <w:rPr>
          <w:rFonts w:hint="eastAsia"/>
        </w:rPr>
        <w:t>，</w:t>
      </w:r>
      <w:r>
        <w:rPr>
          <w:rFonts w:hint="eastAsia"/>
        </w:rPr>
        <w:t>2013</w:t>
      </w:r>
      <w:r>
        <w:rPr>
          <w:rFonts w:hint="eastAsia"/>
        </w:rPr>
        <w:t>年</w:t>
      </w:r>
      <w:r>
        <w:rPr>
          <w:rFonts w:hint="eastAsia"/>
        </w:rPr>
        <w:t>11</w:t>
      </w:r>
      <w:r>
        <w:rPr>
          <w:rFonts w:hint="eastAsia"/>
        </w:rPr>
        <w:t>月</w:t>
      </w:r>
      <w:r>
        <w:rPr>
          <w:rFonts w:hint="eastAsia"/>
        </w:rPr>
        <w:t>27</w:t>
      </w:r>
      <w:r>
        <w:rPr>
          <w:rFonts w:hint="eastAsia"/>
        </w:rPr>
        <w:t>日，证书</w:t>
      </w:r>
      <w:r>
        <w:rPr>
          <w:rFonts w:hint="eastAsia"/>
        </w:rPr>
        <w:lastRenderedPageBreak/>
        <w:t>号</w:t>
      </w:r>
      <w:r>
        <w:rPr>
          <w:rFonts w:hint="eastAsia"/>
        </w:rPr>
        <w:t xml:space="preserve"> </w:t>
      </w:r>
      <w:r>
        <w:rPr>
          <w:rFonts w:hint="eastAsia"/>
        </w:rPr>
        <w:t>第</w:t>
      </w:r>
      <w:r>
        <w:rPr>
          <w:rFonts w:hint="eastAsia"/>
        </w:rPr>
        <w:t>1313252</w:t>
      </w:r>
      <w:r>
        <w:rPr>
          <w:rFonts w:hint="eastAsia"/>
        </w:rPr>
        <w:t>号，浙江大学；楼敏、严慎强、孙建忠</w:t>
      </w:r>
    </w:p>
    <w:p w:rsidR="00AC0C30" w:rsidRDefault="00AC0C30"/>
    <w:sectPr w:rsidR="00AC0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DQ0ZmI0YmVjNDM5ZjdjMTRkNGUzOGYzMTEyMzUifQ=="/>
  </w:docVars>
  <w:rsids>
    <w:rsidRoot w:val="00897AC5"/>
    <w:rsid w:val="0001652B"/>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01BF"/>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C0C30"/>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303005A"/>
    <w:rsid w:val="0477584E"/>
    <w:rsid w:val="05AE5B56"/>
    <w:rsid w:val="06654884"/>
    <w:rsid w:val="0BC52C2B"/>
    <w:rsid w:val="0E7C1F68"/>
    <w:rsid w:val="0EB10820"/>
    <w:rsid w:val="0F0867E4"/>
    <w:rsid w:val="112062F9"/>
    <w:rsid w:val="116067C4"/>
    <w:rsid w:val="13E01094"/>
    <w:rsid w:val="15AC660B"/>
    <w:rsid w:val="26BC466F"/>
    <w:rsid w:val="32695EF0"/>
    <w:rsid w:val="3DE80851"/>
    <w:rsid w:val="429E5589"/>
    <w:rsid w:val="4730211E"/>
    <w:rsid w:val="4764430C"/>
    <w:rsid w:val="49C31A57"/>
    <w:rsid w:val="4A4137DC"/>
    <w:rsid w:val="4D50080C"/>
    <w:rsid w:val="575536A0"/>
    <w:rsid w:val="591132CE"/>
    <w:rsid w:val="5C4414BE"/>
    <w:rsid w:val="5F9E172B"/>
    <w:rsid w:val="62CC6C1B"/>
    <w:rsid w:val="6855656E"/>
    <w:rsid w:val="6B2870FA"/>
    <w:rsid w:val="6EC5044B"/>
    <w:rsid w:val="6F6B69F3"/>
    <w:rsid w:val="784F27C1"/>
    <w:rsid w:val="7B00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3</cp:revision>
  <dcterms:created xsi:type="dcterms:W3CDTF">2022-03-17T09:56:00Z</dcterms:created>
  <dcterms:modified xsi:type="dcterms:W3CDTF">2023-04-24T03:26:00Z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5FAD050746DA40BE89222F9A6490A6F6_12</vt:lpwstr>
  </property>
</Properties>
</file>