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附：公示内容（至少包括</w:t>
      </w:r>
      <w:r>
        <w:rPr>
          <w:rFonts w:hint="eastAsia"/>
          <w:color w:val="000000"/>
          <w:kern w:val="0"/>
          <w:sz w:val="28"/>
          <w:szCs w:val="28"/>
        </w:rPr>
        <w:t>以</w:t>
      </w:r>
      <w:r>
        <w:rPr>
          <w:color w:val="000000"/>
          <w:kern w:val="0"/>
          <w:sz w:val="28"/>
          <w:szCs w:val="28"/>
        </w:rPr>
        <w:t>下方面）</w:t>
      </w:r>
    </w:p>
    <w:p>
      <w:pPr>
        <w:adjustRightInd w:val="0"/>
        <w:snapToGrid w:val="0"/>
        <w:spacing w:line="500" w:lineRule="exact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申报科学技术奖、卫生事业管理奖、医学科普奖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、青年医学科技奖</w:t>
      </w:r>
      <w:r>
        <w:rPr>
          <w:b/>
          <w:bCs/>
          <w:color w:val="000000"/>
          <w:kern w:val="0"/>
          <w:sz w:val="28"/>
          <w:szCs w:val="28"/>
        </w:rPr>
        <w:t>公示内容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如下：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奖项类别：</w:t>
      </w:r>
      <w:r>
        <w:rPr>
          <w:rFonts w:hint="eastAsia"/>
          <w:color w:val="000000"/>
          <w:kern w:val="0"/>
          <w:sz w:val="28"/>
          <w:szCs w:val="28"/>
        </w:rPr>
        <w:t>青年医学科技奖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项目名称</w:t>
      </w:r>
      <w:r>
        <w:rPr>
          <w:rFonts w:hint="eastAsia"/>
          <w:color w:val="000000"/>
          <w:kern w:val="0"/>
          <w:sz w:val="28"/>
          <w:szCs w:val="28"/>
        </w:rPr>
        <w:t>（或候选人姓名）</w:t>
      </w:r>
      <w:r>
        <w:rPr>
          <w:color w:val="000000"/>
          <w:kern w:val="0"/>
          <w:sz w:val="28"/>
          <w:szCs w:val="28"/>
        </w:rPr>
        <w:t xml:space="preserve">： </w:t>
      </w:r>
      <w:r>
        <w:rPr>
          <w:rFonts w:hint="eastAsia"/>
          <w:color w:val="000000"/>
          <w:kern w:val="0"/>
          <w:sz w:val="28"/>
          <w:szCs w:val="28"/>
        </w:rPr>
        <w:t>林贤丰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主要完成人（含排序）：</w:t>
      </w:r>
      <w:r>
        <w:rPr>
          <w:rFonts w:hint="eastAsia"/>
          <w:color w:val="000000"/>
          <w:kern w:val="0"/>
          <w:sz w:val="28"/>
          <w:szCs w:val="28"/>
        </w:rPr>
        <w:t>林贤丰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主要完成单位（含排序）： </w:t>
      </w:r>
      <w:r>
        <w:rPr>
          <w:rFonts w:hint="eastAsia"/>
          <w:color w:val="000000"/>
          <w:kern w:val="0"/>
          <w:sz w:val="28"/>
          <w:szCs w:val="28"/>
        </w:rPr>
        <w:t>浙江大学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项目简介</w:t>
      </w:r>
      <w:r>
        <w:rPr>
          <w:rFonts w:hint="eastAsia"/>
          <w:color w:val="000000"/>
          <w:kern w:val="0"/>
          <w:sz w:val="28"/>
          <w:szCs w:val="28"/>
        </w:rPr>
        <w:t>（或候选人科技成就和贡献简介）</w:t>
      </w:r>
      <w:r>
        <w:rPr>
          <w:color w:val="000000"/>
          <w:kern w:val="0"/>
          <w:sz w:val="28"/>
          <w:szCs w:val="28"/>
        </w:rPr>
        <w:t xml:space="preserve">： 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候选人专注骨肌系统损伤/退变及修复研究，实现了以多层级细胞代谢调控为治疗“扳机点”的创新突破，近五年以通讯/第一作者在Nature、Matter、Dev Cell、Sci Adv、JACS等发表学术论文20余篇，H指数24。多篇研究入选F1000Prime推荐论文（★★★、★★）、中国百篇最具影响国际学术论文、TOP1% ESI高被引论文。第一发明人授权中国发明专利11项，PCT国际专利6项。获浙江省卫生高层次人才计划、中国青年创业奖。主持多项国家自然科学基金和科技部重点研发计划子课题项目。担任瑞士国家科学基金外籍评审人、VinFuture Prize奖提名专家。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代表性论文（专著）目录：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eastAsia="微软雅黑"/>
          <w:sz w:val="24"/>
          <w:szCs w:val="21"/>
        </w:rPr>
        <w:t>Chen, P.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>; Liu, X.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>, Gu, C.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 xml:space="preserve">, Zhong, P.; Song, N.; Li, M.; Dai, Z.; Fang, X.; Liu, Z.; Zhang, J.; Tang, R.*; Fan, S.*; </w:t>
      </w:r>
      <w:r>
        <w:rPr>
          <w:rFonts w:eastAsia="微软雅黑"/>
          <w:b/>
          <w:bCs/>
          <w:sz w:val="24"/>
          <w:szCs w:val="21"/>
          <w:u w:val="single"/>
        </w:rPr>
        <w:t>Lin, X.</w:t>
      </w:r>
      <w:r>
        <w:rPr>
          <w:rFonts w:eastAsia="微软雅黑"/>
          <w:b/>
          <w:bCs/>
          <w:sz w:val="24"/>
          <w:szCs w:val="21"/>
        </w:rPr>
        <w:t xml:space="preserve">* </w:t>
      </w:r>
      <w:r>
        <w:rPr>
          <w:rFonts w:eastAsia="微软雅黑"/>
          <w:sz w:val="24"/>
          <w:szCs w:val="21"/>
        </w:rPr>
        <w:t>A plant-derived independent natural photosynthetic system for improving cell anabol</w:t>
      </w:r>
      <w:r>
        <w:rPr>
          <w:rFonts w:hint="eastAsia" w:eastAsia="微软雅黑"/>
          <w:sz w:val="24"/>
          <w:szCs w:val="21"/>
        </w:rPr>
        <w:t>ism</w:t>
      </w:r>
      <w:r>
        <w:rPr>
          <w:rFonts w:eastAsia="微软雅黑"/>
          <w:sz w:val="24"/>
          <w:szCs w:val="21"/>
        </w:rPr>
        <w:t>.</w:t>
      </w:r>
      <w:r>
        <w:rPr>
          <w:rFonts w:hint="eastAsia" w:eastAsia="微软雅黑"/>
          <w:sz w:val="24"/>
          <w:szCs w:val="21"/>
        </w:rPr>
        <w:t xml:space="preserve"> </w:t>
      </w:r>
      <w:r>
        <w:rPr>
          <w:rFonts w:hint="eastAsia" w:eastAsia="微软雅黑"/>
          <w:b/>
          <w:bCs/>
          <w:i/>
          <w:sz w:val="24"/>
          <w:szCs w:val="21"/>
        </w:rPr>
        <w:t>Nature</w:t>
      </w:r>
      <w:r>
        <w:rPr>
          <w:rFonts w:hint="eastAsia" w:eastAsia="微软雅黑"/>
          <w:sz w:val="24"/>
          <w:szCs w:val="21"/>
        </w:rPr>
        <w:t>, 2022</w:t>
      </w:r>
      <w:r>
        <w:rPr>
          <w:rFonts w:eastAsia="微软雅黑"/>
          <w:sz w:val="24"/>
          <w:szCs w:val="21"/>
        </w:rPr>
        <w:t xml:space="preserve">, </w:t>
      </w:r>
      <w:r>
        <w:rPr>
          <w:rFonts w:eastAsia="微软雅黑"/>
          <w:i/>
          <w:sz w:val="24"/>
          <w:szCs w:val="21"/>
        </w:rPr>
        <w:t>612</w:t>
      </w:r>
      <w:r>
        <w:rPr>
          <w:rFonts w:eastAsia="微软雅黑"/>
          <w:sz w:val="24"/>
          <w:szCs w:val="21"/>
        </w:rPr>
        <w:t xml:space="preserve">, 546–554. </w:t>
      </w:r>
      <w:r>
        <w:rPr>
          <w:rFonts w:eastAsia="微软雅黑"/>
          <w:b/>
          <w:sz w:val="24"/>
          <w:szCs w:val="21"/>
        </w:rPr>
        <w:t>(F1000Prime</w:t>
      </w:r>
      <w:r>
        <w:rPr>
          <w:rFonts w:ascii="Wingdings" w:hAnsi="Wingdings" w:eastAsia="微软雅黑" w:cs="Segoe UI Symbol"/>
          <w:sz w:val="24"/>
        </w:rPr>
        <w:t>«««</w:t>
      </w:r>
      <w:r>
        <w:rPr>
          <w:rFonts w:eastAsia="微软雅黑"/>
          <w:b/>
          <w:sz w:val="24"/>
          <w:szCs w:val="21"/>
        </w:rPr>
        <w:t>)</w:t>
      </w:r>
    </w:p>
    <w:p>
      <w:pPr>
        <w:rPr>
          <w:sz w:val="24"/>
          <w:szCs w:val="24"/>
        </w:rPr>
      </w:pPr>
    </w:p>
    <w:p>
      <w:pPr>
        <w:rPr>
          <w:rFonts w:eastAsia="微软雅黑"/>
          <w:b/>
          <w:bCs/>
          <w:sz w:val="24"/>
          <w:szCs w:val="21"/>
        </w:rPr>
      </w:pPr>
      <w:r>
        <w:rPr>
          <w:rFonts w:eastAsia="微软雅黑"/>
          <w:sz w:val="24"/>
          <w:szCs w:val="21"/>
        </w:rPr>
        <w:t>2. Chen, P.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>; Pan, K.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>; Song, N.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>; Yang, Y.; G</w:t>
      </w:r>
      <w:r>
        <w:rPr>
          <w:rFonts w:hint="eastAsia" w:eastAsia="微软雅黑"/>
          <w:sz w:val="24"/>
          <w:szCs w:val="21"/>
        </w:rPr>
        <w:t>u</w:t>
      </w:r>
      <w:r>
        <w:rPr>
          <w:rFonts w:eastAsia="微软雅黑"/>
          <w:sz w:val="24"/>
          <w:szCs w:val="21"/>
        </w:rPr>
        <w:t>, C.; Zhong, P.; Li, L.; L</w:t>
      </w:r>
      <w:r>
        <w:rPr>
          <w:rFonts w:hint="eastAsia" w:eastAsia="微软雅黑"/>
          <w:sz w:val="24"/>
          <w:szCs w:val="21"/>
        </w:rPr>
        <w:t>i</w:t>
      </w:r>
      <w:r>
        <w:rPr>
          <w:rFonts w:eastAsia="微软雅黑"/>
          <w:sz w:val="24"/>
          <w:szCs w:val="21"/>
        </w:rPr>
        <w:t>, M.; Z</w:t>
      </w:r>
      <w:r>
        <w:rPr>
          <w:rFonts w:hint="eastAsia" w:eastAsia="微软雅黑"/>
          <w:sz w:val="24"/>
          <w:szCs w:val="21"/>
        </w:rPr>
        <w:t>hang</w:t>
      </w:r>
      <w:r>
        <w:rPr>
          <w:rFonts w:eastAsia="微软雅黑"/>
          <w:sz w:val="24"/>
          <w:szCs w:val="21"/>
        </w:rPr>
        <w:t xml:space="preserve">, Y.; Dai, Z.; Shangguan, L.; Lei, C.; Liu, Z.; Zhang, J.; Tang, R.; Liu, C.*; Fan, S.*; </w:t>
      </w:r>
      <w:r>
        <w:rPr>
          <w:rFonts w:eastAsia="微软雅黑"/>
          <w:b/>
          <w:bCs/>
          <w:sz w:val="24"/>
          <w:szCs w:val="21"/>
          <w:u w:val="single"/>
        </w:rPr>
        <w:t>Lin, X.</w:t>
      </w:r>
      <w:r>
        <w:rPr>
          <w:rFonts w:eastAsia="微软雅黑"/>
          <w:b/>
          <w:bCs/>
          <w:sz w:val="24"/>
          <w:szCs w:val="21"/>
        </w:rPr>
        <w:t xml:space="preserve">* </w:t>
      </w:r>
      <w:r>
        <w:rPr>
          <w:rFonts w:eastAsia="微软雅黑"/>
          <w:sz w:val="24"/>
          <w:szCs w:val="21"/>
        </w:rPr>
        <w:t xml:space="preserve">A natural extracellular matrix hydrogel through selective nutrient restriction for hyperinflammatory starvation therapy. </w:t>
      </w:r>
      <w:r>
        <w:rPr>
          <w:rFonts w:eastAsia="微软雅黑"/>
          <w:b/>
          <w:bCs/>
          <w:i/>
          <w:sz w:val="24"/>
          <w:szCs w:val="21"/>
        </w:rPr>
        <w:t>Matter</w:t>
      </w:r>
      <w:r>
        <w:rPr>
          <w:rFonts w:eastAsia="微软雅黑"/>
          <w:sz w:val="24"/>
          <w:szCs w:val="21"/>
        </w:rPr>
        <w:t xml:space="preserve">, 2023, </w:t>
      </w:r>
      <w:r>
        <w:rPr>
          <w:rFonts w:eastAsia="微软雅黑"/>
          <w:i/>
          <w:sz w:val="24"/>
          <w:szCs w:val="21"/>
        </w:rPr>
        <w:t>6</w:t>
      </w:r>
      <w:r>
        <w:rPr>
          <w:rFonts w:eastAsia="微软雅黑"/>
          <w:sz w:val="24"/>
          <w:szCs w:val="21"/>
        </w:rPr>
        <w:t xml:space="preserve">, 397–428. </w:t>
      </w:r>
      <w:r>
        <w:rPr>
          <w:rFonts w:eastAsia="微软雅黑"/>
          <w:b/>
          <w:sz w:val="24"/>
          <w:szCs w:val="21"/>
        </w:rPr>
        <w:t>(</w:t>
      </w:r>
      <w:r>
        <w:rPr>
          <w:rFonts w:eastAsia="微软雅黑"/>
          <w:b/>
          <w:bCs/>
          <w:sz w:val="24"/>
          <w:szCs w:val="21"/>
        </w:rPr>
        <w:t>Cover</w:t>
      </w:r>
      <w:r>
        <w:rPr>
          <w:rFonts w:hint="eastAsia" w:eastAsia="微软雅黑"/>
          <w:b/>
          <w:bCs/>
          <w:sz w:val="24"/>
          <w:szCs w:val="21"/>
        </w:rPr>
        <w:t xml:space="preserve"> fea</w:t>
      </w:r>
      <w:r>
        <w:rPr>
          <w:rFonts w:eastAsia="微软雅黑"/>
          <w:b/>
          <w:bCs/>
          <w:sz w:val="24"/>
          <w:szCs w:val="21"/>
        </w:rPr>
        <w:t>tured article)</w:t>
      </w:r>
    </w:p>
    <w:p>
      <w:pPr>
        <w:rPr>
          <w:rFonts w:eastAsia="微软雅黑"/>
          <w:b/>
          <w:bCs/>
          <w:sz w:val="24"/>
          <w:szCs w:val="21"/>
        </w:rPr>
      </w:pPr>
    </w:p>
    <w:p>
      <w:pPr>
        <w:rPr>
          <w:rFonts w:eastAsia="微软雅黑"/>
          <w:b/>
          <w:bCs/>
          <w:sz w:val="24"/>
          <w:szCs w:val="21"/>
        </w:rPr>
      </w:pPr>
      <w:r>
        <w:rPr>
          <w:rFonts w:eastAsia="微软雅黑"/>
          <w:b/>
          <w:bCs/>
          <w:sz w:val="24"/>
          <w:szCs w:val="21"/>
        </w:rPr>
        <w:t xml:space="preserve">3. </w:t>
      </w:r>
      <w:r>
        <w:rPr>
          <w:rFonts w:eastAsia="微软雅黑"/>
          <w:sz w:val="24"/>
          <w:szCs w:val="21"/>
        </w:rPr>
        <w:t>Li, M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>.; Yang, D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rFonts w:eastAsia="微软雅黑"/>
          <w:sz w:val="24"/>
          <w:szCs w:val="21"/>
        </w:rPr>
        <w:t xml:space="preserve">.; Yan, H.; Tang, Z.; Jiang, D.; Zhang, J.; Chi, Z.; Nie, W.; Zhen, W.; Yu, W.; Chen, S.; Wang, Z.; Yu, Q.; Zhang, X.; Yang, F.; Fan, S.*; </w:t>
      </w:r>
      <w:r>
        <w:rPr>
          <w:rFonts w:eastAsia="微软雅黑"/>
          <w:b/>
          <w:bCs/>
          <w:sz w:val="24"/>
          <w:szCs w:val="21"/>
          <w:u w:val="single"/>
        </w:rPr>
        <w:t>Lin, X.</w:t>
      </w:r>
      <w:r>
        <w:rPr>
          <w:rFonts w:eastAsia="微软雅黑"/>
          <w:b/>
          <w:bCs/>
          <w:sz w:val="24"/>
          <w:szCs w:val="21"/>
        </w:rPr>
        <w:t>*</w:t>
      </w:r>
      <w:r>
        <w:rPr>
          <w:rFonts w:eastAsia="微软雅黑"/>
          <w:sz w:val="24"/>
          <w:szCs w:val="21"/>
        </w:rPr>
        <w:t xml:space="preserve">; Wang, D.* Gasdermin D maintains bone mass by rewiring the endo-lysosomal pathway of osteoclastic bone resorption. </w:t>
      </w:r>
      <w:r>
        <w:rPr>
          <w:rFonts w:eastAsia="微软雅黑"/>
          <w:b/>
          <w:bCs/>
          <w:i/>
          <w:sz w:val="24"/>
          <w:szCs w:val="21"/>
        </w:rPr>
        <w:t>Developmental Cell</w:t>
      </w:r>
      <w:r>
        <w:rPr>
          <w:rFonts w:eastAsia="微软雅黑"/>
          <w:sz w:val="24"/>
          <w:szCs w:val="21"/>
        </w:rPr>
        <w:t xml:space="preserve"> 2022, </w:t>
      </w:r>
      <w:r>
        <w:rPr>
          <w:rFonts w:eastAsia="微软雅黑"/>
          <w:i/>
          <w:sz w:val="24"/>
          <w:szCs w:val="21"/>
        </w:rPr>
        <w:t>57</w:t>
      </w:r>
      <w:r>
        <w:rPr>
          <w:rFonts w:eastAsia="微软雅黑"/>
          <w:sz w:val="24"/>
          <w:szCs w:val="21"/>
        </w:rPr>
        <w:t>, 2365–2380.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4. Wang, Q.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sz w:val="24"/>
          <w:szCs w:val="24"/>
        </w:rPr>
        <w:t>; Wang, H.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sz w:val="24"/>
          <w:szCs w:val="24"/>
        </w:rPr>
        <w:t>; Yan, H.</w:t>
      </w:r>
      <w:r>
        <w:rPr>
          <w:rFonts w:eastAsia="微软雅黑"/>
          <w:sz w:val="24"/>
          <w:szCs w:val="21"/>
          <w:vertAlign w:val="superscript"/>
        </w:rPr>
        <w:t>#</w:t>
      </w:r>
      <w:r>
        <w:rPr>
          <w:sz w:val="24"/>
          <w:szCs w:val="24"/>
        </w:rPr>
        <w:t>; Tian, H.; Wang, Y.; Yu, W.; Dai, Z.; Chen, P.; Liu, Z.; Tang, R.; Jiang, C.; Fan, S.</w:t>
      </w:r>
      <w:r>
        <w:rPr>
          <w:rFonts w:eastAsia="微软雅黑"/>
          <w:sz w:val="24"/>
          <w:szCs w:val="21"/>
        </w:rPr>
        <w:t>*</w:t>
      </w:r>
      <w:r>
        <w:rPr>
          <w:sz w:val="24"/>
          <w:szCs w:val="24"/>
        </w:rPr>
        <w:t>; Liu, X.</w:t>
      </w:r>
      <w:r>
        <w:rPr>
          <w:rFonts w:eastAsia="微软雅黑"/>
          <w:sz w:val="24"/>
          <w:szCs w:val="21"/>
        </w:rPr>
        <w:t>*</w:t>
      </w:r>
      <w:r>
        <w:rPr>
          <w:sz w:val="24"/>
          <w:szCs w:val="24"/>
        </w:rPr>
        <w:t xml:space="preserve">; </w:t>
      </w:r>
      <w:r>
        <w:rPr>
          <w:b/>
          <w:bCs/>
          <w:sz w:val="24"/>
          <w:szCs w:val="24"/>
          <w:u w:val="single"/>
        </w:rPr>
        <w:t>Lin</w:t>
      </w:r>
      <w:r>
        <w:rPr>
          <w:sz w:val="24"/>
          <w:szCs w:val="24"/>
          <w:u w:val="single"/>
        </w:rPr>
        <w:t>,</w:t>
      </w:r>
      <w:r>
        <w:rPr>
          <w:b/>
          <w:bCs/>
          <w:sz w:val="24"/>
          <w:szCs w:val="24"/>
          <w:u w:val="single"/>
        </w:rPr>
        <w:t xml:space="preserve"> X</w:t>
      </w:r>
      <w:r>
        <w:rPr>
          <w:rFonts w:eastAsia="微软雅黑"/>
          <w:sz w:val="24"/>
          <w:szCs w:val="21"/>
        </w:rPr>
        <w:t>*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Suppression of Osteoclast Multinucleation via a Posttranscriptional Regulation-Based Spatiotemporally Selective Delivery System.</w:t>
      </w:r>
      <w:r>
        <w:t xml:space="preserve"> </w:t>
      </w:r>
      <w:r>
        <w:rPr>
          <w:b/>
          <w:bCs/>
          <w:i/>
          <w:iCs/>
          <w:sz w:val="24"/>
          <w:szCs w:val="24"/>
        </w:rPr>
        <w:t xml:space="preserve">Science Advances. </w:t>
      </w:r>
      <w:r>
        <w:rPr>
          <w:bCs/>
          <w:sz w:val="24"/>
          <w:szCs w:val="24"/>
        </w:rPr>
        <w:t xml:space="preserve">2022, </w:t>
      </w:r>
      <w:r>
        <w:rPr>
          <w:rFonts w:eastAsia="微软雅黑"/>
          <w:i/>
          <w:sz w:val="24"/>
          <w:szCs w:val="21"/>
        </w:rPr>
        <w:t>8</w:t>
      </w:r>
      <w:r>
        <w:rPr>
          <w:rFonts w:eastAsia="微软雅黑"/>
          <w:sz w:val="24"/>
          <w:szCs w:val="21"/>
        </w:rPr>
        <w:t>, eabn3333</w:t>
      </w:r>
      <w:r>
        <w:rPr>
          <w:rFonts w:eastAsia="微软雅黑"/>
          <w:bCs/>
          <w:sz w:val="24"/>
          <w:szCs w:val="21"/>
        </w:rPr>
        <w:t>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bCs/>
          <w:sz w:val="24"/>
          <w:szCs w:val="24"/>
          <w:u w:val="single"/>
        </w:rPr>
        <w:t>Lin, X.</w:t>
      </w:r>
      <w:r>
        <w:rPr>
          <w:sz w:val="24"/>
          <w:szCs w:val="24"/>
        </w:rPr>
        <w:t xml:space="preserve">; Wang, Q.; Gu, C.; Li, M.; Chen, K.; Chen, P.; Tang, Z.; Liu, X.; Pan, H.; Liu, Z.; Tang, R.; Fan, S. Smart Nanosacrificial Layer on the Bone Surface Prevents Osteoporosis through Acid-Base Neutralization Regulated Biocascade Effects. </w:t>
      </w:r>
      <w:r>
        <w:rPr>
          <w:b/>
          <w:i/>
          <w:sz w:val="24"/>
          <w:szCs w:val="24"/>
        </w:rPr>
        <w:t>Journal of the</w:t>
      </w:r>
      <w:r>
        <w:rPr>
          <w:b/>
          <w:bCs/>
          <w:i/>
          <w:iCs/>
          <w:sz w:val="24"/>
          <w:szCs w:val="24"/>
        </w:rPr>
        <w:t xml:space="preserve"> American Chemical Society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2020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142</w:t>
      </w:r>
      <w:r>
        <w:rPr>
          <w:sz w:val="24"/>
          <w:szCs w:val="24"/>
        </w:rPr>
        <w:t>, 17543</w:t>
      </w:r>
      <w:r>
        <w:rPr>
          <w:rFonts w:eastAsia="微软雅黑"/>
          <w:sz w:val="24"/>
          <w:szCs w:val="21"/>
        </w:rPr>
        <w:t>–</w:t>
      </w:r>
      <w:r>
        <w:rPr>
          <w:sz w:val="24"/>
          <w:szCs w:val="24"/>
        </w:rPr>
        <w:t xml:space="preserve">17556. </w:t>
      </w:r>
      <w:r>
        <w:rPr>
          <w:b/>
          <w:sz w:val="24"/>
          <w:szCs w:val="24"/>
        </w:rPr>
        <w:t xml:space="preserve">(F1000Prime </w:t>
      </w:r>
      <w:r>
        <w:rPr>
          <w:rFonts w:ascii="Wingdings" w:hAnsi="Wingdings" w:eastAsia="微软雅黑" w:cs="Segoe UI Symbol"/>
          <w:sz w:val="24"/>
        </w:rPr>
        <w:t>««</w:t>
      </w:r>
      <w:r>
        <w:rPr>
          <w:b/>
          <w:sz w:val="24"/>
          <w:szCs w:val="24"/>
        </w:rPr>
        <w:t>)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</w:p>
    <w:p>
      <w:pPr>
        <w:pStyle w:val="8"/>
        <w:snapToGrid w:val="0"/>
        <w:spacing w:line="500" w:lineRule="exact"/>
        <w:ind w:firstLine="0" w:firstLineChars="0"/>
        <w:rPr>
          <w:rFonts w:ascii="Times New Roman"/>
          <w:color w:val="000000"/>
          <w:kern w:val="0"/>
          <w:sz w:val="28"/>
          <w:szCs w:val="28"/>
        </w:rPr>
      </w:pPr>
      <w:r>
        <w:rPr>
          <w:rFonts w:ascii="Times New Roman"/>
          <w:color w:val="000000"/>
          <w:kern w:val="0"/>
          <w:sz w:val="28"/>
          <w:szCs w:val="28"/>
        </w:rPr>
        <w:t>主要知识产权和标准规范等目录：</w:t>
      </w:r>
    </w:p>
    <w:p>
      <w:r>
        <w:t>1</w:t>
      </w:r>
      <w:r>
        <w:rPr>
          <w:rFonts w:hint="eastAsia"/>
        </w:rPr>
        <w:t>、林贤丰</w:t>
      </w:r>
      <w:r>
        <w:t xml:space="preserve">; </w:t>
      </w:r>
      <w:r>
        <w:rPr>
          <w:rFonts w:hint="eastAsia"/>
        </w:rPr>
        <w:t>顾辰辉</w:t>
      </w:r>
      <w:r>
        <w:t xml:space="preserve">; </w:t>
      </w:r>
      <w:r>
        <w:rPr>
          <w:rFonts w:hint="eastAsia"/>
        </w:rPr>
        <w:t>范顺武</w:t>
      </w:r>
      <w:r>
        <w:t xml:space="preserve"> ; </w:t>
      </w:r>
      <w:r>
        <w:rPr>
          <w:rFonts w:hint="eastAsia"/>
        </w:rPr>
        <w:t>一种基于物理整粒的自成形血小板纳米囊泡及其制备方法</w:t>
      </w:r>
      <w:r>
        <w:t>, 2023-01-20,</w:t>
      </w:r>
      <w:r>
        <w:rPr>
          <w:rFonts w:hint="eastAsia"/>
        </w:rPr>
        <w:t xml:space="preserve"> 中国, CN202110547317.7 (发明专利)</w:t>
      </w:r>
    </w:p>
    <w:p>
      <w:r>
        <w:t>2</w:t>
      </w:r>
      <w:r>
        <w:rPr>
          <w:rFonts w:hint="eastAsia"/>
        </w:rPr>
        <w:t>、林贤丰; 赵晨晨; 范顺武 ; 重建软组织-骨免疫修复环境骨膜-骨复合体及制备方法, 2022-7-22, 中国, ZL202111127749.9 (发明专利)</w:t>
      </w:r>
    </w:p>
    <w:p>
      <w:r>
        <w:t>3</w:t>
      </w:r>
      <w:r>
        <w:rPr>
          <w:rFonts w:hint="eastAsia"/>
        </w:rPr>
        <w:t>、林贤丰; 邱朋程; 范顺武 ; 天然组织来源的脱细胞骨膜基质凝胶材料的制备方法, 2021-6-29, 中国, ZL201910567114.7 (发明专利)</w:t>
      </w:r>
    </w:p>
    <w:p>
      <w:r>
        <w:t>4</w:t>
      </w:r>
      <w:r>
        <w:rPr>
          <w:rFonts w:hint="eastAsia"/>
        </w:rPr>
        <w:t>、林贤丰; 顾辰辉; 方斌; 范顺武 ; 一种交联抗生素的特定脱矿细胞外基质支架的制备方法, 2022-8-5, 中国, ZL202011482219.1 (发明专利)</w:t>
      </w:r>
    </w:p>
    <w:p>
      <w:r>
        <w:t>5</w:t>
      </w:r>
      <w:r>
        <w:rPr>
          <w:rFonts w:hint="eastAsia"/>
        </w:rPr>
        <w:t>、林贤丰; 陈凯; 范顺武 ; 一种天然组织来源的脱细胞骨膜材料及其制备方法, 2016-06-08, 中国,ZL201410539114.3(发明专利)</w:t>
      </w:r>
    </w:p>
    <w:p>
      <w:r>
        <w:t>6</w:t>
      </w:r>
      <w:r>
        <w:rPr>
          <w:rFonts w:hint="eastAsia"/>
        </w:rPr>
        <w:t xml:space="preserve">、林贤丰; 顾辰辉; 陈鹏飞; 范顺武 ; 一种3D打印支架及制备方法和应用, 2022-8-16, 中国,ZL202110518519.9 (发明专利) </w:t>
      </w:r>
    </w:p>
    <w:p>
      <w:r>
        <w:t>7</w:t>
      </w:r>
      <w:r>
        <w:rPr>
          <w:rFonts w:hint="eastAsia"/>
        </w:rPr>
        <w:t>、林贤丰; 陈家鑫; 张琪; 陈蕴缤; 王晟毓 ; 一种天然组织来源的软骨联合骨脱细胞材料的制备方法,2019-11-05, 中国, ZL201610038724.4 (发明专利)</w:t>
      </w:r>
    </w:p>
    <w:p>
      <w:r>
        <w:t>8</w:t>
      </w:r>
      <w:r>
        <w:rPr>
          <w:rFonts w:hint="eastAsia"/>
        </w:rPr>
        <w:t>、林贤丰; 范顺武; 胡志军 ; 一种天然组织来源的全椎间盘脱细胞材料及其制备方法, 2016-06-08, 中国, ZL201410538175.8 (发明专利)</w:t>
      </w:r>
    </w:p>
    <w:p>
      <w:r>
        <w:t>9</w:t>
      </w:r>
      <w:r>
        <w:rPr>
          <w:rFonts w:hint="eastAsia"/>
        </w:rPr>
        <w:t>、林贤丰; 许家齐; 方向前; 范顺武; 王晟毓 ; 一种天然组织来源的髓核脱细胞材料的制备方法,2021-4-6, 中国, ZL201810294591.6 (发明专利)</w:t>
      </w:r>
    </w:p>
    <w:p>
      <w:r>
        <w:t>10</w:t>
      </w:r>
      <w:r>
        <w:rPr>
          <w:rFonts w:hint="eastAsia"/>
        </w:rPr>
        <w:t>、林贤丰; 刘文悦; 陈蕴缤 ; 一种天然组织来源的卵巢脱细胞材料及其制备方法, 2020-11-06, 中国,ZL201710499754.X (发明专利)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OGM3NzVjY2Q3MzMwZDBiYjA4NDUwMmIxYWJmYzYifQ=="/>
  </w:docVars>
  <w:rsids>
    <w:rsidRoot w:val="00897AC5"/>
    <w:rsid w:val="0001652B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2106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D4643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2BDA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1257A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9F7733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59A5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1B1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200E2"/>
    <w:rsid w:val="00F23D80"/>
    <w:rsid w:val="00F463D7"/>
    <w:rsid w:val="00F46CBA"/>
    <w:rsid w:val="00F9670F"/>
    <w:rsid w:val="00FC3EDF"/>
    <w:rsid w:val="00FC79AA"/>
    <w:rsid w:val="00FD660C"/>
    <w:rsid w:val="00FE349A"/>
    <w:rsid w:val="2F56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1211</Words>
  <Characters>2587</Characters>
  <Lines>22</Lines>
  <Paragraphs>6</Paragraphs>
  <TotalTime>8</TotalTime>
  <ScaleCrop>false</ScaleCrop>
  <LinksUpToDate>false</LinksUpToDate>
  <CharactersWithSpaces>2923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2023-04-10T12:41:00Z</dcterms:created>
  <dc:creator>255</dc:creator>
  <cp:lastModifiedBy>乡关何处</cp:lastModifiedBy>
  <dcterms:modified xsi:type="dcterms:W3CDTF">2023-04-14T00:54:39Z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C9ED5504FCDB4D1E9B30CFF68E9A0EEF_12</vt:lpwstr>
  </property>
</Properties>
</file>