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79FBD">
      <w:pPr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2025年度国家科学技术进步奖提名项目</w:t>
      </w:r>
    </w:p>
    <w:p w14:paraId="299806BB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公示内容</w:t>
      </w:r>
    </w:p>
    <w:p w14:paraId="4846EB15">
      <w:pPr>
        <w:adjustRightInd w:val="0"/>
        <w:snapToGri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B5527A">
      <w:pPr>
        <w:adjustRightInd w:val="0"/>
        <w:snapToGri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（一）项目名称</w:t>
      </w:r>
    </w:p>
    <w:p w14:paraId="3E2A07F5">
      <w:pPr>
        <w:adjustRightInd w:val="0"/>
        <w:snapToGrid w:val="0"/>
        <w:spacing w:line="560" w:lineRule="exact"/>
        <w:rPr>
          <w:rFonts w:ascii="宋体" w:hAnsi="宋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智慧制药工程关键技术及其工业转化应用</w:t>
      </w:r>
    </w:p>
    <w:p w14:paraId="6D802296">
      <w:pPr>
        <w:adjustRightInd w:val="0"/>
        <w:snapToGri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（二）提名者</w:t>
      </w:r>
    </w:p>
    <w:p w14:paraId="3AE2A561">
      <w:pPr>
        <w:adjustRightInd w:val="0"/>
        <w:snapToGrid w:val="0"/>
        <w:spacing w:line="560" w:lineRule="exact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付小兵（中国人民解放军总医院）、樊春海（上海交通大学）、周建平（中国载人航天工程办公室）</w:t>
      </w:r>
    </w:p>
    <w:p w14:paraId="3AA2BC5F">
      <w:pPr>
        <w:adjustRightInd w:val="0"/>
        <w:snapToGrid w:val="0"/>
        <w:spacing w:line="560" w:lineRule="exact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B4AB911">
      <w:pPr>
        <w:adjustRightInd w:val="0"/>
        <w:snapToGri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（三）主要知识产权和标准规范等目录</w:t>
      </w:r>
      <w:r>
        <w:rPr>
          <w:rFonts w:hint="eastAsia" w:ascii="黑体" w:hAnsi="黑体" w:eastAsia="黑体" w:cs="黑体"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（不超过10件）</w:t>
      </w:r>
    </w:p>
    <w:tbl>
      <w:tblPr>
        <w:tblStyle w:val="10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14:paraId="417A6F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vAlign w:val="center"/>
          </w:tcPr>
          <w:p w14:paraId="0CAAA94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知识产权(标准)</w:t>
            </w:r>
          </w:p>
          <w:p w14:paraId="0A2BE18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983" w:type="dxa"/>
            <w:vAlign w:val="center"/>
          </w:tcPr>
          <w:p w14:paraId="5078CE3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知识产权(标准)</w:t>
            </w:r>
          </w:p>
          <w:p w14:paraId="458CE934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具体名称</w:t>
            </w:r>
          </w:p>
        </w:tc>
        <w:tc>
          <w:tcPr>
            <w:tcW w:w="983" w:type="dxa"/>
            <w:vAlign w:val="center"/>
          </w:tcPr>
          <w:p w14:paraId="49DB511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 w14:paraId="7DC20FE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(地区)</w:t>
            </w:r>
          </w:p>
        </w:tc>
        <w:tc>
          <w:tcPr>
            <w:tcW w:w="983" w:type="dxa"/>
            <w:vAlign w:val="center"/>
          </w:tcPr>
          <w:p w14:paraId="18EA08F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  <w:p w14:paraId="6567783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(标准编号)</w:t>
            </w:r>
          </w:p>
        </w:tc>
        <w:tc>
          <w:tcPr>
            <w:tcW w:w="983" w:type="dxa"/>
            <w:vAlign w:val="center"/>
          </w:tcPr>
          <w:p w14:paraId="4D7B0F6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授权</w:t>
            </w: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(标准发布)日期</w:t>
            </w:r>
          </w:p>
        </w:tc>
        <w:tc>
          <w:tcPr>
            <w:tcW w:w="983" w:type="dxa"/>
            <w:vAlign w:val="center"/>
          </w:tcPr>
          <w:p w14:paraId="050A91D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证书编号</w:t>
            </w:r>
            <w:r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(标准批准发布部门)</w:t>
            </w:r>
          </w:p>
        </w:tc>
        <w:tc>
          <w:tcPr>
            <w:tcW w:w="983" w:type="dxa"/>
            <w:vAlign w:val="center"/>
          </w:tcPr>
          <w:p w14:paraId="018A0AD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权利人(标准起草单位)</w:t>
            </w:r>
          </w:p>
        </w:tc>
        <w:tc>
          <w:tcPr>
            <w:tcW w:w="983" w:type="dxa"/>
            <w:vAlign w:val="center"/>
          </w:tcPr>
          <w:p w14:paraId="27CEF895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发明人(标准起草人)</w:t>
            </w:r>
          </w:p>
        </w:tc>
        <w:tc>
          <w:tcPr>
            <w:tcW w:w="986" w:type="dxa"/>
            <w:vAlign w:val="center"/>
          </w:tcPr>
          <w:p w14:paraId="4A232620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发明专利(标准)有效状态</w:t>
            </w:r>
          </w:p>
        </w:tc>
      </w:tr>
      <w:tr w14:paraId="3E375D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110A0540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983" w:type="dxa"/>
          </w:tcPr>
          <w:p w14:paraId="4878216C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一种制药过程质量智能管控机器人及管控方法</w:t>
            </w:r>
          </w:p>
        </w:tc>
        <w:tc>
          <w:tcPr>
            <w:tcW w:w="983" w:type="dxa"/>
          </w:tcPr>
          <w:p w14:paraId="43A6F66A">
            <w:pPr>
              <w:pStyle w:val="8"/>
              <w:widowControl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</w:tcPr>
          <w:p w14:paraId="7748139A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ZL202411246421.2</w:t>
            </w:r>
          </w:p>
        </w:tc>
        <w:tc>
          <w:tcPr>
            <w:tcW w:w="983" w:type="dxa"/>
          </w:tcPr>
          <w:p w14:paraId="2324E5A5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2025.</w:t>
            </w:r>
            <w:r>
              <w:rPr>
                <w:rFonts w:hint="eastAsia"/>
                <w:sz w:val="21"/>
                <w:szCs w:val="21"/>
                <w:lang w:bidi="ar"/>
              </w:rPr>
              <w:t>0</w:t>
            </w:r>
            <w:r>
              <w:rPr>
                <w:sz w:val="21"/>
                <w:szCs w:val="21"/>
                <w:lang w:bidi="ar"/>
              </w:rPr>
              <w:t>1.28</w:t>
            </w:r>
          </w:p>
        </w:tc>
        <w:tc>
          <w:tcPr>
            <w:tcW w:w="983" w:type="dxa"/>
          </w:tcPr>
          <w:p w14:paraId="598AB798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证书号第7694893号</w:t>
            </w:r>
          </w:p>
        </w:tc>
        <w:tc>
          <w:tcPr>
            <w:tcW w:w="983" w:type="dxa"/>
          </w:tcPr>
          <w:p w14:paraId="39B21517">
            <w:pPr>
              <w:pStyle w:val="8"/>
              <w:widowControl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浙江大学</w:t>
            </w:r>
          </w:p>
        </w:tc>
        <w:tc>
          <w:tcPr>
            <w:tcW w:w="983" w:type="dxa"/>
          </w:tcPr>
          <w:p w14:paraId="29F4C73C">
            <w:pPr>
              <w:pStyle w:val="8"/>
              <w:widowControl/>
              <w:adjustRightInd w:val="0"/>
              <w:snapToGrid w:val="0"/>
              <w:jc w:val="left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程翼宇</w:t>
            </w:r>
            <w:r>
              <w:rPr>
                <w:rFonts w:hint="eastAsia"/>
                <w:sz w:val="21"/>
                <w:szCs w:val="21"/>
                <w:lang w:bidi="ar"/>
              </w:rPr>
              <w:t>；</w:t>
            </w:r>
            <w:r>
              <w:rPr>
                <w:sz w:val="21"/>
                <w:szCs w:val="21"/>
                <w:lang w:bidi="ar"/>
              </w:rPr>
              <w:t>王毅</w:t>
            </w:r>
            <w:r>
              <w:rPr>
                <w:rFonts w:hint="eastAsia"/>
                <w:sz w:val="21"/>
                <w:szCs w:val="21"/>
                <w:lang w:bidi="ar"/>
              </w:rPr>
              <w:t>；</w:t>
            </w:r>
          </w:p>
          <w:p w14:paraId="361E7EFD">
            <w:pPr>
              <w:pStyle w:val="8"/>
              <w:widowControl/>
              <w:adjustRightInd w:val="0"/>
              <w:snapToGrid w:val="0"/>
              <w:jc w:val="left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李正</w:t>
            </w:r>
            <w:r>
              <w:rPr>
                <w:rFonts w:hint="eastAsia"/>
                <w:sz w:val="21"/>
                <w:szCs w:val="21"/>
                <w:lang w:bidi="ar"/>
              </w:rPr>
              <w:t>；</w:t>
            </w:r>
          </w:p>
          <w:p w14:paraId="02AC9DDA">
            <w:pPr>
              <w:pStyle w:val="8"/>
              <w:widowControl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仲怿</w:t>
            </w:r>
          </w:p>
        </w:tc>
        <w:tc>
          <w:tcPr>
            <w:tcW w:w="986" w:type="dxa"/>
          </w:tcPr>
          <w:p w14:paraId="4C002FD2">
            <w:pPr>
              <w:pStyle w:val="8"/>
              <w:widowControl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有效专利</w:t>
            </w:r>
          </w:p>
        </w:tc>
      </w:tr>
      <w:tr w14:paraId="5A5838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6CF902A0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983" w:type="dxa"/>
          </w:tcPr>
          <w:p w14:paraId="27E6A498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不含挥发油的中药提取设备微沸状态智能控制方法及系统</w:t>
            </w:r>
          </w:p>
        </w:tc>
        <w:tc>
          <w:tcPr>
            <w:tcW w:w="983" w:type="dxa"/>
          </w:tcPr>
          <w:p w14:paraId="5645276B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</w:tcPr>
          <w:p w14:paraId="360629A9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ZL202011030705.X</w:t>
            </w:r>
          </w:p>
        </w:tc>
        <w:tc>
          <w:tcPr>
            <w:tcW w:w="983" w:type="dxa"/>
          </w:tcPr>
          <w:p w14:paraId="2579008D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2023.</w:t>
            </w:r>
            <w:r>
              <w:rPr>
                <w:rFonts w:hint="eastAsia"/>
                <w:sz w:val="21"/>
                <w:szCs w:val="21"/>
                <w:lang w:bidi="ar"/>
              </w:rPr>
              <w:t>0</w:t>
            </w:r>
            <w:r>
              <w:rPr>
                <w:sz w:val="21"/>
                <w:szCs w:val="21"/>
                <w:lang w:bidi="ar"/>
              </w:rPr>
              <w:t>2.28</w:t>
            </w:r>
          </w:p>
        </w:tc>
        <w:tc>
          <w:tcPr>
            <w:tcW w:w="983" w:type="dxa"/>
          </w:tcPr>
          <w:p w14:paraId="2E16F7FE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证书号第5761181号</w:t>
            </w:r>
          </w:p>
        </w:tc>
        <w:tc>
          <w:tcPr>
            <w:tcW w:w="983" w:type="dxa"/>
          </w:tcPr>
          <w:p w14:paraId="42348BC9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天津中医药大学</w:t>
            </w:r>
          </w:p>
        </w:tc>
        <w:tc>
          <w:tcPr>
            <w:tcW w:w="983" w:type="dxa"/>
          </w:tcPr>
          <w:p w14:paraId="740ABB11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李正；</w:t>
            </w:r>
          </w:p>
          <w:p w14:paraId="66082B47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于洋</w:t>
            </w:r>
          </w:p>
        </w:tc>
        <w:tc>
          <w:tcPr>
            <w:tcW w:w="986" w:type="dxa"/>
          </w:tcPr>
          <w:p w14:paraId="57BBCA99">
            <w:pPr>
              <w:pStyle w:val="8"/>
              <w:widowControl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有效专利</w:t>
            </w:r>
          </w:p>
        </w:tc>
      </w:tr>
      <w:tr w14:paraId="2328B9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</w:tcPr>
          <w:p w14:paraId="05844B87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983" w:type="dxa"/>
          </w:tcPr>
          <w:p w14:paraId="3F52305E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药品精益生产管理流程自动化机器人系统及方法</w:t>
            </w:r>
          </w:p>
        </w:tc>
        <w:tc>
          <w:tcPr>
            <w:tcW w:w="983" w:type="dxa"/>
          </w:tcPr>
          <w:p w14:paraId="4F165413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</w:tcPr>
          <w:p w14:paraId="26A43326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ZL202411082779.6</w:t>
            </w:r>
          </w:p>
        </w:tc>
        <w:tc>
          <w:tcPr>
            <w:tcW w:w="983" w:type="dxa"/>
          </w:tcPr>
          <w:p w14:paraId="044AEEE8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2024.11.22</w:t>
            </w:r>
          </w:p>
        </w:tc>
        <w:tc>
          <w:tcPr>
            <w:tcW w:w="983" w:type="dxa"/>
          </w:tcPr>
          <w:p w14:paraId="49BBF34D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证书号第7547451号</w:t>
            </w:r>
          </w:p>
        </w:tc>
        <w:tc>
          <w:tcPr>
            <w:tcW w:w="983" w:type="dxa"/>
          </w:tcPr>
          <w:p w14:paraId="4A71B394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浙江大学长三角智慧绿洲创新中心</w:t>
            </w:r>
          </w:p>
        </w:tc>
        <w:tc>
          <w:tcPr>
            <w:tcW w:w="983" w:type="dxa"/>
          </w:tcPr>
          <w:p w14:paraId="60C259C6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程翼宇；王毅</w:t>
            </w:r>
            <w:r>
              <w:rPr>
                <w:rFonts w:hint="eastAsia"/>
                <w:sz w:val="21"/>
                <w:szCs w:val="21"/>
                <w:lang w:bidi="ar"/>
              </w:rPr>
              <w:t>；</w:t>
            </w:r>
          </w:p>
          <w:p w14:paraId="1FCDD2BE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刘雳</w:t>
            </w:r>
          </w:p>
        </w:tc>
        <w:tc>
          <w:tcPr>
            <w:tcW w:w="986" w:type="dxa"/>
          </w:tcPr>
          <w:p w14:paraId="1B8D9F65">
            <w:pPr>
              <w:pStyle w:val="8"/>
              <w:widowControl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有效专利</w:t>
            </w:r>
          </w:p>
        </w:tc>
      </w:tr>
      <w:tr w14:paraId="23851C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6C5CE0AE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学术论文</w:t>
            </w:r>
          </w:p>
        </w:tc>
        <w:tc>
          <w:tcPr>
            <w:tcW w:w="983" w:type="dxa"/>
          </w:tcPr>
          <w:p w14:paraId="42246B9F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中药工业4.0:从数字制药迈向智慧制药</w:t>
            </w:r>
          </w:p>
        </w:tc>
        <w:tc>
          <w:tcPr>
            <w:tcW w:w="983" w:type="dxa"/>
          </w:tcPr>
          <w:p w14:paraId="0A4188B5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</w:tcPr>
          <w:p w14:paraId="2D48EF39">
            <w:pPr>
              <w:pStyle w:val="8"/>
              <w:adjustRightInd w:val="0"/>
              <w:snapToGrid w:val="0"/>
              <w:jc w:val="left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41(01) 1-5</w:t>
            </w:r>
          </w:p>
          <w:p w14:paraId="6B4CAD86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</w:tcPr>
          <w:p w14:paraId="4AB22179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2016.01.01</w:t>
            </w:r>
          </w:p>
        </w:tc>
        <w:tc>
          <w:tcPr>
            <w:tcW w:w="983" w:type="dxa"/>
          </w:tcPr>
          <w:p w14:paraId="2EBB0011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中国中药杂志</w:t>
            </w:r>
          </w:p>
        </w:tc>
        <w:tc>
          <w:tcPr>
            <w:tcW w:w="983" w:type="dxa"/>
          </w:tcPr>
          <w:p w14:paraId="474FB09F">
            <w:pPr>
              <w:pStyle w:val="8"/>
              <w:adjustRightInd w:val="0"/>
              <w:snapToGrid w:val="0"/>
              <w:jc w:val="left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浙江大学</w:t>
            </w:r>
          </w:p>
          <w:p w14:paraId="61CE3BF5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天津中医药大学</w:t>
            </w:r>
          </w:p>
        </w:tc>
        <w:tc>
          <w:tcPr>
            <w:tcW w:w="983" w:type="dxa"/>
          </w:tcPr>
          <w:p w14:paraId="43880B40">
            <w:pPr>
              <w:pStyle w:val="8"/>
              <w:adjustRightInd w:val="0"/>
              <w:snapToGrid w:val="0"/>
              <w:jc w:val="left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第一作者：程翼宇；</w:t>
            </w:r>
          </w:p>
          <w:p w14:paraId="217AC502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通讯作者：程翼宇；</w:t>
            </w:r>
          </w:p>
        </w:tc>
        <w:tc>
          <w:tcPr>
            <w:tcW w:w="986" w:type="dxa"/>
          </w:tcPr>
          <w:p w14:paraId="07403F82">
            <w:pPr>
              <w:pStyle w:val="8"/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其他有 </w:t>
            </w:r>
          </w:p>
          <w:p w14:paraId="500B4C25">
            <w:pPr>
              <w:pStyle w:val="8"/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效的知 </w:t>
            </w:r>
          </w:p>
          <w:p w14:paraId="23D00C1F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识产权</w:t>
            </w:r>
          </w:p>
        </w:tc>
      </w:tr>
      <w:tr w14:paraId="61DC1D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16646856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983" w:type="dxa"/>
          </w:tcPr>
          <w:p w14:paraId="25036B02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一种用于药品生产能耗优化调控的智能机器人及运行方法</w:t>
            </w:r>
          </w:p>
        </w:tc>
        <w:tc>
          <w:tcPr>
            <w:tcW w:w="983" w:type="dxa"/>
          </w:tcPr>
          <w:p w14:paraId="0F2CF54F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</w:tcPr>
          <w:p w14:paraId="4ACB9969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ZL202410835761.2</w:t>
            </w:r>
          </w:p>
        </w:tc>
        <w:tc>
          <w:tcPr>
            <w:tcW w:w="983" w:type="dxa"/>
          </w:tcPr>
          <w:p w14:paraId="7FC93672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2024.</w:t>
            </w:r>
            <w:r>
              <w:rPr>
                <w:rFonts w:hint="eastAsia"/>
                <w:sz w:val="21"/>
                <w:szCs w:val="21"/>
                <w:lang w:bidi="ar"/>
              </w:rPr>
              <w:t>0</w:t>
            </w:r>
            <w:r>
              <w:rPr>
                <w:sz w:val="21"/>
                <w:szCs w:val="21"/>
                <w:lang w:bidi="ar"/>
              </w:rPr>
              <w:t>9.13</w:t>
            </w:r>
          </w:p>
        </w:tc>
        <w:tc>
          <w:tcPr>
            <w:tcW w:w="983" w:type="dxa"/>
          </w:tcPr>
          <w:p w14:paraId="653AA36E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证书号第7373011号</w:t>
            </w:r>
          </w:p>
        </w:tc>
        <w:tc>
          <w:tcPr>
            <w:tcW w:w="983" w:type="dxa"/>
          </w:tcPr>
          <w:p w14:paraId="159CA215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浙江大学</w:t>
            </w:r>
          </w:p>
        </w:tc>
        <w:tc>
          <w:tcPr>
            <w:tcW w:w="983" w:type="dxa"/>
          </w:tcPr>
          <w:p w14:paraId="3A351FC3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程翼宇</w:t>
            </w:r>
            <w:r>
              <w:rPr>
                <w:rFonts w:hint="eastAsia"/>
                <w:sz w:val="21"/>
                <w:szCs w:val="21"/>
                <w:lang w:bidi="ar"/>
              </w:rPr>
              <w:t>；</w:t>
            </w:r>
            <w:r>
              <w:rPr>
                <w:sz w:val="21"/>
                <w:szCs w:val="21"/>
                <w:lang w:bidi="ar"/>
              </w:rPr>
              <w:t>王毅</w:t>
            </w:r>
            <w:r>
              <w:rPr>
                <w:rFonts w:hint="eastAsia"/>
                <w:sz w:val="21"/>
                <w:szCs w:val="21"/>
                <w:lang w:bidi="ar"/>
              </w:rPr>
              <w:t>；</w:t>
            </w:r>
          </w:p>
          <w:p w14:paraId="158E6F59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李正</w:t>
            </w:r>
            <w:r>
              <w:rPr>
                <w:rFonts w:hint="eastAsia"/>
                <w:sz w:val="21"/>
                <w:szCs w:val="21"/>
                <w:lang w:bidi="ar"/>
              </w:rPr>
              <w:t>；</w:t>
            </w:r>
          </w:p>
          <w:p w14:paraId="5DCA6365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朱捷强</w:t>
            </w:r>
          </w:p>
        </w:tc>
        <w:tc>
          <w:tcPr>
            <w:tcW w:w="986" w:type="dxa"/>
          </w:tcPr>
          <w:p w14:paraId="45C2EBC7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有效专利</w:t>
            </w:r>
          </w:p>
        </w:tc>
      </w:tr>
      <w:tr w14:paraId="369FA3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vAlign w:val="center"/>
          </w:tcPr>
          <w:p w14:paraId="5458A9DB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68791438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能精确控制流化床干燥空气含湿量的装置</w:t>
            </w:r>
          </w:p>
        </w:tc>
        <w:tc>
          <w:tcPr>
            <w:tcW w:w="983" w:type="dxa"/>
            <w:vAlign w:val="center"/>
          </w:tcPr>
          <w:p w14:paraId="08098422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  <w:vAlign w:val="center"/>
          </w:tcPr>
          <w:p w14:paraId="701ED362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ZL201410439070.7</w:t>
            </w:r>
          </w:p>
        </w:tc>
        <w:tc>
          <w:tcPr>
            <w:tcW w:w="983" w:type="dxa"/>
            <w:vAlign w:val="center"/>
          </w:tcPr>
          <w:p w14:paraId="69A037EE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2017.</w:t>
            </w:r>
            <w:r>
              <w:rPr>
                <w:rFonts w:hint="eastAsia"/>
                <w:sz w:val="21"/>
                <w:szCs w:val="21"/>
                <w:lang w:bidi="ar"/>
              </w:rPr>
              <w:t>0</w:t>
            </w:r>
            <w:r>
              <w:rPr>
                <w:sz w:val="21"/>
                <w:szCs w:val="21"/>
                <w:lang w:bidi="ar"/>
              </w:rPr>
              <w:t>1.18</w:t>
            </w:r>
          </w:p>
        </w:tc>
        <w:tc>
          <w:tcPr>
            <w:tcW w:w="983" w:type="dxa"/>
            <w:vAlign w:val="center"/>
          </w:tcPr>
          <w:p w14:paraId="428EA3DD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证书号第2353578号</w:t>
            </w:r>
          </w:p>
        </w:tc>
        <w:tc>
          <w:tcPr>
            <w:tcW w:w="983" w:type="dxa"/>
            <w:vAlign w:val="center"/>
          </w:tcPr>
          <w:p w14:paraId="75313F88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正大青春宝药业有限公司</w:t>
            </w:r>
          </w:p>
        </w:tc>
        <w:tc>
          <w:tcPr>
            <w:tcW w:w="983" w:type="dxa"/>
            <w:vAlign w:val="center"/>
          </w:tcPr>
          <w:p w14:paraId="3D89AB96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刘雳；</w:t>
            </w:r>
          </w:p>
          <w:p w14:paraId="2D1A72AC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仇永跃；周天芳；童佳均；潘晖峰；王治</w:t>
            </w:r>
          </w:p>
        </w:tc>
        <w:tc>
          <w:tcPr>
            <w:tcW w:w="986" w:type="dxa"/>
            <w:vAlign w:val="center"/>
          </w:tcPr>
          <w:p w14:paraId="4859C321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有效专利</w:t>
            </w:r>
          </w:p>
        </w:tc>
      </w:tr>
      <w:tr w14:paraId="66C8A6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25532F65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983" w:type="dxa"/>
            <w:vAlign w:val="center"/>
          </w:tcPr>
          <w:p w14:paraId="034E0C3D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一种定量评估醇沉过程混合情况的方法</w:t>
            </w:r>
          </w:p>
        </w:tc>
        <w:tc>
          <w:tcPr>
            <w:tcW w:w="983" w:type="dxa"/>
            <w:vAlign w:val="center"/>
          </w:tcPr>
          <w:p w14:paraId="64382BC4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  <w:vAlign w:val="center"/>
          </w:tcPr>
          <w:p w14:paraId="59F3F378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ZL202010919100.X</w:t>
            </w:r>
          </w:p>
        </w:tc>
        <w:tc>
          <w:tcPr>
            <w:tcW w:w="983" w:type="dxa"/>
            <w:vAlign w:val="center"/>
          </w:tcPr>
          <w:p w14:paraId="7ED01756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2022.02.01</w:t>
            </w:r>
          </w:p>
        </w:tc>
        <w:tc>
          <w:tcPr>
            <w:tcW w:w="983" w:type="dxa"/>
            <w:vAlign w:val="center"/>
          </w:tcPr>
          <w:p w14:paraId="101C28CB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证书号第4911404号</w:t>
            </w:r>
          </w:p>
        </w:tc>
        <w:tc>
          <w:tcPr>
            <w:tcW w:w="983" w:type="dxa"/>
            <w:vAlign w:val="center"/>
          </w:tcPr>
          <w:p w14:paraId="2355B29D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29B1F3B9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瞿海斌；程翼宇;龚行楚</w:t>
            </w:r>
          </w:p>
        </w:tc>
        <w:tc>
          <w:tcPr>
            <w:tcW w:w="986" w:type="dxa"/>
            <w:vAlign w:val="center"/>
          </w:tcPr>
          <w:p w14:paraId="2ADFCD03">
            <w:pPr>
              <w:pStyle w:val="8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华文宋体" w:hAnsi="华文宋体" w:eastAsia="华文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有效专利</w:t>
            </w:r>
          </w:p>
        </w:tc>
      </w:tr>
      <w:tr w14:paraId="21159D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3AA9A352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983" w:type="dxa"/>
          </w:tcPr>
          <w:p w14:paraId="18EB5A8E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基于线粒体动态表型和深度学习的药物作用机制预测方法</w:t>
            </w:r>
          </w:p>
        </w:tc>
        <w:tc>
          <w:tcPr>
            <w:tcW w:w="983" w:type="dxa"/>
          </w:tcPr>
          <w:p w14:paraId="17FDC44B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</w:tcPr>
          <w:p w14:paraId="7D602864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ZL202310521452.3</w:t>
            </w:r>
          </w:p>
        </w:tc>
        <w:tc>
          <w:tcPr>
            <w:tcW w:w="983" w:type="dxa"/>
          </w:tcPr>
          <w:p w14:paraId="6CFA788A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2023.08.15</w:t>
            </w:r>
          </w:p>
        </w:tc>
        <w:tc>
          <w:tcPr>
            <w:tcW w:w="983" w:type="dxa"/>
          </w:tcPr>
          <w:p w14:paraId="5FEF3BD8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证书号第6232622号</w:t>
            </w:r>
          </w:p>
        </w:tc>
        <w:tc>
          <w:tcPr>
            <w:tcW w:w="983" w:type="dxa"/>
          </w:tcPr>
          <w:p w14:paraId="77D7B517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浙江大学</w:t>
            </w:r>
          </w:p>
        </w:tc>
        <w:tc>
          <w:tcPr>
            <w:tcW w:w="983" w:type="dxa"/>
          </w:tcPr>
          <w:p w14:paraId="252FE0EB">
            <w:pPr>
              <w:pStyle w:val="8"/>
              <w:adjustRightInd w:val="0"/>
              <w:snapToGrid w:val="0"/>
              <w:jc w:val="left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王毅；</w:t>
            </w:r>
          </w:p>
          <w:p w14:paraId="45EE321F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余敏</w:t>
            </w:r>
          </w:p>
        </w:tc>
        <w:tc>
          <w:tcPr>
            <w:tcW w:w="986" w:type="dxa"/>
          </w:tcPr>
          <w:p w14:paraId="463958EF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有效专利</w:t>
            </w:r>
          </w:p>
        </w:tc>
      </w:tr>
      <w:tr w14:paraId="7C9B25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</w:tcPr>
          <w:p w14:paraId="553C4EDF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983" w:type="dxa"/>
          </w:tcPr>
          <w:p w14:paraId="05AA9456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  <w:lang w:bidi="ar"/>
              </w:rPr>
              <w:t>一种具有聚集诱导发光特性的荧光探针及其制备方法和应用</w:t>
            </w:r>
          </w:p>
        </w:tc>
        <w:tc>
          <w:tcPr>
            <w:tcW w:w="983" w:type="dxa"/>
          </w:tcPr>
          <w:p w14:paraId="7C095A1D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</w:tcPr>
          <w:p w14:paraId="0DD3178E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ZL201510108446.0</w:t>
            </w:r>
          </w:p>
        </w:tc>
        <w:tc>
          <w:tcPr>
            <w:tcW w:w="983" w:type="dxa"/>
          </w:tcPr>
          <w:p w14:paraId="77F79D56">
            <w:pPr>
              <w:jc w:val="left"/>
              <w:rPr>
                <w:szCs w:val="21"/>
              </w:rPr>
            </w:pPr>
            <w:r>
              <w:rPr>
                <w:szCs w:val="21"/>
                <w:lang w:bidi="ar"/>
              </w:rPr>
              <w:t>2016.</w:t>
            </w:r>
            <w:r>
              <w:rPr>
                <w:rFonts w:hint="eastAsia"/>
                <w:szCs w:val="21"/>
                <w:lang w:bidi="ar"/>
              </w:rPr>
              <w:t>0</w:t>
            </w:r>
            <w:r>
              <w:rPr>
                <w:szCs w:val="21"/>
                <w:lang w:bidi="ar"/>
              </w:rPr>
              <w:t>7.</w:t>
            </w:r>
            <w:r>
              <w:rPr>
                <w:rFonts w:hint="eastAsia"/>
                <w:szCs w:val="21"/>
                <w:lang w:bidi="ar"/>
              </w:rPr>
              <w:t>0</w:t>
            </w:r>
            <w:r>
              <w:rPr>
                <w:szCs w:val="21"/>
                <w:lang w:bidi="ar"/>
              </w:rPr>
              <w:t>6</w:t>
            </w:r>
          </w:p>
          <w:p w14:paraId="32AD99F8">
            <w:pPr>
              <w:jc w:val="left"/>
              <w:rPr>
                <w:szCs w:val="21"/>
              </w:rPr>
            </w:pPr>
          </w:p>
          <w:p w14:paraId="51F0260F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</w:tcPr>
          <w:p w14:paraId="4C43765B">
            <w:pPr>
              <w:pStyle w:val="8"/>
              <w:adjustRightInd w:val="0"/>
              <w:snapToGrid w:val="0"/>
              <w:spacing w:line="32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证书号第</w:t>
            </w:r>
          </w:p>
          <w:p w14:paraId="10361ACB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2136085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983" w:type="dxa"/>
          </w:tcPr>
          <w:p w14:paraId="01C2A1BA">
            <w:pPr>
              <w:jc w:val="left"/>
              <w:rPr>
                <w:szCs w:val="21"/>
              </w:rPr>
            </w:pPr>
            <w:r>
              <w:rPr>
                <w:szCs w:val="21"/>
                <w:lang w:bidi="ar"/>
              </w:rPr>
              <w:t>浙江大学</w:t>
            </w:r>
          </w:p>
          <w:p w14:paraId="4702605B">
            <w:pPr>
              <w:jc w:val="left"/>
              <w:rPr>
                <w:szCs w:val="21"/>
              </w:rPr>
            </w:pPr>
          </w:p>
          <w:p w14:paraId="13C6BBEF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</w:tcPr>
          <w:p w14:paraId="1454B53A">
            <w:pPr>
              <w:pStyle w:val="8"/>
              <w:adjustRightInd w:val="0"/>
              <w:snapToGrid w:val="0"/>
              <w:jc w:val="left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程翼宇；王毅；</w:t>
            </w:r>
          </w:p>
          <w:p w14:paraId="12E439FD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赵筱萍</w:t>
            </w:r>
          </w:p>
        </w:tc>
        <w:tc>
          <w:tcPr>
            <w:tcW w:w="986" w:type="dxa"/>
          </w:tcPr>
          <w:p w14:paraId="3532E580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  <w:lang w:bidi="ar"/>
              </w:rPr>
              <w:t>有效专利</w:t>
            </w:r>
          </w:p>
        </w:tc>
      </w:tr>
      <w:tr w14:paraId="0A98C4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</w:tcPr>
          <w:p w14:paraId="66F412CE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学术论文</w:t>
            </w:r>
          </w:p>
        </w:tc>
        <w:tc>
          <w:tcPr>
            <w:tcW w:w="983" w:type="dxa"/>
          </w:tcPr>
          <w:p w14:paraId="3C825C73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Discovery of herbacetin as a novel SGK1 inhibitor to alleviate myocardial hypertrophy</w:t>
            </w:r>
          </w:p>
        </w:tc>
        <w:tc>
          <w:tcPr>
            <w:tcW w:w="983" w:type="dxa"/>
          </w:tcPr>
          <w:p w14:paraId="70218C07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中国</w:t>
            </w:r>
          </w:p>
        </w:tc>
        <w:tc>
          <w:tcPr>
            <w:tcW w:w="983" w:type="dxa"/>
          </w:tcPr>
          <w:p w14:paraId="5205EA18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9(2):e2101485</w:t>
            </w:r>
          </w:p>
        </w:tc>
        <w:tc>
          <w:tcPr>
            <w:tcW w:w="983" w:type="dxa"/>
          </w:tcPr>
          <w:p w14:paraId="47F276CE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2022.01.14</w:t>
            </w:r>
          </w:p>
        </w:tc>
        <w:tc>
          <w:tcPr>
            <w:tcW w:w="983" w:type="dxa"/>
          </w:tcPr>
          <w:p w14:paraId="3BC49FBE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Advanced Science</w:t>
            </w:r>
          </w:p>
        </w:tc>
        <w:tc>
          <w:tcPr>
            <w:tcW w:w="983" w:type="dxa"/>
          </w:tcPr>
          <w:p w14:paraId="7EF9608F">
            <w:pPr>
              <w:pStyle w:val="8"/>
              <w:adjustRightInd w:val="0"/>
              <w:snapToGrid w:val="0"/>
              <w:jc w:val="left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浙江大学</w:t>
            </w:r>
          </w:p>
          <w:p w14:paraId="74483D18">
            <w:pPr>
              <w:pStyle w:val="8"/>
              <w:adjustRightInd w:val="0"/>
              <w:snapToGrid w:val="0"/>
              <w:jc w:val="left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浙江中医药大学</w:t>
            </w:r>
          </w:p>
          <w:p w14:paraId="4A88CC7F">
            <w:pPr>
              <w:pStyle w:val="8"/>
              <w:adjustRightInd w:val="0"/>
              <w:snapToGrid w:val="0"/>
              <w:jc w:val="left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天津中医药大学等</w:t>
            </w:r>
          </w:p>
          <w:p w14:paraId="185E2447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</w:tcPr>
          <w:p w14:paraId="51C7A07A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第一作者：张舒静；通讯作者：赵筱萍；王毅</w:t>
            </w:r>
          </w:p>
        </w:tc>
        <w:tc>
          <w:tcPr>
            <w:tcW w:w="986" w:type="dxa"/>
          </w:tcPr>
          <w:p w14:paraId="3F068162">
            <w:pPr>
              <w:pStyle w:val="8"/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其他有 </w:t>
            </w:r>
          </w:p>
          <w:p w14:paraId="6CDAF825">
            <w:pPr>
              <w:pStyle w:val="8"/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效的知 </w:t>
            </w:r>
          </w:p>
          <w:p w14:paraId="0B495E3B">
            <w:pPr>
              <w:pStyle w:val="8"/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识产权</w:t>
            </w:r>
          </w:p>
        </w:tc>
      </w:tr>
    </w:tbl>
    <w:p w14:paraId="32DC98BA">
      <w:pPr>
        <w:adjustRightInd w:val="0"/>
        <w:snapToGrid w:val="0"/>
        <w:spacing w:line="560" w:lineRule="exact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3A4AF8">
      <w:pPr>
        <w:adjustRightInd w:val="0"/>
        <w:snapToGri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）主要完成人</w:t>
      </w:r>
    </w:p>
    <w:p w14:paraId="0A1F2E3B">
      <w:pPr>
        <w:adjustRightInd w:val="0"/>
        <w:snapToGrid w:val="0"/>
        <w:spacing w:line="560" w:lineRule="exac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程翼宇、张伯礼、李正、王毅、刘雳、赵筱萍、张晗、王益民、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周鸿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、龚行楚、瞿海斌、叶正良、闫久江、王军</w:t>
      </w:r>
    </w:p>
    <w:p w14:paraId="364A247F">
      <w:pPr>
        <w:adjustRightInd w:val="0"/>
        <w:snapToGri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）主要完成单位</w:t>
      </w:r>
    </w:p>
    <w:p w14:paraId="5566F899">
      <w:pPr>
        <w:adjustRightInd w:val="0"/>
        <w:snapToGrid w:val="0"/>
        <w:spacing w:line="560" w:lineRule="exac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浙江大学、天津中医药大学、浙江中医药大学、上海医药集团股份有限公司、津药达仁堂集团股份有限公司、黑龙江珍宝岛药业股份有限公司、山东步长制药股份有限公司、正大青春宝药业有限公司、天津天士力之骄药业有限公司、上海上药杏灵科技药业股份有限公司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D329E7-050A-4368-BF04-6FEEC5AC64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BA8DCD7-3853-4A0F-9D2A-B4AECAD79106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B52F9F1-481B-408C-BFA3-0E19E6CF8C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CA2AA">
    <w:pPr>
      <w:pStyle w:val="6"/>
      <w:framePr w:wrap="around" w:vAnchor="text" w:hAnchor="margin" w:xAlign="center" w:y="1"/>
      <w:rPr>
        <w:rStyle w:val="13"/>
      </w:rPr>
    </w:pPr>
  </w:p>
  <w:p w14:paraId="0DA92C67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BDFED"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3F8A53AD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822F41"/>
    <w:rsid w:val="00003577"/>
    <w:rsid w:val="00006B56"/>
    <w:rsid w:val="00010406"/>
    <w:rsid w:val="00012096"/>
    <w:rsid w:val="00014353"/>
    <w:rsid w:val="00024C74"/>
    <w:rsid w:val="0002670B"/>
    <w:rsid w:val="000318DA"/>
    <w:rsid w:val="00031C83"/>
    <w:rsid w:val="00036E61"/>
    <w:rsid w:val="000669C8"/>
    <w:rsid w:val="00072681"/>
    <w:rsid w:val="00080D53"/>
    <w:rsid w:val="000A290D"/>
    <w:rsid w:val="000B4AA9"/>
    <w:rsid w:val="000B4D8A"/>
    <w:rsid w:val="000B4FF7"/>
    <w:rsid w:val="000D2556"/>
    <w:rsid w:val="000D2943"/>
    <w:rsid w:val="000F28F2"/>
    <w:rsid w:val="001139F2"/>
    <w:rsid w:val="0011420E"/>
    <w:rsid w:val="001225B2"/>
    <w:rsid w:val="001303EC"/>
    <w:rsid w:val="00140BC0"/>
    <w:rsid w:val="001455AF"/>
    <w:rsid w:val="0014656F"/>
    <w:rsid w:val="001635C8"/>
    <w:rsid w:val="00174C82"/>
    <w:rsid w:val="00190032"/>
    <w:rsid w:val="001A16C9"/>
    <w:rsid w:val="001A1EFF"/>
    <w:rsid w:val="001A6B61"/>
    <w:rsid w:val="001B23DB"/>
    <w:rsid w:val="001C2831"/>
    <w:rsid w:val="001C3EAF"/>
    <w:rsid w:val="001D09D8"/>
    <w:rsid w:val="001D704B"/>
    <w:rsid w:val="00203483"/>
    <w:rsid w:val="00237524"/>
    <w:rsid w:val="00245728"/>
    <w:rsid w:val="002510B3"/>
    <w:rsid w:val="002525FB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96E07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4F7ED0"/>
    <w:rsid w:val="00504CAB"/>
    <w:rsid w:val="00504FD3"/>
    <w:rsid w:val="0051382A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26D82"/>
    <w:rsid w:val="00632D55"/>
    <w:rsid w:val="006451CA"/>
    <w:rsid w:val="006462CB"/>
    <w:rsid w:val="00646CB1"/>
    <w:rsid w:val="00651CE6"/>
    <w:rsid w:val="00671E7E"/>
    <w:rsid w:val="006751F7"/>
    <w:rsid w:val="006773F6"/>
    <w:rsid w:val="006822AE"/>
    <w:rsid w:val="0068331B"/>
    <w:rsid w:val="0068625A"/>
    <w:rsid w:val="00687B01"/>
    <w:rsid w:val="006901F6"/>
    <w:rsid w:val="006A1A02"/>
    <w:rsid w:val="006B16AC"/>
    <w:rsid w:val="006C1948"/>
    <w:rsid w:val="006C62FC"/>
    <w:rsid w:val="006E7395"/>
    <w:rsid w:val="006F157A"/>
    <w:rsid w:val="00702E11"/>
    <w:rsid w:val="007122C2"/>
    <w:rsid w:val="00720D87"/>
    <w:rsid w:val="00720DD9"/>
    <w:rsid w:val="00732AF0"/>
    <w:rsid w:val="00760CED"/>
    <w:rsid w:val="00763ED6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16658"/>
    <w:rsid w:val="00822F41"/>
    <w:rsid w:val="008236D5"/>
    <w:rsid w:val="00825117"/>
    <w:rsid w:val="00834466"/>
    <w:rsid w:val="00840143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5B4A"/>
    <w:rsid w:val="00926ECA"/>
    <w:rsid w:val="00964538"/>
    <w:rsid w:val="009733A5"/>
    <w:rsid w:val="0098257F"/>
    <w:rsid w:val="009958C1"/>
    <w:rsid w:val="009F4297"/>
    <w:rsid w:val="00A05545"/>
    <w:rsid w:val="00A11023"/>
    <w:rsid w:val="00A136A9"/>
    <w:rsid w:val="00A2145A"/>
    <w:rsid w:val="00A2588F"/>
    <w:rsid w:val="00A2607C"/>
    <w:rsid w:val="00A263FD"/>
    <w:rsid w:val="00A27BDC"/>
    <w:rsid w:val="00A35798"/>
    <w:rsid w:val="00A540AC"/>
    <w:rsid w:val="00A767D7"/>
    <w:rsid w:val="00A827CE"/>
    <w:rsid w:val="00A91E01"/>
    <w:rsid w:val="00AA5860"/>
    <w:rsid w:val="00AB540A"/>
    <w:rsid w:val="00AC18CF"/>
    <w:rsid w:val="00AC461B"/>
    <w:rsid w:val="00AD2117"/>
    <w:rsid w:val="00AF3E40"/>
    <w:rsid w:val="00B0121D"/>
    <w:rsid w:val="00B121F3"/>
    <w:rsid w:val="00B127C0"/>
    <w:rsid w:val="00B70893"/>
    <w:rsid w:val="00B70CE6"/>
    <w:rsid w:val="00B75EC1"/>
    <w:rsid w:val="00B86FD9"/>
    <w:rsid w:val="00BA2FD2"/>
    <w:rsid w:val="00BA539E"/>
    <w:rsid w:val="00BA58E7"/>
    <w:rsid w:val="00BC2F5C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A3891"/>
    <w:rsid w:val="00CF370E"/>
    <w:rsid w:val="00CF591B"/>
    <w:rsid w:val="00D0308A"/>
    <w:rsid w:val="00D05C59"/>
    <w:rsid w:val="00D131C3"/>
    <w:rsid w:val="00D2361E"/>
    <w:rsid w:val="00D236D5"/>
    <w:rsid w:val="00D40788"/>
    <w:rsid w:val="00D4521F"/>
    <w:rsid w:val="00D5219A"/>
    <w:rsid w:val="00D525DA"/>
    <w:rsid w:val="00D54C80"/>
    <w:rsid w:val="00D60B41"/>
    <w:rsid w:val="00DB33A9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A159B"/>
    <w:rsid w:val="00EB2F9A"/>
    <w:rsid w:val="00EB778D"/>
    <w:rsid w:val="00EC0F7C"/>
    <w:rsid w:val="00EC5F77"/>
    <w:rsid w:val="00EE0243"/>
    <w:rsid w:val="00EE0345"/>
    <w:rsid w:val="00EF66A4"/>
    <w:rsid w:val="00F01250"/>
    <w:rsid w:val="00F17C25"/>
    <w:rsid w:val="00F333F6"/>
    <w:rsid w:val="00F3785C"/>
    <w:rsid w:val="00F40914"/>
    <w:rsid w:val="00F441F5"/>
    <w:rsid w:val="00F6451A"/>
    <w:rsid w:val="00F7047A"/>
    <w:rsid w:val="00F81A01"/>
    <w:rsid w:val="00F82045"/>
    <w:rsid w:val="00F852C1"/>
    <w:rsid w:val="00F914BC"/>
    <w:rsid w:val="00FB0852"/>
    <w:rsid w:val="00FB17F1"/>
    <w:rsid w:val="00FB5F40"/>
    <w:rsid w:val="00FD4138"/>
    <w:rsid w:val="00FE3092"/>
    <w:rsid w:val="00FE435F"/>
    <w:rsid w:val="01FD42EF"/>
    <w:rsid w:val="03A23C27"/>
    <w:rsid w:val="0517712C"/>
    <w:rsid w:val="05E96EA5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24C7C1E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156F56"/>
    <w:rsid w:val="3BA03635"/>
    <w:rsid w:val="3D373411"/>
    <w:rsid w:val="3FE51083"/>
    <w:rsid w:val="44555D78"/>
    <w:rsid w:val="44767BDF"/>
    <w:rsid w:val="45B82804"/>
    <w:rsid w:val="45C35A87"/>
    <w:rsid w:val="46E22750"/>
    <w:rsid w:val="475443C7"/>
    <w:rsid w:val="478F67EB"/>
    <w:rsid w:val="47B2292F"/>
    <w:rsid w:val="482F50D0"/>
    <w:rsid w:val="4B1F1850"/>
    <w:rsid w:val="4C3645C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7D608C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unhideWhenUsed/>
    <w:qFormat/>
    <w:uiPriority w:val="99"/>
    <w:pPr>
      <w:jc w:val="left"/>
    </w:pPr>
  </w:style>
  <w:style w:type="paragraph" w:styleId="3">
    <w:name w:val="Body Text"/>
    <w:basedOn w:val="1"/>
    <w:next w:val="1"/>
    <w:autoRedefine/>
    <w:semiHidden/>
    <w:qFormat/>
    <w:uiPriority w:val="0"/>
    <w:pPr>
      <w:spacing w:after="120"/>
    </w:pPr>
  </w:style>
  <w:style w:type="paragraph" w:styleId="4">
    <w:name w:val="Plain Text"/>
    <w:basedOn w:val="1"/>
    <w:link w:val="16"/>
    <w:autoRedefine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rPr>
      <w:sz w:val="24"/>
    </w:rPr>
  </w:style>
  <w:style w:type="paragraph" w:styleId="9">
    <w:name w:val="annotation subject"/>
    <w:basedOn w:val="2"/>
    <w:next w:val="2"/>
    <w:link w:val="20"/>
    <w:autoRedefine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autoRedefine/>
    <w:qFormat/>
    <w:uiPriority w:val="0"/>
  </w:style>
  <w:style w:type="character" w:styleId="1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5">
    <w:name w:val="批注文字 字符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纯文本 字符1"/>
    <w:link w:val="4"/>
    <w:autoRedefine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7">
    <w:name w:val="批注框文本 字符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link w:val="6"/>
    <w:autoRedefine/>
    <w:qFormat/>
    <w:uiPriority w:val="99"/>
    <w:rPr>
      <w:sz w:val="18"/>
      <w:szCs w:val="18"/>
    </w:rPr>
  </w:style>
  <w:style w:type="character" w:customStyle="1" w:styleId="19">
    <w:name w:val="页眉 字符"/>
    <w:link w:val="7"/>
    <w:autoRedefine/>
    <w:qFormat/>
    <w:uiPriority w:val="99"/>
    <w:rPr>
      <w:sz w:val="18"/>
      <w:szCs w:val="18"/>
    </w:rPr>
  </w:style>
  <w:style w:type="character" w:customStyle="1" w:styleId="20">
    <w:name w:val="批注主题 字符"/>
    <w:link w:val="9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纯文本 字符"/>
    <w:autoRedefine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CDBA3-CCB2-4821-84AE-0758563AC5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279</Words>
  <Characters>282</Characters>
  <Lines>10</Lines>
  <Paragraphs>3</Paragraphs>
  <TotalTime>0</TotalTime>
  <ScaleCrop>false</ScaleCrop>
  <LinksUpToDate>false</LinksUpToDate>
  <CharactersWithSpaces>282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2025-05-25T05:41:00Z</dcterms:created>
  <dc:creator>LY-01</dc:creator>
  <cp:lastModifiedBy>葛格</cp:lastModifiedBy>
  <dcterms:modified xsi:type="dcterms:W3CDTF">2025-06-23T04:27:04Z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D15C14D3772549498ECD8913ACA1EF5F_13</vt:lpwstr>
  </property>
</Properties>
</file>