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E59AB" w14:textId="10E470B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54581CD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2025年度国家自然科学奖提名项目</w:t>
      </w:r>
    </w:p>
    <w:p w14:paraId="45793321" w14:textId="77777777" w:rsidR="007B1DDF" w:rsidRDefault="00B86FD9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36B8977E" w14:textId="77777777" w:rsidR="007B1DDF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D7266AE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FE8D697" w14:textId="44632D80" w:rsidR="007B1DDF" w:rsidRDefault="002E018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土的各向异性状态相关</w:t>
      </w:r>
      <w:r w:rsidR="00A97364" w:rsidRPr="00A97364">
        <w:rPr>
          <w:rFonts w:ascii="黑体" w:eastAsia="黑体" w:hAnsi="黑体" w:cs="黑体" w:hint="eastAsia"/>
          <w:sz w:val="32"/>
          <w:szCs w:val="32"/>
        </w:rPr>
        <w:t>理论</w:t>
      </w:r>
      <w:r>
        <w:rPr>
          <w:rFonts w:ascii="黑体" w:eastAsia="黑体" w:hAnsi="黑体" w:cs="黑体" w:hint="eastAsia"/>
          <w:sz w:val="32"/>
          <w:szCs w:val="32"/>
        </w:rPr>
        <w:t>及其本构模型</w:t>
      </w:r>
      <w:bookmarkStart w:id="0" w:name="_GoBack"/>
      <w:bookmarkEnd w:id="0"/>
    </w:p>
    <w:p w14:paraId="11FB78FD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3CE4C1C2" w14:textId="6AAE1A91" w:rsidR="007B1DDF" w:rsidRDefault="00A97364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浙江省</w:t>
      </w:r>
    </w:p>
    <w:p w14:paraId="663D881C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（不超过10件）</w:t>
      </w:r>
    </w:p>
    <w:tbl>
      <w:tblPr>
        <w:tblW w:w="914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992"/>
        <w:gridCol w:w="850"/>
        <w:gridCol w:w="851"/>
        <w:gridCol w:w="850"/>
        <w:gridCol w:w="567"/>
        <w:gridCol w:w="993"/>
        <w:gridCol w:w="783"/>
      </w:tblGrid>
      <w:tr w:rsidR="00006029" w14:paraId="558E6D39" w14:textId="77777777" w:rsidTr="003D3CB1">
        <w:trPr>
          <w:trHeight w:val="1218"/>
        </w:trPr>
        <w:tc>
          <w:tcPr>
            <w:tcW w:w="426" w:type="dxa"/>
            <w:vAlign w:val="center"/>
          </w:tcPr>
          <w:p w14:paraId="574F4482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14:paraId="170418F4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刊名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992" w:type="dxa"/>
            <w:vAlign w:val="center"/>
          </w:tcPr>
          <w:p w14:paraId="133E076F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4DAFE90B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页）</w:t>
            </w:r>
          </w:p>
        </w:tc>
        <w:tc>
          <w:tcPr>
            <w:tcW w:w="850" w:type="dxa"/>
            <w:vAlign w:val="center"/>
          </w:tcPr>
          <w:p w14:paraId="708C1BEA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851" w:type="dxa"/>
            <w:vAlign w:val="center"/>
          </w:tcPr>
          <w:p w14:paraId="4A17E6CE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11FE3DFD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50" w:type="dxa"/>
            <w:vAlign w:val="center"/>
          </w:tcPr>
          <w:p w14:paraId="619CBB85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54D2C863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567" w:type="dxa"/>
            <w:vAlign w:val="center"/>
          </w:tcPr>
          <w:p w14:paraId="355E6D76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993" w:type="dxa"/>
            <w:vAlign w:val="center"/>
          </w:tcPr>
          <w:p w14:paraId="029A0623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783" w:type="dxa"/>
            <w:vAlign w:val="center"/>
          </w:tcPr>
          <w:p w14:paraId="69EA1E04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ascii="Times New Roman" w:hint="eastAsia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:rsidR="00006029" w14:paraId="6F832B66" w14:textId="77777777" w:rsidTr="003D3CB1">
        <w:trPr>
          <w:trHeight w:hRule="exact" w:val="1341"/>
        </w:trPr>
        <w:tc>
          <w:tcPr>
            <w:tcW w:w="426" w:type="dxa"/>
            <w:vAlign w:val="center"/>
          </w:tcPr>
          <w:p w14:paraId="54011885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491686F9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 w:rsidRPr="001F2371">
              <w:rPr>
                <w:rFonts w:ascii="Times New Roman"/>
                <w:color w:val="000000"/>
                <w:sz w:val="21"/>
                <w:szCs w:val="28"/>
              </w:rPr>
              <w:t>Und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r</w:t>
            </w:r>
            <w:r w:rsidRPr="001F2371">
              <w:rPr>
                <w:rFonts w:ascii="Times New Roman"/>
                <w:color w:val="000000"/>
                <w:sz w:val="21"/>
                <w:szCs w:val="28"/>
              </w:rPr>
              <w:t>ained</w:t>
            </w:r>
            <w:proofErr w:type="spellEnd"/>
            <w:r w:rsidRPr="001F2371">
              <w:rPr>
                <w:rFonts w:ascii="Times New Roman"/>
                <w:color w:val="000000"/>
                <w:sz w:val="21"/>
                <w:szCs w:val="28"/>
              </w:rPr>
              <w:t xml:space="preserve"> anisotropy and ro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tat</w:t>
            </w:r>
            <w:r w:rsidRPr="001F2371">
              <w:rPr>
                <w:rFonts w:ascii="Times New Roman"/>
                <w:color w:val="000000"/>
                <w:sz w:val="21"/>
                <w:szCs w:val="28"/>
              </w:rPr>
              <w:t xml:space="preserve">ional shear in </w:t>
            </w:r>
            <w:r>
              <w:rPr>
                <w:rFonts w:ascii="Times New Roman"/>
                <w:color w:val="000000"/>
                <w:sz w:val="21"/>
                <w:szCs w:val="28"/>
              </w:rPr>
              <w:t>granular soil/</w:t>
            </w:r>
            <w:r w:rsidRPr="008A571C">
              <w:rPr>
                <w:rFonts w:ascii="Times New Roman" w:hint="eastAsia"/>
                <w:szCs w:val="24"/>
              </w:rPr>
              <w:t xml:space="preserve"> </w:t>
            </w:r>
            <w:proofErr w:type="spellStart"/>
            <w:r w:rsidRPr="008A571C">
              <w:rPr>
                <w:rFonts w:ascii="Times New Roman" w:hint="eastAsia"/>
                <w:color w:val="000000"/>
                <w:sz w:val="21"/>
                <w:szCs w:val="28"/>
              </w:rPr>
              <w:t>G</w:t>
            </w:r>
            <w:r w:rsidRPr="008A571C">
              <w:rPr>
                <w:rFonts w:ascii="Times New Roman"/>
                <w:color w:val="000000"/>
                <w:sz w:val="21"/>
                <w:szCs w:val="28"/>
              </w:rPr>
              <w:t>é</w:t>
            </w:r>
            <w:r w:rsidRPr="008A571C">
              <w:rPr>
                <w:rFonts w:ascii="Times New Roman" w:hint="eastAsia"/>
                <w:color w:val="000000"/>
                <w:sz w:val="21"/>
                <w:szCs w:val="28"/>
              </w:rPr>
              <w:t>otechnique</w:t>
            </w:r>
            <w:proofErr w:type="spellEnd"/>
            <w:r w:rsidRPr="008A571C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/Yang ZX</w:t>
            </w:r>
            <w:r w:rsidRPr="001F2371">
              <w:rPr>
                <w:rFonts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Li X</w:t>
            </w:r>
            <w:r w:rsidRPr="001F2371">
              <w:rPr>
                <w:rFonts w:ascii="Times New Roman"/>
                <w:color w:val="000000"/>
                <w:sz w:val="21"/>
                <w:szCs w:val="28"/>
              </w:rPr>
              <w:t>S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Yang</w:t>
            </w:r>
            <w:r w:rsidRPr="001F2371">
              <w:rPr>
                <w:rFonts w:ascii="Times New Roman"/>
                <w:color w:val="000000"/>
                <w:sz w:val="21"/>
                <w:szCs w:val="28"/>
              </w:rPr>
              <w:t xml:space="preserve"> J.</w:t>
            </w:r>
          </w:p>
        </w:tc>
        <w:tc>
          <w:tcPr>
            <w:tcW w:w="992" w:type="dxa"/>
            <w:vAlign w:val="center"/>
          </w:tcPr>
          <w:p w14:paraId="0044E470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BA4261">
              <w:rPr>
                <w:rFonts w:ascii="Times New Roman"/>
                <w:color w:val="000000"/>
                <w:sz w:val="21"/>
                <w:szCs w:val="28"/>
              </w:rPr>
              <w:t>2007; 57(4); 371-384</w:t>
            </w:r>
          </w:p>
        </w:tc>
        <w:tc>
          <w:tcPr>
            <w:tcW w:w="850" w:type="dxa"/>
            <w:vAlign w:val="center"/>
          </w:tcPr>
          <w:p w14:paraId="6DFC5854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BA4261">
              <w:rPr>
                <w:rFonts w:ascii="Times New Roman"/>
                <w:color w:val="000000"/>
                <w:sz w:val="21"/>
                <w:szCs w:val="28"/>
              </w:rPr>
              <w:t>2007-05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-01</w:t>
            </w:r>
          </w:p>
        </w:tc>
        <w:tc>
          <w:tcPr>
            <w:tcW w:w="851" w:type="dxa"/>
            <w:vAlign w:val="center"/>
          </w:tcPr>
          <w:p w14:paraId="04D57ED7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</w:p>
        </w:tc>
        <w:tc>
          <w:tcPr>
            <w:tcW w:w="850" w:type="dxa"/>
            <w:vAlign w:val="center"/>
          </w:tcPr>
          <w:p w14:paraId="0D6FA466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Yang ZX</w:t>
            </w:r>
          </w:p>
        </w:tc>
        <w:tc>
          <w:tcPr>
            <w:tcW w:w="567" w:type="dxa"/>
            <w:vAlign w:val="center"/>
          </w:tcPr>
          <w:p w14:paraId="0F028991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杨仲轩，李相崧，杨峻</w:t>
            </w:r>
          </w:p>
        </w:tc>
        <w:tc>
          <w:tcPr>
            <w:tcW w:w="993" w:type="dxa"/>
            <w:vAlign w:val="center"/>
          </w:tcPr>
          <w:p w14:paraId="6F642F1A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783" w:type="dxa"/>
            <w:vAlign w:val="center"/>
          </w:tcPr>
          <w:p w14:paraId="716FF7D2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国外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代表性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</w:t>
            </w:r>
          </w:p>
        </w:tc>
      </w:tr>
      <w:tr w:rsidR="00006029" w14:paraId="7DFF9054" w14:textId="77777777" w:rsidTr="003D3CB1">
        <w:trPr>
          <w:trHeight w:hRule="exact" w:val="991"/>
        </w:trPr>
        <w:tc>
          <w:tcPr>
            <w:tcW w:w="426" w:type="dxa"/>
            <w:vAlign w:val="center"/>
          </w:tcPr>
          <w:p w14:paraId="1624C87E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1C2C348F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proofErr w:type="spellStart"/>
            <w:r w:rsidRPr="00DF5777">
              <w:rPr>
                <w:rFonts w:ascii="Times New Roman"/>
                <w:color w:val="000000"/>
                <w:sz w:val="21"/>
                <w:szCs w:val="28"/>
              </w:rPr>
              <w:t>Dilatancy</w:t>
            </w:r>
            <w:proofErr w:type="spellEnd"/>
            <w:r w:rsidRPr="00DF5777">
              <w:rPr>
                <w:rFonts w:ascii="Times New Roman"/>
                <w:color w:val="000000"/>
                <w:sz w:val="21"/>
                <w:szCs w:val="28"/>
              </w:rPr>
              <w:t xml:space="preserve"> for </w:t>
            </w:r>
            <w:proofErr w:type="spellStart"/>
            <w:r w:rsidRPr="00DF5777">
              <w:rPr>
                <w:rFonts w:ascii="Times New Roman"/>
                <w:color w:val="000000"/>
                <w:sz w:val="21"/>
                <w:szCs w:val="28"/>
              </w:rPr>
              <w:t>cohe</w:t>
            </w:r>
            <w:r>
              <w:rPr>
                <w:rFonts w:ascii="Times New Roman"/>
                <w:color w:val="000000"/>
                <w:sz w:val="21"/>
                <w:szCs w:val="28"/>
              </w:rPr>
              <w:t>sionless</w:t>
            </w:r>
            <w:proofErr w:type="spellEnd"/>
            <w:r>
              <w:rPr>
                <w:rFonts w:ascii="Times New Roman"/>
                <w:color w:val="000000"/>
                <w:sz w:val="21"/>
                <w:szCs w:val="28"/>
              </w:rPr>
              <w:t xml:space="preserve"> soils/</w:t>
            </w:r>
            <w:r w:rsidRPr="008A571C">
              <w:rPr>
                <w:rFonts w:ascii="Times New Roman" w:hint="eastAsia"/>
                <w:szCs w:val="24"/>
              </w:rPr>
              <w:t xml:space="preserve"> </w:t>
            </w:r>
            <w:proofErr w:type="spellStart"/>
            <w:r w:rsidRPr="008A571C">
              <w:rPr>
                <w:rFonts w:ascii="Times New Roman" w:hint="eastAsia"/>
                <w:color w:val="000000"/>
                <w:sz w:val="21"/>
                <w:szCs w:val="28"/>
              </w:rPr>
              <w:t>G</w:t>
            </w:r>
            <w:r w:rsidRPr="008A571C">
              <w:rPr>
                <w:rFonts w:ascii="Times New Roman"/>
                <w:color w:val="000000"/>
                <w:sz w:val="21"/>
                <w:szCs w:val="28"/>
              </w:rPr>
              <w:t>é</w:t>
            </w:r>
            <w:r w:rsidRPr="008A571C">
              <w:rPr>
                <w:rFonts w:ascii="Times New Roman" w:hint="eastAsia"/>
                <w:color w:val="000000"/>
                <w:sz w:val="21"/>
                <w:szCs w:val="28"/>
              </w:rPr>
              <w:t>otechnique</w:t>
            </w:r>
            <w:proofErr w:type="spellEnd"/>
            <w:r w:rsidRPr="008A571C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/ Li X</w:t>
            </w:r>
            <w:r w:rsidRPr="00DF5777">
              <w:rPr>
                <w:rFonts w:ascii="Times New Roman"/>
                <w:color w:val="000000"/>
                <w:sz w:val="21"/>
                <w:szCs w:val="28"/>
              </w:rPr>
              <w:t>S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,</w:t>
            </w:r>
            <w:r w:rsidRPr="00DF5777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/>
                <w:color w:val="000000"/>
                <w:sz w:val="21"/>
                <w:szCs w:val="28"/>
              </w:rPr>
              <w:t>Dafalias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YF.</w:t>
            </w:r>
          </w:p>
        </w:tc>
        <w:tc>
          <w:tcPr>
            <w:tcW w:w="992" w:type="dxa"/>
            <w:vAlign w:val="center"/>
          </w:tcPr>
          <w:p w14:paraId="66E920EC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2000;</w:t>
            </w:r>
            <w:r>
              <w:t xml:space="preserve"> </w:t>
            </w:r>
            <w:r w:rsidRPr="00DF5777">
              <w:rPr>
                <w:rFonts w:ascii="Times New Roman"/>
                <w:color w:val="000000"/>
                <w:sz w:val="21"/>
                <w:szCs w:val="28"/>
              </w:rPr>
              <w:t>50(4)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; </w:t>
            </w:r>
            <w:r w:rsidRPr="00DF5777">
              <w:rPr>
                <w:rFonts w:ascii="Times New Roman"/>
                <w:color w:val="000000"/>
                <w:sz w:val="21"/>
                <w:szCs w:val="28"/>
              </w:rPr>
              <w:t>449-460</w:t>
            </w:r>
          </w:p>
        </w:tc>
        <w:tc>
          <w:tcPr>
            <w:tcW w:w="850" w:type="dxa"/>
            <w:vAlign w:val="center"/>
          </w:tcPr>
          <w:p w14:paraId="18A0E8CF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2000-04-01</w:t>
            </w:r>
          </w:p>
        </w:tc>
        <w:tc>
          <w:tcPr>
            <w:tcW w:w="851" w:type="dxa"/>
            <w:vAlign w:val="center"/>
          </w:tcPr>
          <w:p w14:paraId="70101654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</w:p>
        </w:tc>
        <w:tc>
          <w:tcPr>
            <w:tcW w:w="850" w:type="dxa"/>
            <w:vAlign w:val="center"/>
          </w:tcPr>
          <w:p w14:paraId="34357925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Li XS</w:t>
            </w:r>
          </w:p>
        </w:tc>
        <w:tc>
          <w:tcPr>
            <w:tcW w:w="567" w:type="dxa"/>
            <w:vAlign w:val="center"/>
          </w:tcPr>
          <w:p w14:paraId="02755830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李相崧</w:t>
            </w:r>
          </w:p>
        </w:tc>
        <w:tc>
          <w:tcPr>
            <w:tcW w:w="993" w:type="dxa"/>
            <w:vAlign w:val="center"/>
          </w:tcPr>
          <w:p w14:paraId="6AC4D172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783" w:type="dxa"/>
            <w:vAlign w:val="center"/>
          </w:tcPr>
          <w:p w14:paraId="1BA40279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D55EBA">
              <w:rPr>
                <w:rFonts w:ascii="Times New Roman"/>
                <w:color w:val="000000"/>
                <w:sz w:val="21"/>
                <w:szCs w:val="28"/>
              </w:rPr>
              <w:t>国外代表性论文</w:t>
            </w:r>
          </w:p>
        </w:tc>
      </w:tr>
      <w:tr w:rsidR="00006029" w14:paraId="29A57409" w14:textId="77777777" w:rsidTr="003D3CB1">
        <w:trPr>
          <w:trHeight w:hRule="exact" w:val="1275"/>
        </w:trPr>
        <w:tc>
          <w:tcPr>
            <w:tcW w:w="426" w:type="dxa"/>
            <w:vAlign w:val="center"/>
          </w:tcPr>
          <w:p w14:paraId="5050E572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4A7F14DD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BA4261">
              <w:rPr>
                <w:rFonts w:ascii="Times New Roman"/>
                <w:color w:val="000000"/>
                <w:sz w:val="21"/>
                <w:szCs w:val="28"/>
              </w:rPr>
              <w:t>Qua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n</w:t>
            </w:r>
            <w:r w:rsidRPr="00BA4261">
              <w:rPr>
                <w:rFonts w:ascii="Times New Roman"/>
                <w:color w:val="000000"/>
                <w:sz w:val="21"/>
                <w:szCs w:val="28"/>
              </w:rPr>
              <w:t xml:space="preserve">tifying and modeling fabric anisotropy of </w:t>
            </w:r>
            <w:r>
              <w:rPr>
                <w:rFonts w:ascii="Times New Roman"/>
                <w:color w:val="000000"/>
                <w:sz w:val="21"/>
                <w:szCs w:val="28"/>
              </w:rPr>
              <w:t>granular soil/</w:t>
            </w:r>
            <w:r w:rsidRPr="008A571C">
              <w:rPr>
                <w:rFonts w:ascii="Times New Roman" w:hint="eastAsia"/>
                <w:szCs w:val="24"/>
              </w:rPr>
              <w:t xml:space="preserve"> </w:t>
            </w:r>
            <w:proofErr w:type="spellStart"/>
            <w:r w:rsidRPr="008A571C">
              <w:rPr>
                <w:rFonts w:ascii="Times New Roman" w:hint="eastAsia"/>
                <w:color w:val="000000"/>
                <w:sz w:val="21"/>
                <w:szCs w:val="28"/>
              </w:rPr>
              <w:t>G</w:t>
            </w:r>
            <w:r w:rsidRPr="008A571C">
              <w:rPr>
                <w:rFonts w:ascii="Times New Roman"/>
                <w:color w:val="000000"/>
                <w:sz w:val="21"/>
                <w:szCs w:val="28"/>
              </w:rPr>
              <w:t>é</w:t>
            </w:r>
            <w:r w:rsidRPr="008A571C">
              <w:rPr>
                <w:rFonts w:ascii="Times New Roman" w:hint="eastAsia"/>
                <w:color w:val="000000"/>
                <w:sz w:val="21"/>
                <w:szCs w:val="28"/>
              </w:rPr>
              <w:t>otechnique</w:t>
            </w:r>
            <w:proofErr w:type="spellEnd"/>
            <w:r w:rsidRPr="008A571C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/Yang ZX, Li X</w:t>
            </w:r>
            <w:r w:rsidRPr="00BA4261">
              <w:rPr>
                <w:rFonts w:ascii="Times New Roman"/>
                <w:color w:val="000000"/>
                <w:sz w:val="21"/>
                <w:szCs w:val="28"/>
              </w:rPr>
              <w:t>S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Yang</w:t>
            </w:r>
            <w:r w:rsidRPr="00BA4261">
              <w:rPr>
                <w:rFonts w:ascii="Times New Roman"/>
                <w:color w:val="000000"/>
                <w:sz w:val="21"/>
                <w:szCs w:val="28"/>
              </w:rPr>
              <w:t xml:space="preserve"> J.</w:t>
            </w:r>
          </w:p>
        </w:tc>
        <w:tc>
          <w:tcPr>
            <w:tcW w:w="992" w:type="dxa"/>
            <w:vAlign w:val="center"/>
          </w:tcPr>
          <w:p w14:paraId="085042F2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BA4261">
              <w:rPr>
                <w:rFonts w:ascii="Times New Roman"/>
                <w:color w:val="000000"/>
                <w:sz w:val="21"/>
                <w:szCs w:val="28"/>
              </w:rPr>
              <w:t>2008; 58(4); 237-248</w:t>
            </w:r>
          </w:p>
        </w:tc>
        <w:tc>
          <w:tcPr>
            <w:tcW w:w="850" w:type="dxa"/>
            <w:vAlign w:val="center"/>
          </w:tcPr>
          <w:p w14:paraId="0A24FD88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BA4261">
              <w:rPr>
                <w:rFonts w:ascii="Times New Roman"/>
                <w:color w:val="000000"/>
                <w:sz w:val="21"/>
                <w:szCs w:val="28"/>
              </w:rPr>
              <w:t>2008-04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-01</w:t>
            </w:r>
          </w:p>
        </w:tc>
        <w:tc>
          <w:tcPr>
            <w:tcW w:w="851" w:type="dxa"/>
            <w:vAlign w:val="center"/>
          </w:tcPr>
          <w:p w14:paraId="481F060D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</w:p>
        </w:tc>
        <w:tc>
          <w:tcPr>
            <w:tcW w:w="850" w:type="dxa"/>
            <w:vAlign w:val="center"/>
          </w:tcPr>
          <w:p w14:paraId="6937EAAD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Yang ZX</w:t>
            </w:r>
          </w:p>
        </w:tc>
        <w:tc>
          <w:tcPr>
            <w:tcW w:w="567" w:type="dxa"/>
            <w:vAlign w:val="center"/>
          </w:tcPr>
          <w:p w14:paraId="2132D367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杨仲轩，李相崧，杨峻</w:t>
            </w:r>
          </w:p>
        </w:tc>
        <w:tc>
          <w:tcPr>
            <w:tcW w:w="993" w:type="dxa"/>
            <w:vAlign w:val="center"/>
          </w:tcPr>
          <w:p w14:paraId="35E4E71E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783" w:type="dxa"/>
            <w:vAlign w:val="center"/>
          </w:tcPr>
          <w:p w14:paraId="2983356E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D55EBA">
              <w:rPr>
                <w:rFonts w:ascii="Times New Roman"/>
                <w:color w:val="000000"/>
                <w:sz w:val="21"/>
                <w:szCs w:val="28"/>
              </w:rPr>
              <w:t>国外代表性论文</w:t>
            </w:r>
          </w:p>
        </w:tc>
      </w:tr>
      <w:tr w:rsidR="00006029" w14:paraId="6FBFAC0C" w14:textId="77777777" w:rsidTr="003D3CB1">
        <w:trPr>
          <w:trHeight w:hRule="exact" w:val="1704"/>
        </w:trPr>
        <w:tc>
          <w:tcPr>
            <w:tcW w:w="426" w:type="dxa"/>
            <w:vAlign w:val="center"/>
          </w:tcPr>
          <w:p w14:paraId="4B614427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6D805F90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2D27CE">
              <w:rPr>
                <w:rFonts w:ascii="Times New Roman"/>
                <w:color w:val="000000"/>
                <w:sz w:val="21"/>
                <w:szCs w:val="28"/>
              </w:rPr>
              <w:t xml:space="preserve">Critical state for anisotropic granular materials: A discrete element perspective/ International Journal of </w:t>
            </w:r>
            <w:proofErr w:type="spellStart"/>
            <w:r w:rsidRPr="002D27CE">
              <w:rPr>
                <w:rFonts w:ascii="Times New Roman"/>
                <w:color w:val="000000"/>
                <w:sz w:val="21"/>
                <w:szCs w:val="28"/>
              </w:rPr>
              <w:t>Geomechanics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Yang ZX</w:t>
            </w:r>
            <w:r w:rsidRPr="0079590E">
              <w:rPr>
                <w:rFonts w:ascii="Times New Roman"/>
                <w:color w:val="000000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Wu Y.</w:t>
            </w:r>
          </w:p>
        </w:tc>
        <w:tc>
          <w:tcPr>
            <w:tcW w:w="992" w:type="dxa"/>
            <w:vAlign w:val="center"/>
          </w:tcPr>
          <w:p w14:paraId="70DEF785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79590E">
              <w:rPr>
                <w:rFonts w:ascii="Times New Roman"/>
                <w:color w:val="000000"/>
                <w:sz w:val="21"/>
                <w:szCs w:val="28"/>
              </w:rPr>
              <w:t>201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7</w:t>
            </w:r>
            <w:r w:rsidRPr="0079590E">
              <w:rPr>
                <w:rFonts w:ascii="Times New Roman"/>
                <w:color w:val="000000"/>
                <w:sz w:val="21"/>
                <w:szCs w:val="28"/>
              </w:rPr>
              <w:t xml:space="preserve">;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17</w:t>
            </w:r>
            <w:r w:rsidRPr="0079590E">
              <w:rPr>
                <w:rFonts w:ascii="Times New Roman"/>
                <w:color w:val="000000"/>
                <w:sz w:val="21"/>
                <w:szCs w:val="28"/>
              </w:rPr>
              <w:t xml:space="preserve">; </w:t>
            </w:r>
            <w:r w:rsidRPr="002D27CE">
              <w:rPr>
                <w:rFonts w:ascii="Times New Roman"/>
                <w:color w:val="000000"/>
                <w:sz w:val="21"/>
                <w:szCs w:val="28"/>
              </w:rPr>
              <w:t>04016054</w:t>
            </w:r>
          </w:p>
        </w:tc>
        <w:tc>
          <w:tcPr>
            <w:tcW w:w="850" w:type="dxa"/>
            <w:vAlign w:val="center"/>
          </w:tcPr>
          <w:p w14:paraId="34CA8BD9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79590E">
              <w:rPr>
                <w:rFonts w:ascii="Times New Roman"/>
                <w:color w:val="000000"/>
                <w:sz w:val="21"/>
                <w:szCs w:val="28"/>
              </w:rPr>
              <w:t>201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7</w:t>
            </w:r>
            <w:r w:rsidRPr="0079590E">
              <w:rPr>
                <w:rFonts w:ascii="Times New Roman"/>
                <w:color w:val="000000"/>
                <w:sz w:val="21"/>
                <w:szCs w:val="28"/>
              </w:rPr>
              <w:t>-0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2-01</w:t>
            </w:r>
          </w:p>
        </w:tc>
        <w:tc>
          <w:tcPr>
            <w:tcW w:w="851" w:type="dxa"/>
            <w:vAlign w:val="center"/>
          </w:tcPr>
          <w:p w14:paraId="5963D846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Yang ZX</w:t>
            </w:r>
          </w:p>
        </w:tc>
        <w:tc>
          <w:tcPr>
            <w:tcW w:w="850" w:type="dxa"/>
            <w:vAlign w:val="center"/>
          </w:tcPr>
          <w:p w14:paraId="666CEA77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Yang ZX</w:t>
            </w:r>
          </w:p>
        </w:tc>
        <w:tc>
          <w:tcPr>
            <w:tcW w:w="567" w:type="dxa"/>
            <w:vAlign w:val="center"/>
          </w:tcPr>
          <w:p w14:paraId="7B6BCCCA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杨仲轩，吴越</w:t>
            </w:r>
          </w:p>
        </w:tc>
        <w:tc>
          <w:tcPr>
            <w:tcW w:w="993" w:type="dxa"/>
            <w:vAlign w:val="center"/>
          </w:tcPr>
          <w:p w14:paraId="719C615C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783" w:type="dxa"/>
            <w:vAlign w:val="center"/>
          </w:tcPr>
          <w:p w14:paraId="174FE98E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D55EBA">
              <w:rPr>
                <w:rFonts w:ascii="Times New Roman"/>
                <w:color w:val="000000"/>
                <w:sz w:val="21"/>
                <w:szCs w:val="28"/>
              </w:rPr>
              <w:t>国外代表性论文</w:t>
            </w:r>
          </w:p>
        </w:tc>
      </w:tr>
      <w:tr w:rsidR="00006029" w14:paraId="031EF7D2" w14:textId="77777777" w:rsidTr="003D3CB1">
        <w:trPr>
          <w:trHeight w:hRule="exact" w:val="1275"/>
        </w:trPr>
        <w:tc>
          <w:tcPr>
            <w:tcW w:w="426" w:type="dxa"/>
            <w:vAlign w:val="center"/>
          </w:tcPr>
          <w:p w14:paraId="273842CB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14:paraId="34673818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DF5777">
              <w:rPr>
                <w:rFonts w:ascii="Times New Roman"/>
                <w:color w:val="000000"/>
                <w:sz w:val="21"/>
                <w:szCs w:val="28"/>
              </w:rPr>
              <w:t>Anisotropic critic</w:t>
            </w:r>
            <w:r>
              <w:rPr>
                <w:rFonts w:ascii="Times New Roman"/>
                <w:color w:val="000000"/>
                <w:sz w:val="21"/>
                <w:szCs w:val="28"/>
              </w:rPr>
              <w:t>al state theory: role of fabric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 w:rsidRPr="00DF5777">
              <w:rPr>
                <w:rFonts w:ascii="Times New Roman"/>
                <w:color w:val="000000"/>
                <w:sz w:val="21"/>
                <w:szCs w:val="28"/>
              </w:rPr>
              <w:t>Journ</w:t>
            </w:r>
            <w:r>
              <w:rPr>
                <w:rFonts w:ascii="Times New Roman"/>
                <w:color w:val="000000"/>
                <w:sz w:val="21"/>
                <w:szCs w:val="28"/>
              </w:rPr>
              <w:t>al of Engineering Mechanics/ Li X</w:t>
            </w:r>
            <w:r w:rsidRPr="00DF5777">
              <w:rPr>
                <w:rFonts w:ascii="Times New Roman"/>
                <w:color w:val="000000"/>
                <w:sz w:val="21"/>
                <w:szCs w:val="28"/>
              </w:rPr>
              <w:t>S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,</w:t>
            </w:r>
            <w:r w:rsidRPr="00DF5777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proofErr w:type="spellStart"/>
            <w:r w:rsidRPr="00DF5777">
              <w:rPr>
                <w:rFonts w:ascii="Times New Roman"/>
                <w:color w:val="000000"/>
                <w:sz w:val="21"/>
                <w:szCs w:val="28"/>
              </w:rPr>
              <w:t>Dafalias</w:t>
            </w:r>
            <w:proofErr w:type="spellEnd"/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YF.</w:t>
            </w:r>
          </w:p>
        </w:tc>
        <w:tc>
          <w:tcPr>
            <w:tcW w:w="992" w:type="dxa"/>
            <w:vAlign w:val="center"/>
          </w:tcPr>
          <w:p w14:paraId="76DFBC18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2012;</w:t>
            </w:r>
            <w:r>
              <w:t xml:space="preserve"> </w:t>
            </w:r>
            <w:r w:rsidRPr="00DF5777">
              <w:rPr>
                <w:rFonts w:ascii="Times New Roman"/>
                <w:color w:val="000000"/>
                <w:sz w:val="21"/>
                <w:szCs w:val="28"/>
              </w:rPr>
              <w:t>138(3)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; </w:t>
            </w:r>
            <w:r w:rsidRPr="00DF5777">
              <w:rPr>
                <w:rFonts w:ascii="Times New Roman"/>
                <w:color w:val="000000"/>
                <w:sz w:val="21"/>
                <w:szCs w:val="28"/>
              </w:rPr>
              <w:t>263-275</w:t>
            </w:r>
          </w:p>
        </w:tc>
        <w:tc>
          <w:tcPr>
            <w:tcW w:w="850" w:type="dxa"/>
            <w:vAlign w:val="center"/>
          </w:tcPr>
          <w:p w14:paraId="003FDA96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2012-03-01</w:t>
            </w:r>
          </w:p>
        </w:tc>
        <w:tc>
          <w:tcPr>
            <w:tcW w:w="851" w:type="dxa"/>
            <w:vAlign w:val="center"/>
          </w:tcPr>
          <w:p w14:paraId="2CB15554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Li XS</w:t>
            </w:r>
          </w:p>
        </w:tc>
        <w:tc>
          <w:tcPr>
            <w:tcW w:w="850" w:type="dxa"/>
            <w:vAlign w:val="center"/>
          </w:tcPr>
          <w:p w14:paraId="2A235122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Li XS</w:t>
            </w:r>
          </w:p>
        </w:tc>
        <w:tc>
          <w:tcPr>
            <w:tcW w:w="567" w:type="dxa"/>
            <w:vAlign w:val="center"/>
          </w:tcPr>
          <w:p w14:paraId="27EC5082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李相崧</w:t>
            </w:r>
          </w:p>
        </w:tc>
        <w:tc>
          <w:tcPr>
            <w:tcW w:w="993" w:type="dxa"/>
            <w:vAlign w:val="center"/>
          </w:tcPr>
          <w:p w14:paraId="2FD945D2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783" w:type="dxa"/>
            <w:vAlign w:val="center"/>
          </w:tcPr>
          <w:p w14:paraId="3D5864C7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D55EBA">
              <w:rPr>
                <w:rFonts w:ascii="Times New Roman"/>
                <w:color w:val="000000"/>
                <w:sz w:val="21"/>
                <w:szCs w:val="28"/>
              </w:rPr>
              <w:t>国外代表性论文</w:t>
            </w:r>
          </w:p>
        </w:tc>
      </w:tr>
      <w:tr w:rsidR="00006029" w14:paraId="783366A4" w14:textId="77777777" w:rsidTr="009F0A62">
        <w:trPr>
          <w:trHeight w:hRule="exact" w:val="1286"/>
        </w:trPr>
        <w:tc>
          <w:tcPr>
            <w:tcW w:w="426" w:type="dxa"/>
            <w:vAlign w:val="center"/>
          </w:tcPr>
          <w:p w14:paraId="5615D861" w14:textId="77777777" w:rsidR="00006029" w:rsidRDefault="00006029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14:paraId="1F1AD7B6" w14:textId="1EAEA341" w:rsidR="00006029" w:rsidRDefault="009F0A62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F0A62">
              <w:rPr>
                <w:rFonts w:ascii="Times New Roman" w:hint="eastAsia"/>
                <w:color w:val="000000"/>
                <w:sz w:val="21"/>
                <w:szCs w:val="28"/>
              </w:rPr>
              <w:t>初始组构各向异性对砂土力学特性及临界状态的影响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岩土力学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吴越，杨仲轩，徐长节</w:t>
            </w:r>
          </w:p>
        </w:tc>
        <w:tc>
          <w:tcPr>
            <w:tcW w:w="992" w:type="dxa"/>
            <w:vAlign w:val="center"/>
          </w:tcPr>
          <w:p w14:paraId="63D21CC2" w14:textId="0E94959B" w:rsidR="00006029" w:rsidRDefault="009F0A62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2016; 37(9); 2569-2576</w:t>
            </w:r>
          </w:p>
        </w:tc>
        <w:tc>
          <w:tcPr>
            <w:tcW w:w="850" w:type="dxa"/>
            <w:vAlign w:val="center"/>
          </w:tcPr>
          <w:p w14:paraId="0EA62ECC" w14:textId="4DC51946" w:rsidR="00006029" w:rsidRDefault="009F0A62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2016-09-01</w:t>
            </w:r>
          </w:p>
        </w:tc>
        <w:tc>
          <w:tcPr>
            <w:tcW w:w="851" w:type="dxa"/>
            <w:vAlign w:val="center"/>
          </w:tcPr>
          <w:p w14:paraId="185E064D" w14:textId="52086CC5" w:rsidR="00006029" w:rsidRDefault="009F0A62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杨仲轩</w:t>
            </w:r>
          </w:p>
        </w:tc>
        <w:tc>
          <w:tcPr>
            <w:tcW w:w="850" w:type="dxa"/>
            <w:vAlign w:val="center"/>
          </w:tcPr>
          <w:p w14:paraId="6A2488AB" w14:textId="2841B5EF" w:rsidR="00006029" w:rsidRDefault="009F0A62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吴越</w:t>
            </w:r>
          </w:p>
        </w:tc>
        <w:tc>
          <w:tcPr>
            <w:tcW w:w="567" w:type="dxa"/>
          </w:tcPr>
          <w:p w14:paraId="169BFA04" w14:textId="4236C71C" w:rsidR="00006029" w:rsidRDefault="009F0A62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9F0A62">
              <w:rPr>
                <w:rFonts w:ascii="Times New Roman" w:hint="eastAsia"/>
                <w:color w:val="000000"/>
                <w:sz w:val="21"/>
                <w:szCs w:val="28"/>
              </w:rPr>
              <w:t>吴越，杨仲轩，徐长节</w:t>
            </w:r>
          </w:p>
        </w:tc>
        <w:tc>
          <w:tcPr>
            <w:tcW w:w="993" w:type="dxa"/>
          </w:tcPr>
          <w:p w14:paraId="78D32286" w14:textId="07E76BEF" w:rsidR="00006029" w:rsidRDefault="009F0A62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783" w:type="dxa"/>
          </w:tcPr>
          <w:p w14:paraId="56E05BED" w14:textId="6467E641" w:rsidR="00006029" w:rsidRDefault="009F0A62" w:rsidP="003D3CB1">
            <w:pPr>
              <w:pStyle w:val="a5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D55EBA">
              <w:rPr>
                <w:rFonts w:ascii="Times New Roman"/>
                <w:color w:val="000000"/>
                <w:sz w:val="21"/>
                <w:szCs w:val="28"/>
              </w:rPr>
              <w:t>国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内</w:t>
            </w:r>
            <w:r w:rsidRPr="00D55EBA">
              <w:rPr>
                <w:rFonts w:ascii="Times New Roman"/>
                <w:color w:val="000000"/>
                <w:sz w:val="21"/>
                <w:szCs w:val="28"/>
              </w:rPr>
              <w:t>代表性论文</w:t>
            </w:r>
          </w:p>
        </w:tc>
      </w:tr>
    </w:tbl>
    <w:p w14:paraId="66F58FB8" w14:textId="77777777" w:rsidR="00006029" w:rsidRDefault="00006029" w:rsidP="00006029">
      <w:pPr>
        <w:pStyle w:val="a5"/>
        <w:adjustRightInd w:val="0"/>
        <w:snapToGrid w:val="0"/>
        <w:spacing w:line="320" w:lineRule="exact"/>
        <w:ind w:firstLineChars="0" w:firstLine="0"/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>注：按重要程度排序。如有在国内期刊发表的论文或国内出版的专著，可填不超过</w:t>
      </w:r>
      <w:r>
        <w:rPr>
          <w:rFonts w:ascii="Times New Roman" w:hint="eastAsia"/>
          <w:color w:val="000000"/>
          <w:sz w:val="21"/>
          <w:szCs w:val="21"/>
        </w:rPr>
        <w:t>6</w:t>
      </w:r>
      <w:r>
        <w:rPr>
          <w:rFonts w:ascii="Times New Roman" w:hint="eastAsia"/>
          <w:color w:val="000000"/>
          <w:sz w:val="21"/>
          <w:szCs w:val="21"/>
        </w:rPr>
        <w:t>篇。</w:t>
      </w:r>
    </w:p>
    <w:p w14:paraId="759786A4" w14:textId="77777777" w:rsidR="00006029" w:rsidRDefault="00006029" w:rsidP="00006029">
      <w:pPr>
        <w:pStyle w:val="a5"/>
        <w:adjustRightInd w:val="0"/>
        <w:snapToGrid w:val="0"/>
        <w:spacing w:line="320" w:lineRule="exact"/>
        <w:ind w:firstLineChars="0" w:firstLine="0"/>
        <w:rPr>
          <w:rFonts w:ascii="Times New Roman"/>
          <w:b/>
          <w:bCs/>
          <w:color w:val="000000"/>
          <w:szCs w:val="28"/>
        </w:rPr>
      </w:pPr>
    </w:p>
    <w:p w14:paraId="51154AFF" w14:textId="77777777" w:rsidR="00006029" w:rsidRDefault="00006029" w:rsidP="00006029">
      <w:pPr>
        <w:pStyle w:val="a5"/>
        <w:adjustRightInd w:val="0"/>
        <w:snapToGrid w:val="0"/>
        <w:spacing w:line="320" w:lineRule="exact"/>
        <w:ind w:firstLineChars="0" w:firstLine="0"/>
        <w:rPr>
          <w:rFonts w:ascii="Times New Roman"/>
          <w:b/>
          <w:bCs/>
          <w:color w:val="000000"/>
          <w:szCs w:val="28"/>
        </w:rPr>
      </w:pPr>
      <w:r>
        <w:rPr>
          <w:rFonts w:ascii="Times New Roman"/>
          <w:b/>
          <w:bCs/>
          <w:color w:val="000000"/>
          <w:szCs w:val="28"/>
        </w:rPr>
        <w:t>补充说明（视情填写）：</w:t>
      </w:r>
    </w:p>
    <w:p w14:paraId="38EAF792" w14:textId="77777777" w:rsidR="00006029" w:rsidRDefault="00006029" w:rsidP="00006029">
      <w:pPr>
        <w:pStyle w:val="a5"/>
        <w:adjustRightInd w:val="0"/>
        <w:snapToGrid w:val="0"/>
        <w:spacing w:line="320" w:lineRule="exact"/>
        <w:ind w:firstLineChars="0" w:firstLine="0"/>
        <w:rPr>
          <w:rFonts w:ascii="Times New Roman"/>
          <w:b/>
          <w:bCs/>
          <w:color w:val="000000"/>
          <w:szCs w:val="28"/>
        </w:rPr>
      </w:pPr>
      <w:r>
        <w:rPr>
          <w:rFonts w:ascii="Times New Roman" w:hint="eastAsia"/>
          <w:b/>
          <w:bCs/>
          <w:color w:val="000000"/>
          <w:szCs w:val="28"/>
        </w:rPr>
        <w:t>代表性论文</w:t>
      </w:r>
      <w:r>
        <w:rPr>
          <w:rFonts w:ascii="Times New Roman" w:hint="eastAsia"/>
          <w:b/>
          <w:bCs/>
          <w:color w:val="000000"/>
          <w:szCs w:val="28"/>
        </w:rPr>
        <w:t>1</w:t>
      </w:r>
      <w:r>
        <w:rPr>
          <w:rFonts w:ascii="Times New Roman" w:hint="eastAsia"/>
          <w:b/>
          <w:bCs/>
          <w:color w:val="000000"/>
          <w:szCs w:val="28"/>
        </w:rPr>
        <w:t>、</w:t>
      </w:r>
      <w:r>
        <w:rPr>
          <w:rFonts w:ascii="Times New Roman" w:hint="eastAsia"/>
          <w:b/>
          <w:bCs/>
          <w:color w:val="000000"/>
          <w:szCs w:val="28"/>
        </w:rPr>
        <w:t>2</w:t>
      </w:r>
      <w:r>
        <w:rPr>
          <w:rFonts w:ascii="Times New Roman" w:hint="eastAsia"/>
          <w:b/>
          <w:bCs/>
          <w:color w:val="000000"/>
          <w:szCs w:val="28"/>
        </w:rPr>
        <w:t>、</w:t>
      </w:r>
      <w:r>
        <w:rPr>
          <w:rFonts w:ascii="Times New Roman" w:hint="eastAsia"/>
          <w:b/>
          <w:bCs/>
          <w:color w:val="000000"/>
          <w:szCs w:val="28"/>
        </w:rPr>
        <w:t>3</w:t>
      </w:r>
      <w:r>
        <w:rPr>
          <w:rFonts w:ascii="Times New Roman" w:hint="eastAsia"/>
          <w:b/>
          <w:bCs/>
          <w:color w:val="000000"/>
          <w:szCs w:val="28"/>
        </w:rPr>
        <w:t>发表时，期刊《</w:t>
      </w:r>
      <w:proofErr w:type="spellStart"/>
      <w:r w:rsidRPr="008A571C">
        <w:rPr>
          <w:rFonts w:ascii="Times New Roman" w:hint="eastAsia"/>
          <w:b/>
          <w:bCs/>
          <w:color w:val="000000"/>
          <w:szCs w:val="28"/>
        </w:rPr>
        <w:t>G</w:t>
      </w:r>
      <w:r w:rsidRPr="008A571C">
        <w:rPr>
          <w:rFonts w:ascii="Times New Roman"/>
          <w:b/>
          <w:bCs/>
          <w:color w:val="000000"/>
          <w:szCs w:val="28"/>
        </w:rPr>
        <w:t>é</w:t>
      </w:r>
      <w:r w:rsidRPr="008A571C">
        <w:rPr>
          <w:rFonts w:ascii="Times New Roman" w:hint="eastAsia"/>
          <w:b/>
          <w:bCs/>
          <w:color w:val="000000"/>
          <w:szCs w:val="28"/>
        </w:rPr>
        <w:t>otechnique</w:t>
      </w:r>
      <w:proofErr w:type="spellEnd"/>
      <w:r>
        <w:rPr>
          <w:rFonts w:ascii="Times New Roman" w:hint="eastAsia"/>
          <w:b/>
          <w:bCs/>
          <w:color w:val="000000"/>
          <w:szCs w:val="28"/>
        </w:rPr>
        <w:t>》不标注通讯作者。</w:t>
      </w:r>
    </w:p>
    <w:p w14:paraId="5864B432" w14:textId="77777777" w:rsidR="007B1DDF" w:rsidRPr="00006029" w:rsidRDefault="007B1DDF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8397928" w14:textId="77777777" w:rsidR="007B1DDF" w:rsidRDefault="00B86FD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13A52BDF" w14:textId="200DBB82" w:rsidR="007B1DDF" w:rsidRDefault="00012C32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杨仲轩</w:t>
      </w:r>
      <w:r>
        <w:rPr>
          <w:rFonts w:ascii="黑体" w:eastAsia="黑体" w:hAnsi="黑体" w:cs="黑体" w:hint="eastAsia"/>
          <w:sz w:val="32"/>
          <w:szCs w:val="32"/>
        </w:rPr>
        <w:t>（浙江大学）</w:t>
      </w:r>
    </w:p>
    <w:p w14:paraId="49DF317C" w14:textId="5CB7F338" w:rsidR="00012C32" w:rsidRPr="00012C32" w:rsidRDefault="00012C32" w:rsidP="00012C32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012C32">
        <w:rPr>
          <w:rFonts w:ascii="黑体" w:eastAsia="黑体" w:hAnsi="黑体" w:cs="黑体" w:hint="eastAsia"/>
          <w:sz w:val="32"/>
          <w:szCs w:val="32"/>
        </w:rPr>
        <w:t>李相崧（香港科技大学）</w:t>
      </w:r>
    </w:p>
    <w:p w14:paraId="60B470C1" w14:textId="4C7C14B2" w:rsidR="007B1DDF" w:rsidRPr="00012C32" w:rsidRDefault="00012C32" w:rsidP="00012C32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012C32">
        <w:rPr>
          <w:rFonts w:ascii="黑体" w:eastAsia="黑体" w:hAnsi="黑体" w:cs="黑体" w:hint="eastAsia"/>
          <w:sz w:val="32"/>
          <w:szCs w:val="32"/>
        </w:rPr>
        <w:t>杨峻（香港大学）</w:t>
      </w:r>
    </w:p>
    <w:sectPr w:rsidR="007B1DDF" w:rsidRPr="00012C3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EA49B" w14:textId="77777777" w:rsidR="0028491F" w:rsidRDefault="0028491F">
      <w:r>
        <w:separator/>
      </w:r>
    </w:p>
  </w:endnote>
  <w:endnote w:type="continuationSeparator" w:id="0">
    <w:p w14:paraId="290A1752" w14:textId="77777777" w:rsidR="0028491F" w:rsidRDefault="0028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0FDAA" w14:textId="77777777" w:rsidR="007B1DDF" w:rsidRDefault="00B86FD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D032B4" w14:textId="77777777" w:rsidR="007B1DDF" w:rsidRDefault="007B1D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97C6F" w14:textId="0D3F8E83" w:rsidR="007B1DDF" w:rsidRDefault="007B1DDF">
    <w:pPr>
      <w:pStyle w:val="a7"/>
      <w:framePr w:wrap="around" w:vAnchor="text" w:hAnchor="margin" w:xAlign="center" w:y="1"/>
      <w:rPr>
        <w:rStyle w:val="ab"/>
      </w:rPr>
    </w:pPr>
  </w:p>
  <w:p w14:paraId="405797D3" w14:textId="77777777" w:rsidR="007B1DDF" w:rsidRDefault="007B1D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EF81D" w14:textId="77777777" w:rsidR="0028491F" w:rsidRDefault="0028491F">
      <w:r>
        <w:separator/>
      </w:r>
    </w:p>
  </w:footnote>
  <w:footnote w:type="continuationSeparator" w:id="0">
    <w:p w14:paraId="4BE5EE67" w14:textId="77777777" w:rsidR="0028491F" w:rsidRDefault="0028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41"/>
    <w:rsid w:val="00003577"/>
    <w:rsid w:val="00006029"/>
    <w:rsid w:val="00006B56"/>
    <w:rsid w:val="00010406"/>
    <w:rsid w:val="00012C32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8491F"/>
    <w:rsid w:val="00291928"/>
    <w:rsid w:val="002C1A30"/>
    <w:rsid w:val="002C71EA"/>
    <w:rsid w:val="002E018F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93FA4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6756C"/>
    <w:rsid w:val="00671E7E"/>
    <w:rsid w:val="006751F7"/>
    <w:rsid w:val="006822AE"/>
    <w:rsid w:val="0068331B"/>
    <w:rsid w:val="00687B01"/>
    <w:rsid w:val="006901F6"/>
    <w:rsid w:val="006A1A02"/>
    <w:rsid w:val="006C62FC"/>
    <w:rsid w:val="006D7583"/>
    <w:rsid w:val="00702E11"/>
    <w:rsid w:val="007122C2"/>
    <w:rsid w:val="007155F1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15C4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9F0A62"/>
    <w:rsid w:val="00A05545"/>
    <w:rsid w:val="00A11023"/>
    <w:rsid w:val="00A136A9"/>
    <w:rsid w:val="00A2588F"/>
    <w:rsid w:val="00A2607C"/>
    <w:rsid w:val="00A263FD"/>
    <w:rsid w:val="00A27BDC"/>
    <w:rsid w:val="00A35798"/>
    <w:rsid w:val="00A43C64"/>
    <w:rsid w:val="00A767D7"/>
    <w:rsid w:val="00A827CE"/>
    <w:rsid w:val="00A91E01"/>
    <w:rsid w:val="00A97364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05A7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F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Char"/>
    <w:uiPriority w:val="99"/>
    <w:unhideWhenUsed/>
    <w:pPr>
      <w:jc w:val="left"/>
    </w:pPr>
  </w:style>
  <w:style w:type="paragraph" w:styleId="a5">
    <w:name w:val="Plain Text"/>
    <w:basedOn w:val="a"/>
    <w:link w:val="Char0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unhideWhenUsed/>
    <w:qFormat/>
    <w:rPr>
      <w:b/>
      <w:bCs/>
    </w:rPr>
  </w:style>
  <w:style w:type="table" w:styleId="aa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批注文字 Char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纯文本 Char"/>
    <w:link w:val="a5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批注框文本 Char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7"/>
    <w:uiPriority w:val="99"/>
    <w:qFormat/>
    <w:rPr>
      <w:sz w:val="18"/>
      <w:szCs w:val="18"/>
    </w:rPr>
  </w:style>
  <w:style w:type="character" w:customStyle="1" w:styleId="Char3">
    <w:name w:val="页眉 Char"/>
    <w:link w:val="a8"/>
    <w:uiPriority w:val="99"/>
    <w:qFormat/>
    <w:rPr>
      <w:sz w:val="18"/>
      <w:szCs w:val="18"/>
    </w:rPr>
  </w:style>
  <w:style w:type="character" w:customStyle="1" w:styleId="Char4">
    <w:name w:val="批注主题 Char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d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qFormat/>
    <w:pPr>
      <w:spacing w:after="120"/>
    </w:pPr>
  </w:style>
  <w:style w:type="paragraph" w:styleId="a4">
    <w:name w:val="annotation text"/>
    <w:basedOn w:val="a"/>
    <w:link w:val="Char"/>
    <w:uiPriority w:val="99"/>
    <w:unhideWhenUsed/>
    <w:pPr>
      <w:jc w:val="left"/>
    </w:pPr>
  </w:style>
  <w:style w:type="paragraph" w:styleId="a5">
    <w:name w:val="Plain Text"/>
    <w:basedOn w:val="a"/>
    <w:link w:val="Char0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unhideWhenUsed/>
    <w:qFormat/>
    <w:rPr>
      <w:b/>
      <w:bCs/>
    </w:rPr>
  </w:style>
  <w:style w:type="table" w:styleId="aa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批注文字 Char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纯文本 Char"/>
    <w:link w:val="a5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批注框文本 Char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7"/>
    <w:uiPriority w:val="99"/>
    <w:qFormat/>
    <w:rPr>
      <w:sz w:val="18"/>
      <w:szCs w:val="18"/>
    </w:rPr>
  </w:style>
  <w:style w:type="character" w:customStyle="1" w:styleId="Char3">
    <w:name w:val="页眉 Char"/>
    <w:link w:val="a8"/>
    <w:uiPriority w:val="99"/>
    <w:qFormat/>
    <w:rPr>
      <w:sz w:val="18"/>
      <w:szCs w:val="18"/>
    </w:rPr>
  </w:style>
  <w:style w:type="character" w:customStyle="1" w:styleId="Char4">
    <w:name w:val="批注主题 Char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d">
    <w:name w:val="纯文本 字符"/>
    <w:uiPriority w:val="99"/>
    <w:semiHidden/>
    <w:qFormat/>
    <w:rPr>
      <w:rFonts w:ascii="等线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4899-BB26-4FC2-82FA-031B44E4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pk2018</cp:lastModifiedBy>
  <cp:revision>12</cp:revision>
  <dcterms:created xsi:type="dcterms:W3CDTF">2025-05-25T05:41:00Z</dcterms:created>
  <dcterms:modified xsi:type="dcterms:W3CDTF">2025-06-22T06:09:00Z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2052-12.1.0.20784</vt:lpwstr>
  </property>
  <property fmtid="{D5CDD505-2E9C-101B-9397-08002B2CF9AE}" pid="4" name="ICV">
    <vt:lpwstr>3DBC2E8562B046758534E1968222248B_13</vt:lpwstr>
  </property>
</Properties>
</file>