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楷体_GB2312"/>
          <w:sz w:val="28"/>
        </w:rPr>
      </w:pPr>
    </w:p>
    <w:p>
      <w:pPr>
        <w:jc w:val="center"/>
        <w:rPr>
          <w:rFonts w:eastAsia="楷体_GB2312"/>
          <w:sz w:val="28"/>
        </w:rPr>
      </w:pPr>
      <w:r>
        <w:rPr>
          <w:rFonts w:eastAsia="黑体"/>
          <w:b/>
          <w:sz w:val="44"/>
        </w:rPr>
        <w:t>教育部工程研究中心年度报告</w:t>
      </w:r>
    </w:p>
    <w:p>
      <w:pPr>
        <w:jc w:val="center"/>
        <w:rPr>
          <w:rFonts w:eastAsia="楷体_GB2312"/>
          <w:sz w:val="28"/>
        </w:rPr>
      </w:pPr>
      <w:r>
        <w:rPr>
          <w:rFonts w:eastAsia="楷体_GB2312"/>
          <w:sz w:val="28"/>
        </w:rPr>
        <w:t>（20</w:t>
      </w:r>
      <w:r>
        <w:rPr>
          <w:rFonts w:hint="eastAsia" w:eastAsia="楷体_GB2312"/>
          <w:sz w:val="28"/>
        </w:rPr>
        <w:t>20</w:t>
      </w:r>
      <w:r>
        <w:rPr>
          <w:rFonts w:eastAsia="楷体_GB2312"/>
          <w:sz w:val="28"/>
        </w:rPr>
        <w:t>年1月——20</w:t>
      </w:r>
      <w:r>
        <w:rPr>
          <w:rFonts w:hint="eastAsia" w:eastAsia="楷体_GB2312"/>
          <w:sz w:val="28"/>
        </w:rPr>
        <w:t>20</w:t>
      </w:r>
      <w:r>
        <w:rPr>
          <w:rFonts w:eastAsia="楷体_GB2312"/>
          <w:sz w:val="28"/>
        </w:rPr>
        <w:t>年12月）</w:t>
      </w:r>
    </w:p>
    <w:p>
      <w:pPr>
        <w:rPr>
          <w:rFonts w:eastAsia="楷体_GB2312"/>
          <w:sz w:val="28"/>
        </w:rPr>
      </w:pPr>
    </w:p>
    <w:tbl>
      <w:tblPr>
        <w:tblStyle w:val="8"/>
        <w:tblW w:w="9187" w:type="dxa"/>
        <w:tblInd w:w="-336" w:type="dxa"/>
        <w:tblLayout w:type="fixed"/>
        <w:tblCellMar>
          <w:top w:w="0" w:type="dxa"/>
          <w:left w:w="0" w:type="dxa"/>
          <w:bottom w:w="0" w:type="dxa"/>
          <w:right w:w="0" w:type="dxa"/>
        </w:tblCellMar>
      </w:tblPr>
      <w:tblGrid>
        <w:gridCol w:w="4414"/>
        <w:gridCol w:w="4773"/>
      </w:tblGrid>
      <w:tr>
        <w:tblPrEx>
          <w:tblCellMar>
            <w:top w:w="0" w:type="dxa"/>
            <w:left w:w="0" w:type="dxa"/>
            <w:bottom w:w="0" w:type="dxa"/>
            <w:right w:w="0" w:type="dxa"/>
          </w:tblCellMar>
        </w:tblPrEx>
        <w:trPr>
          <w:trHeight w:val="408" w:hRule="atLeast"/>
        </w:trPr>
        <w:tc>
          <w:tcPr>
            <w:tcW w:w="4414" w:type="dxa"/>
            <w:tcBorders>
              <w:top w:val="nil"/>
              <w:left w:val="nil"/>
              <w:bottom w:val="nil"/>
              <w:right w:val="nil"/>
            </w:tcBorders>
            <w:shd w:val="clear" w:color="auto" w:fill="auto"/>
            <w:noWrap/>
            <w:tcMar>
              <w:top w:w="12" w:type="dxa"/>
              <w:left w:w="12" w:type="dxa"/>
              <w:right w:w="12" w:type="dxa"/>
            </w:tcMar>
            <w:vAlign w:val="center"/>
          </w:tcPr>
          <w:p>
            <w:pPr>
              <w:widowControl/>
              <w:jc w:val="right"/>
              <w:textAlignment w:val="center"/>
              <w:rPr>
                <w:rFonts w:eastAsia="楷体"/>
                <w:b/>
                <w:color w:val="000000"/>
                <w:sz w:val="32"/>
                <w:szCs w:val="32"/>
              </w:rPr>
            </w:pPr>
            <w:r>
              <w:rPr>
                <w:rFonts w:eastAsia="楷体"/>
                <w:b/>
                <w:color w:val="000000"/>
                <w:kern w:val="0"/>
                <w:sz w:val="32"/>
                <w:szCs w:val="32"/>
                <w:lang w:bidi="ar"/>
              </w:rPr>
              <w:t>工程中心名称：</w:t>
            </w:r>
          </w:p>
        </w:tc>
        <w:tc>
          <w:tcPr>
            <w:tcW w:w="4773" w:type="dxa"/>
            <w:tcBorders>
              <w:top w:val="nil"/>
              <w:left w:val="nil"/>
              <w:bottom w:val="nil"/>
              <w:right w:val="nil"/>
            </w:tcBorders>
            <w:shd w:val="clear" w:color="auto" w:fill="auto"/>
            <w:noWrap/>
            <w:tcMar>
              <w:top w:w="12" w:type="dxa"/>
              <w:left w:w="12" w:type="dxa"/>
              <w:right w:w="12" w:type="dxa"/>
            </w:tcMar>
            <w:vAlign w:val="center"/>
          </w:tcPr>
          <w:p>
            <w:pPr>
              <w:jc w:val="center"/>
              <w:rPr>
                <w:color w:val="000000"/>
                <w:sz w:val="24"/>
                <w:szCs w:val="22"/>
              </w:rPr>
            </w:pPr>
            <w:r>
              <w:rPr>
                <w:rFonts w:hint="eastAsia" w:ascii="楷体" w:hAnsi="楷体" w:eastAsia="楷体"/>
                <w:sz w:val="28"/>
              </w:rPr>
              <w:t>表面与结构改性无机功能材料教育部工程研究中心</w:t>
            </w:r>
          </w:p>
        </w:tc>
      </w:tr>
      <w:tr>
        <w:tblPrEx>
          <w:tblCellMar>
            <w:top w:w="0" w:type="dxa"/>
            <w:left w:w="0" w:type="dxa"/>
            <w:bottom w:w="0" w:type="dxa"/>
            <w:right w:w="0" w:type="dxa"/>
          </w:tblCellMar>
        </w:tblPrEx>
        <w:trPr>
          <w:trHeight w:val="408" w:hRule="atLeast"/>
        </w:trPr>
        <w:tc>
          <w:tcPr>
            <w:tcW w:w="4414" w:type="dxa"/>
            <w:tcBorders>
              <w:top w:val="nil"/>
              <w:left w:val="nil"/>
              <w:bottom w:val="nil"/>
              <w:right w:val="nil"/>
            </w:tcBorders>
            <w:shd w:val="clear" w:color="auto" w:fill="auto"/>
            <w:noWrap/>
            <w:tcMar>
              <w:top w:w="12" w:type="dxa"/>
              <w:left w:w="12" w:type="dxa"/>
              <w:right w:w="12" w:type="dxa"/>
            </w:tcMar>
            <w:vAlign w:val="center"/>
          </w:tcPr>
          <w:p>
            <w:pPr>
              <w:widowControl/>
              <w:jc w:val="right"/>
              <w:textAlignment w:val="center"/>
              <w:rPr>
                <w:rFonts w:eastAsia="楷体"/>
                <w:b/>
                <w:color w:val="000000"/>
                <w:sz w:val="32"/>
                <w:szCs w:val="32"/>
              </w:rPr>
            </w:pPr>
            <w:r>
              <w:rPr>
                <w:rFonts w:eastAsia="楷体"/>
                <w:b/>
                <w:color w:val="000000"/>
                <w:kern w:val="0"/>
                <w:sz w:val="32"/>
                <w:szCs w:val="32"/>
                <w:lang w:bidi="ar"/>
              </w:rPr>
              <w:t>所属技术领域：</w:t>
            </w:r>
          </w:p>
        </w:tc>
        <w:tc>
          <w:tcPr>
            <w:tcW w:w="4773" w:type="dxa"/>
            <w:tcBorders>
              <w:top w:val="nil"/>
              <w:left w:val="nil"/>
              <w:bottom w:val="nil"/>
              <w:right w:val="nil"/>
            </w:tcBorders>
            <w:shd w:val="clear" w:color="auto" w:fill="auto"/>
            <w:noWrap/>
            <w:tcMar>
              <w:top w:w="12" w:type="dxa"/>
              <w:left w:w="12" w:type="dxa"/>
              <w:right w:w="12" w:type="dxa"/>
            </w:tcMar>
            <w:vAlign w:val="center"/>
          </w:tcPr>
          <w:p>
            <w:pPr>
              <w:rPr>
                <w:rFonts w:ascii="楷体" w:hAnsi="楷体" w:eastAsia="楷体"/>
                <w:color w:val="000000"/>
                <w:sz w:val="24"/>
                <w:szCs w:val="22"/>
              </w:rPr>
            </w:pPr>
            <w:r>
              <w:rPr>
                <w:rFonts w:hint="eastAsia" w:ascii="楷体" w:hAnsi="楷体" w:eastAsia="楷体"/>
                <w:color w:val="000000"/>
                <w:sz w:val="28"/>
                <w:szCs w:val="22"/>
              </w:rPr>
              <w:t>化工、冶金与材料工程</w:t>
            </w:r>
          </w:p>
        </w:tc>
      </w:tr>
      <w:tr>
        <w:tblPrEx>
          <w:tblCellMar>
            <w:top w:w="0" w:type="dxa"/>
            <w:left w:w="0" w:type="dxa"/>
            <w:bottom w:w="0" w:type="dxa"/>
            <w:right w:w="0" w:type="dxa"/>
          </w:tblCellMar>
        </w:tblPrEx>
        <w:trPr>
          <w:trHeight w:val="408" w:hRule="atLeast"/>
        </w:trPr>
        <w:tc>
          <w:tcPr>
            <w:tcW w:w="4414" w:type="dxa"/>
            <w:tcBorders>
              <w:top w:val="nil"/>
              <w:left w:val="nil"/>
              <w:bottom w:val="nil"/>
              <w:right w:val="nil"/>
            </w:tcBorders>
            <w:shd w:val="clear" w:color="auto" w:fill="auto"/>
            <w:noWrap/>
            <w:tcMar>
              <w:top w:w="12" w:type="dxa"/>
              <w:left w:w="12" w:type="dxa"/>
              <w:right w:w="12" w:type="dxa"/>
            </w:tcMar>
            <w:vAlign w:val="center"/>
          </w:tcPr>
          <w:p>
            <w:pPr>
              <w:widowControl/>
              <w:jc w:val="right"/>
              <w:textAlignment w:val="center"/>
              <w:rPr>
                <w:rFonts w:eastAsia="楷体"/>
                <w:b/>
                <w:color w:val="000000"/>
                <w:sz w:val="32"/>
                <w:szCs w:val="32"/>
              </w:rPr>
            </w:pPr>
            <w:r>
              <w:rPr>
                <w:rFonts w:eastAsia="楷体"/>
                <w:b/>
                <w:color w:val="000000"/>
                <w:kern w:val="0"/>
                <w:sz w:val="32"/>
                <w:szCs w:val="32"/>
                <w:lang w:bidi="ar"/>
              </w:rPr>
              <w:t>工程中心主任：</w:t>
            </w:r>
          </w:p>
        </w:tc>
        <w:tc>
          <w:tcPr>
            <w:tcW w:w="4773" w:type="dxa"/>
            <w:tcBorders>
              <w:top w:val="nil"/>
              <w:left w:val="nil"/>
              <w:bottom w:val="nil"/>
              <w:right w:val="nil"/>
            </w:tcBorders>
            <w:shd w:val="clear" w:color="auto" w:fill="auto"/>
            <w:noWrap/>
            <w:tcMar>
              <w:top w:w="12" w:type="dxa"/>
              <w:left w:w="12" w:type="dxa"/>
              <w:right w:w="12" w:type="dxa"/>
            </w:tcMar>
            <w:vAlign w:val="center"/>
          </w:tcPr>
          <w:p>
            <w:pPr>
              <w:rPr>
                <w:rFonts w:ascii="楷体" w:hAnsi="楷体" w:eastAsia="楷体"/>
                <w:color w:val="000000"/>
                <w:sz w:val="24"/>
                <w:szCs w:val="22"/>
              </w:rPr>
            </w:pPr>
            <w:r>
              <w:rPr>
                <w:rFonts w:hint="eastAsia" w:ascii="楷体" w:hAnsi="楷体" w:eastAsia="楷体"/>
                <w:color w:val="000000"/>
                <w:sz w:val="28"/>
                <w:szCs w:val="22"/>
              </w:rPr>
              <w:t>韩高荣</w:t>
            </w:r>
          </w:p>
        </w:tc>
      </w:tr>
      <w:tr>
        <w:tblPrEx>
          <w:tblCellMar>
            <w:top w:w="0" w:type="dxa"/>
            <w:left w:w="0" w:type="dxa"/>
            <w:bottom w:w="0" w:type="dxa"/>
            <w:right w:w="0" w:type="dxa"/>
          </w:tblCellMar>
        </w:tblPrEx>
        <w:trPr>
          <w:trHeight w:val="408" w:hRule="atLeast"/>
        </w:trPr>
        <w:tc>
          <w:tcPr>
            <w:tcW w:w="4414" w:type="dxa"/>
            <w:tcBorders>
              <w:top w:val="nil"/>
              <w:left w:val="nil"/>
              <w:bottom w:val="nil"/>
              <w:right w:val="nil"/>
            </w:tcBorders>
            <w:shd w:val="clear" w:color="auto" w:fill="auto"/>
            <w:noWrap/>
            <w:tcMar>
              <w:top w:w="12" w:type="dxa"/>
              <w:left w:w="12" w:type="dxa"/>
              <w:right w:w="12" w:type="dxa"/>
            </w:tcMar>
            <w:vAlign w:val="center"/>
          </w:tcPr>
          <w:p>
            <w:pPr>
              <w:widowControl/>
              <w:jc w:val="right"/>
              <w:textAlignment w:val="center"/>
              <w:rPr>
                <w:rFonts w:eastAsia="楷体"/>
                <w:b/>
                <w:color w:val="000000"/>
                <w:sz w:val="32"/>
                <w:szCs w:val="32"/>
              </w:rPr>
            </w:pPr>
            <w:r>
              <w:rPr>
                <w:rFonts w:eastAsia="楷体"/>
                <w:b/>
                <w:color w:val="000000"/>
                <w:kern w:val="0"/>
                <w:sz w:val="32"/>
                <w:szCs w:val="32"/>
                <w:lang w:bidi="ar"/>
              </w:rPr>
              <w:t>工程中心联系人/联系电话：</w:t>
            </w:r>
          </w:p>
        </w:tc>
        <w:tc>
          <w:tcPr>
            <w:tcW w:w="4773" w:type="dxa"/>
            <w:tcBorders>
              <w:top w:val="nil"/>
              <w:left w:val="nil"/>
              <w:bottom w:val="nil"/>
              <w:right w:val="nil"/>
            </w:tcBorders>
            <w:shd w:val="clear" w:color="auto" w:fill="auto"/>
            <w:noWrap/>
            <w:tcMar>
              <w:top w:w="12" w:type="dxa"/>
              <w:left w:w="12" w:type="dxa"/>
              <w:right w:w="12" w:type="dxa"/>
            </w:tcMar>
            <w:vAlign w:val="center"/>
          </w:tcPr>
          <w:p>
            <w:pPr>
              <w:rPr>
                <w:color w:val="000000"/>
                <w:sz w:val="28"/>
                <w:szCs w:val="22"/>
              </w:rPr>
            </w:pPr>
            <w:r>
              <w:rPr>
                <w:rFonts w:hint="eastAsia"/>
                <w:color w:val="000000"/>
                <w:sz w:val="28"/>
                <w:szCs w:val="22"/>
              </w:rPr>
              <w:t>0571-87953287</w:t>
            </w:r>
          </w:p>
        </w:tc>
      </w:tr>
      <w:tr>
        <w:tblPrEx>
          <w:tblCellMar>
            <w:top w:w="0" w:type="dxa"/>
            <w:left w:w="0" w:type="dxa"/>
            <w:bottom w:w="0" w:type="dxa"/>
            <w:right w:w="0" w:type="dxa"/>
          </w:tblCellMar>
        </w:tblPrEx>
        <w:trPr>
          <w:trHeight w:val="408" w:hRule="atLeast"/>
        </w:trPr>
        <w:tc>
          <w:tcPr>
            <w:tcW w:w="4414" w:type="dxa"/>
            <w:tcBorders>
              <w:top w:val="nil"/>
              <w:left w:val="nil"/>
              <w:bottom w:val="nil"/>
              <w:right w:val="nil"/>
            </w:tcBorders>
            <w:shd w:val="clear" w:color="auto" w:fill="auto"/>
            <w:noWrap/>
            <w:tcMar>
              <w:top w:w="12" w:type="dxa"/>
              <w:left w:w="12" w:type="dxa"/>
              <w:right w:w="12" w:type="dxa"/>
            </w:tcMar>
            <w:vAlign w:val="center"/>
          </w:tcPr>
          <w:p>
            <w:pPr>
              <w:widowControl/>
              <w:jc w:val="right"/>
              <w:textAlignment w:val="center"/>
              <w:rPr>
                <w:rFonts w:eastAsia="楷体"/>
                <w:b/>
                <w:color w:val="000000"/>
                <w:sz w:val="32"/>
                <w:szCs w:val="32"/>
              </w:rPr>
            </w:pPr>
            <w:r>
              <w:rPr>
                <w:rFonts w:eastAsia="楷体"/>
                <w:b/>
                <w:color w:val="000000"/>
                <w:kern w:val="0"/>
                <w:sz w:val="32"/>
                <w:szCs w:val="32"/>
                <w:lang w:bidi="ar"/>
              </w:rPr>
              <w:t>依托单位名称：</w:t>
            </w:r>
          </w:p>
        </w:tc>
        <w:tc>
          <w:tcPr>
            <w:tcW w:w="4773" w:type="dxa"/>
            <w:tcBorders>
              <w:top w:val="nil"/>
              <w:left w:val="nil"/>
              <w:bottom w:val="nil"/>
              <w:right w:val="nil"/>
            </w:tcBorders>
            <w:shd w:val="clear" w:color="auto" w:fill="auto"/>
            <w:noWrap/>
            <w:tcMar>
              <w:top w:w="12" w:type="dxa"/>
              <w:left w:w="12" w:type="dxa"/>
              <w:right w:w="12" w:type="dxa"/>
            </w:tcMar>
            <w:vAlign w:val="center"/>
          </w:tcPr>
          <w:p>
            <w:pPr>
              <w:rPr>
                <w:rFonts w:ascii="楷体" w:hAnsi="楷体" w:eastAsia="楷体"/>
                <w:color w:val="000000"/>
                <w:sz w:val="22"/>
                <w:szCs w:val="22"/>
              </w:rPr>
            </w:pPr>
            <w:r>
              <w:rPr>
                <w:rFonts w:hint="eastAsia" w:ascii="楷体" w:hAnsi="楷体" w:eastAsia="楷体"/>
                <w:color w:val="000000"/>
                <w:sz w:val="28"/>
                <w:szCs w:val="22"/>
              </w:rPr>
              <w:t>浙江大学</w:t>
            </w:r>
          </w:p>
        </w:tc>
      </w:tr>
    </w:tbl>
    <w:p>
      <w:pPr>
        <w:rPr>
          <w:rFonts w:eastAsia="楷体_GB2312"/>
          <w:b/>
          <w:sz w:val="28"/>
        </w:rPr>
      </w:pPr>
    </w:p>
    <w:p>
      <w:pPr>
        <w:rPr>
          <w:rFonts w:eastAsia="楷体_GB2312"/>
          <w:sz w:val="28"/>
        </w:rPr>
      </w:pPr>
    </w:p>
    <w:p>
      <w:pPr>
        <w:jc w:val="center"/>
        <w:rPr>
          <w:rFonts w:eastAsia="楷体_GB2312"/>
          <w:sz w:val="28"/>
        </w:rPr>
      </w:pPr>
    </w:p>
    <w:p>
      <w:pPr>
        <w:jc w:val="center"/>
        <w:rPr>
          <w:rFonts w:eastAsia="楷体_GB2312"/>
          <w:sz w:val="28"/>
        </w:rPr>
      </w:pPr>
    </w:p>
    <w:p>
      <w:pPr>
        <w:jc w:val="center"/>
        <w:rPr>
          <w:rFonts w:eastAsia="楷体_GB2312"/>
          <w:sz w:val="28"/>
        </w:rPr>
      </w:pPr>
    </w:p>
    <w:p>
      <w:pPr>
        <w:jc w:val="center"/>
        <w:rPr>
          <w:rFonts w:eastAsia="楷体_GB2312"/>
          <w:b/>
          <w:sz w:val="24"/>
        </w:rPr>
      </w:pPr>
      <w:r>
        <w:rPr>
          <w:rFonts w:hint="eastAsia" w:eastAsia="楷体_GB2312"/>
          <w:sz w:val="28"/>
        </w:rPr>
        <w:t>2021</w:t>
      </w:r>
      <w:r>
        <w:rPr>
          <w:rFonts w:eastAsia="楷体_GB2312"/>
          <w:sz w:val="28"/>
        </w:rPr>
        <w:t xml:space="preserve">年 </w:t>
      </w:r>
      <w:r>
        <w:rPr>
          <w:rFonts w:hint="eastAsia" w:eastAsia="楷体_GB2312"/>
          <w:sz w:val="28"/>
        </w:rPr>
        <w:t>2</w:t>
      </w:r>
      <w:r>
        <w:rPr>
          <w:rFonts w:eastAsia="楷体_GB2312"/>
          <w:sz w:val="28"/>
        </w:rPr>
        <w:t xml:space="preserve"> 月 </w:t>
      </w:r>
      <w:r>
        <w:rPr>
          <w:rFonts w:hint="eastAsia" w:eastAsia="楷体_GB2312"/>
          <w:sz w:val="28"/>
        </w:rPr>
        <w:t>28</w:t>
      </w:r>
      <w:r>
        <w:rPr>
          <w:rFonts w:eastAsia="楷体_GB2312"/>
          <w:sz w:val="28"/>
        </w:rPr>
        <w:t xml:space="preserve"> 日填报</w:t>
      </w:r>
    </w:p>
    <w:p>
      <w:pPr>
        <w:jc w:val="center"/>
        <w:rPr>
          <w:rFonts w:ascii="方正小标宋简体" w:hAnsi="方正小标宋简体" w:eastAsia="方正小标宋简体" w:cs="方正小标宋简体"/>
          <w:b/>
          <w:sz w:val="44"/>
        </w:rPr>
        <w:sectPr>
          <w:headerReference r:id="rId3" w:type="default"/>
          <w:footerReference r:id="rId4" w:type="default"/>
          <w:pgSz w:w="11906" w:h="16838"/>
          <w:pgMar w:top="1814" w:right="1531" w:bottom="1814" w:left="1531" w:header="851" w:footer="1673" w:gutter="0"/>
          <w:cols w:space="425" w:num="1"/>
          <w:titlePg/>
          <w:docGrid w:type="lines" w:linePitch="312" w:charSpace="0"/>
        </w:sectPr>
      </w:pPr>
    </w:p>
    <w:p>
      <w:pPr>
        <w:jc w:val="center"/>
        <w:rPr>
          <w:rFonts w:ascii="方正小标宋简体" w:hAnsi="方正小标宋简体" w:eastAsia="方正小标宋简体" w:cs="方正小标宋简体"/>
          <w:b/>
          <w:bCs/>
          <w:spacing w:val="283"/>
          <w:sz w:val="36"/>
          <w:szCs w:val="36"/>
        </w:rPr>
      </w:pPr>
      <w:r>
        <w:rPr>
          <w:rFonts w:hint="eastAsia" w:ascii="方正小标宋简体" w:hAnsi="方正小标宋简体" w:eastAsia="方正小标宋简体" w:cs="方正小标宋简体"/>
          <w:b/>
          <w:bCs/>
          <w:spacing w:val="283"/>
          <w:sz w:val="44"/>
          <w:szCs w:val="44"/>
        </w:rPr>
        <w:t>编制说明</w:t>
      </w:r>
    </w:p>
    <w:p>
      <w:pPr>
        <w:ind w:firstLine="1852" w:firstLineChars="200"/>
        <w:jc w:val="center"/>
        <w:rPr>
          <w:rFonts w:ascii="方正小标宋简体" w:hAnsi="方正小标宋简体" w:eastAsia="方正小标宋简体" w:cs="方正小标宋简体"/>
          <w:b/>
          <w:bCs/>
          <w:spacing w:val="283"/>
          <w:sz w:val="36"/>
          <w:szCs w:val="36"/>
        </w:rPr>
      </w:pP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报告由中心依托单位和主管部门审核并签章；</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报告中主管部门指的是申报单位所属国务院有关部门相关司局或所在地方省级教育主管部门；</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请按规范全称填写报告中的依托单位名称；</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报告中正文须采用宋体小四号字填写，单倍行距；</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凡不填写内容的栏目，请用“无”标示；</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封面“所属技术领域”包括“机械与运载工程”“信息与电子工程”“化工、冶金与材料工程”“能源与矿业工程”“土木、水利与建筑工程”“环境与轻纺工程”“农业”“医药卫生”；</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第八部分“年度与运行情况统计表”中所填写内容均为编制周期内情况；</w:t>
      </w:r>
    </w:p>
    <w:p>
      <w:pPr>
        <w:numPr>
          <w:ilvl w:val="0"/>
          <w:numId w:val="1"/>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报告提交一份WORD文档和一份有电子章或盖章后扫描的PDF文件至教育部科技司。</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spacing w:line="560" w:lineRule="exact"/>
        <w:rPr>
          <w:rFonts w:eastAsia="楷体"/>
          <w:sz w:val="32"/>
          <w:szCs w:val="32"/>
        </w:rPr>
      </w:pPr>
      <w:r>
        <w:rPr>
          <w:rFonts w:hint="eastAsia" w:eastAsia="黑体"/>
          <w:sz w:val="32"/>
          <w:szCs w:val="32"/>
        </w:rPr>
        <w:t>一、</w:t>
      </w:r>
      <w:r>
        <w:rPr>
          <w:rFonts w:eastAsia="黑体"/>
          <w:sz w:val="32"/>
          <w:szCs w:val="32"/>
        </w:rPr>
        <w:t>技术攻关与创新情况</w:t>
      </w:r>
      <w:r>
        <w:rPr>
          <w:rFonts w:eastAsia="楷体"/>
          <w:sz w:val="32"/>
          <w:szCs w:val="32"/>
        </w:rPr>
        <w:t>（结合总体定位和研究方向，概述中心本年度技术攻关进展情况</w:t>
      </w:r>
      <w:r>
        <w:rPr>
          <w:rFonts w:hint="eastAsia" w:eastAsia="楷体"/>
          <w:sz w:val="32"/>
          <w:szCs w:val="32"/>
        </w:rPr>
        <w:t>和代表性成果</w:t>
      </w:r>
      <w:r>
        <w:rPr>
          <w:rFonts w:eastAsia="楷体"/>
          <w:sz w:val="32"/>
          <w:szCs w:val="32"/>
        </w:rPr>
        <w:t>，字数不超过</w:t>
      </w:r>
      <w:r>
        <w:rPr>
          <w:rFonts w:hint="eastAsia" w:eastAsia="楷体"/>
          <w:sz w:val="32"/>
          <w:szCs w:val="32"/>
        </w:rPr>
        <w:t>20</w:t>
      </w:r>
      <w:r>
        <w:rPr>
          <w:rFonts w:eastAsia="楷体"/>
          <w:sz w:val="32"/>
          <w:szCs w:val="32"/>
        </w:rPr>
        <w:t>00字）</w:t>
      </w:r>
    </w:p>
    <w:p>
      <w:pPr>
        <w:spacing w:line="360" w:lineRule="auto"/>
        <w:ind w:firstLine="560" w:firstLineChars="200"/>
        <w:rPr>
          <w:rFonts w:eastAsia="楷体"/>
          <w:sz w:val="28"/>
          <w:szCs w:val="28"/>
        </w:rPr>
      </w:pPr>
      <w:r>
        <w:rPr>
          <w:rFonts w:hint="eastAsia" w:eastAsia="楷体"/>
          <w:sz w:val="28"/>
          <w:szCs w:val="28"/>
        </w:rPr>
        <w:t>表面与结构改性无机功能材料教育部工程研究中心以浙江大学为依托单位，以无机非金属材料研究所和半导体材料研究所为核心，整合材料物理与化学国家重点学科、浙江大学985“功能材料”平台、材料科学与工程一级学科博士点等资源建设而成。中心以产业需求为导向，以重大工程技术创新为核心，以依托学科和相关学科的技术为基础，通过系统研究</w:t>
      </w:r>
      <w:r>
        <w:rPr>
          <w:rFonts w:hint="eastAsia" w:eastAsia="楷体"/>
          <w:b/>
          <w:color w:val="C00000"/>
          <w:sz w:val="28"/>
          <w:szCs w:val="28"/>
        </w:rPr>
        <w:t>半导体硅材料缺陷工程、表面镀膜技术、溶胶-凝胶改性技术和原位复合结构调控技术</w:t>
      </w:r>
      <w:r>
        <w:rPr>
          <w:rFonts w:hint="eastAsia" w:eastAsia="楷体"/>
          <w:sz w:val="28"/>
          <w:szCs w:val="28"/>
        </w:rPr>
        <w:t>，进行新型无机功能材料的开发和集成，联合相关企业进行应用技术和工程技术的协作攻关，获得适合工业化生产所需要的工程化共性、关键技术和具有市场竞争力的新产品和新技术。在上述研究方向上，克服新冠疫情的不利影响，2020年度本中心取得了以下重要进展和代表性成果：</w:t>
      </w:r>
    </w:p>
    <w:p>
      <w:pPr>
        <w:tabs>
          <w:tab w:val="left" w:pos="312"/>
        </w:tabs>
        <w:spacing w:line="360" w:lineRule="auto"/>
        <w:rPr>
          <w:rFonts w:eastAsia="楷体"/>
          <w:b/>
          <w:color w:val="0070C0"/>
          <w:sz w:val="28"/>
          <w:szCs w:val="28"/>
        </w:rPr>
      </w:pPr>
      <w:r>
        <w:rPr>
          <w:rFonts w:hint="eastAsia" w:eastAsia="楷体"/>
          <w:b/>
          <w:color w:val="0070C0"/>
          <w:sz w:val="28"/>
          <w:szCs w:val="28"/>
        </w:rPr>
        <w:t>1、</w:t>
      </w:r>
      <w:r>
        <w:rPr>
          <w:rFonts w:eastAsia="楷体"/>
          <w:b/>
          <w:color w:val="0070C0"/>
          <w:sz w:val="28"/>
          <w:szCs w:val="28"/>
        </w:rPr>
        <w:t>2020年国家技术发明二等奖（初评通过，已公示），名称：《</w:t>
      </w:r>
      <w:r>
        <w:rPr>
          <w:rFonts w:eastAsia="楷体"/>
          <w:b/>
          <w:color w:val="0070C0"/>
          <w:sz w:val="28"/>
          <w:szCs w:val="32"/>
        </w:rPr>
        <w:t>浮法在线氧化物系列功能薄膜高效制备成套技术及应用》（完成人：</w:t>
      </w:r>
      <w:r>
        <w:rPr>
          <w:rFonts w:eastAsia="楷体"/>
          <w:b/>
          <w:color w:val="0070C0"/>
          <w:sz w:val="28"/>
          <w:szCs w:val="28"/>
        </w:rPr>
        <w:t>韩高荣教授、刘涌副教授等）</w:t>
      </w:r>
    </w:p>
    <w:p>
      <w:pPr>
        <w:tabs>
          <w:tab w:val="left" w:pos="312"/>
        </w:tabs>
        <w:spacing w:line="360" w:lineRule="auto"/>
        <w:rPr>
          <w:rFonts w:eastAsia="楷体"/>
          <w:b/>
          <w:color w:val="0070C0"/>
          <w:sz w:val="28"/>
          <w:szCs w:val="28"/>
        </w:rPr>
      </w:pPr>
      <w:r>
        <w:rPr>
          <w:rFonts w:eastAsia="楷体"/>
          <w:b/>
          <w:color w:val="0070C0"/>
          <w:sz w:val="28"/>
          <w:szCs w:val="28"/>
        </w:rPr>
        <w:t>主要创新点：</w:t>
      </w:r>
    </w:p>
    <w:p>
      <w:pPr>
        <w:tabs>
          <w:tab w:val="left" w:pos="312"/>
        </w:tabs>
        <w:spacing w:line="560" w:lineRule="exact"/>
        <w:rPr>
          <w:rFonts w:eastAsia="楷体"/>
          <w:color w:val="FF0000"/>
          <w:sz w:val="28"/>
          <w:szCs w:val="32"/>
        </w:rPr>
      </w:pPr>
      <w:r>
        <w:rPr>
          <w:rFonts w:hint="eastAsia" w:eastAsia="楷体"/>
          <w:b/>
          <w:color w:val="C00000"/>
          <w:sz w:val="28"/>
          <w:szCs w:val="28"/>
        </w:rPr>
        <w:t xml:space="preserve">   </w:t>
      </w:r>
      <w:r>
        <w:rPr>
          <w:rFonts w:eastAsia="楷体"/>
          <w:b/>
          <w:color w:val="C00000"/>
          <w:sz w:val="28"/>
          <w:szCs w:val="28"/>
        </w:rPr>
        <w:t>该成果原创提出浮法在线氧化物玻璃表面异质复合功能薄膜的新技术，建立浮法玻璃在线原位掺杂理论与方法，阐明薄膜微结构、掺杂与载流子浓度、迁移率之间的内在规律，成功实现透明导电、低辐射两大类新型功能玻璃的产业化，满足我国光伏发电和严寒地区建筑节能的重大需求。</w:t>
      </w:r>
    </w:p>
    <w:p>
      <w:pPr>
        <w:spacing w:line="360" w:lineRule="auto"/>
        <w:rPr>
          <w:rFonts w:eastAsia="楷体"/>
          <w:sz w:val="28"/>
          <w:szCs w:val="28"/>
        </w:rPr>
      </w:pPr>
      <w:r>
        <w:rPr>
          <w:rFonts w:eastAsia="楷体"/>
          <w:sz w:val="28"/>
          <w:szCs w:val="28"/>
        </w:rPr>
        <w:t xml:space="preserve">   玻璃因其透明和高强，广泛应用于国民经济的各个领域，具有不可替代性。自中国“洛阳浮法”技术发明以来，经四十余年的发展，我国已成为玻璃生产制造大国。韩高荣教授团队面向我国光伏发电、建筑节能等产业对透明导电和低辐射玻璃等基础材料的重大需求，发明了在氧化物玻璃基板上快速生长微纳结构氧化锡掺氟薄膜的新技术，突破国际玻璃行业</w:t>
      </w:r>
      <w:r>
        <w:rPr>
          <w:rFonts w:eastAsia="楷体"/>
          <w:bCs/>
          <w:sz w:val="28"/>
          <w:szCs w:val="28"/>
        </w:rPr>
        <w:t>浮法退火窑不适合作为镀膜工艺区间的论断</w:t>
      </w:r>
      <w:r>
        <w:rPr>
          <w:rFonts w:eastAsia="楷体"/>
          <w:sz w:val="28"/>
          <w:szCs w:val="28"/>
        </w:rPr>
        <w:t>, 首创浮法玻璃退火窑内在线氧化物玻璃表面异质复合多层薄膜（氧化物玻璃/非晶SiC</w:t>
      </w:r>
      <w:r>
        <w:rPr>
          <w:rFonts w:eastAsia="楷体"/>
          <w:sz w:val="28"/>
          <w:szCs w:val="28"/>
          <w:vertAlign w:val="subscript"/>
        </w:rPr>
        <w:t>x</w:t>
      </w:r>
      <w:r>
        <w:rPr>
          <w:rFonts w:eastAsia="楷体"/>
          <w:sz w:val="28"/>
          <w:szCs w:val="28"/>
        </w:rPr>
        <w:t>O</w:t>
      </w:r>
      <w:r>
        <w:rPr>
          <w:rFonts w:eastAsia="楷体"/>
          <w:sz w:val="28"/>
          <w:szCs w:val="28"/>
          <w:vertAlign w:val="subscript"/>
        </w:rPr>
        <w:t>y</w:t>
      </w:r>
      <w:r>
        <w:rPr>
          <w:rFonts w:eastAsia="楷体"/>
          <w:sz w:val="28"/>
          <w:szCs w:val="28"/>
        </w:rPr>
        <w:t>/掺氟SnO</w:t>
      </w:r>
      <w:r>
        <w:rPr>
          <w:rFonts w:eastAsia="楷体"/>
          <w:sz w:val="28"/>
          <w:szCs w:val="28"/>
          <w:vertAlign w:val="subscript"/>
        </w:rPr>
        <w:t>2</w:t>
      </w:r>
      <w:r>
        <w:rPr>
          <w:rFonts w:eastAsia="楷体"/>
          <w:sz w:val="28"/>
          <w:szCs w:val="28"/>
        </w:rPr>
        <w:t>）的新方法，建立了浮法玻璃在线原位掺杂理论，揭示了氧化物玻璃表界面调控、异质复合界面微结构与光电热稳定性之间的内在规律，阐明了非晶SiC</w:t>
      </w:r>
      <w:r>
        <w:rPr>
          <w:rFonts w:eastAsia="楷体"/>
          <w:sz w:val="28"/>
          <w:szCs w:val="28"/>
          <w:vertAlign w:val="subscript"/>
        </w:rPr>
        <w:t>x</w:t>
      </w:r>
      <w:r>
        <w:rPr>
          <w:rFonts w:eastAsia="楷体"/>
          <w:sz w:val="28"/>
          <w:szCs w:val="28"/>
        </w:rPr>
        <w:t>O</w:t>
      </w:r>
      <w:r>
        <w:rPr>
          <w:rFonts w:eastAsia="楷体"/>
          <w:sz w:val="28"/>
          <w:szCs w:val="28"/>
          <w:vertAlign w:val="subscript"/>
        </w:rPr>
        <w:t>y</w:t>
      </w:r>
      <w:r>
        <w:rPr>
          <w:rFonts w:eastAsia="楷体"/>
          <w:sz w:val="28"/>
          <w:szCs w:val="28"/>
        </w:rPr>
        <w:t>阻止离子扩散提升光电性能的机理，探明了微纳结构与薄膜粗糙度、雾度之间的内在关联，提高了光俘获能力。发明了退火区镀膜的全新装备和成套技术。首创复合膜层结构的透明导电氧化物玻璃，增强了我国光伏发电产业链的自主供应能力；成功开发新型高透低辐射、遮阳低辐射玻璃，辐射率低至0.13，为国际最优值，满足我国寒冷地区建筑节能要求。</w:t>
      </w:r>
    </w:p>
    <w:p>
      <w:pPr>
        <w:adjustRightInd w:val="0"/>
        <w:snapToGrid w:val="0"/>
        <w:spacing w:line="360" w:lineRule="auto"/>
        <w:rPr>
          <w:rFonts w:eastAsia="楷体"/>
          <w:b/>
          <w:color w:val="0070C0"/>
          <w:sz w:val="28"/>
          <w:szCs w:val="28"/>
        </w:rPr>
      </w:pPr>
      <w:r>
        <w:rPr>
          <w:rFonts w:eastAsia="楷体"/>
          <w:b/>
          <w:color w:val="0070C0"/>
          <w:sz w:val="28"/>
          <w:szCs w:val="28"/>
        </w:rPr>
        <w:t>2、新型金属-有机框架材料制备及在分离、激光等领域应用</w:t>
      </w:r>
    </w:p>
    <w:p>
      <w:pPr>
        <w:adjustRightInd w:val="0"/>
        <w:snapToGrid w:val="0"/>
        <w:spacing w:line="360" w:lineRule="auto"/>
        <w:ind w:firstLine="560" w:firstLineChars="200"/>
        <w:rPr>
          <w:rFonts w:eastAsia="楷体"/>
          <w:b/>
          <w:color w:val="C00000"/>
          <w:sz w:val="28"/>
          <w:szCs w:val="28"/>
        </w:rPr>
      </w:pPr>
      <w:r>
        <w:rPr>
          <w:rFonts w:eastAsia="楷体"/>
          <w:sz w:val="28"/>
          <w:szCs w:val="28"/>
        </w:rPr>
        <w:t>设计合成了一批新型金属-有机框架材料，实现了在高性能气体分离和微纳激光等领域的应用。合成了一种Hofmann结构金属-有机框架材料（ZJU-74），通过相邻的两个[Ni(CN)</w:t>
      </w:r>
      <w:r>
        <w:rPr>
          <w:rFonts w:eastAsia="楷体"/>
          <w:sz w:val="28"/>
          <w:szCs w:val="28"/>
          <w:vertAlign w:val="subscript"/>
        </w:rPr>
        <w:t>4</w:t>
      </w:r>
      <w:r>
        <w:rPr>
          <w:rFonts w:eastAsia="楷体"/>
          <w:sz w:val="28"/>
          <w:szCs w:val="28"/>
        </w:rPr>
        <w:t>]</w:t>
      </w:r>
      <w:r>
        <w:rPr>
          <w:rFonts w:eastAsia="楷体"/>
          <w:sz w:val="28"/>
          <w:szCs w:val="28"/>
          <w:vertAlign w:val="subscript"/>
        </w:rPr>
        <w:t>2</w:t>
      </w:r>
      <w:r>
        <w:rPr>
          <w:rFonts w:eastAsia="楷体"/>
          <w:sz w:val="28"/>
          <w:szCs w:val="28"/>
        </w:rPr>
        <w:t>-单元形成独特的类三明治型结合位点，并利用高密度的开放Ni</w:t>
      </w:r>
      <w:r>
        <w:rPr>
          <w:rFonts w:eastAsia="楷体"/>
          <w:sz w:val="28"/>
          <w:szCs w:val="28"/>
          <w:vertAlign w:val="superscript"/>
        </w:rPr>
        <w:t>2+</w:t>
      </w:r>
      <w:r>
        <w:rPr>
          <w:rFonts w:eastAsia="楷体"/>
          <w:sz w:val="28"/>
          <w:szCs w:val="28"/>
        </w:rPr>
        <w:t>位点与C≡N键协同作用，实现了乙炔的高效捕获和乙炔/二氧化碳的分离，成果发表于Advanced Materials (2020, 32, 1908275)。利用同质外延生长方法，在单个金属有机框架材料单晶上分段组装不同发光波长染料分子（绿、红、近红外波段），获得了高偏振度的多色激光输出</w:t>
      </w:r>
      <w:r>
        <w:rPr>
          <w:rFonts w:hint="eastAsia" w:eastAsia="楷体"/>
          <w:sz w:val="28"/>
          <w:szCs w:val="28"/>
        </w:rPr>
        <w:t>。</w:t>
      </w:r>
      <w:r>
        <w:rPr>
          <w:rFonts w:eastAsia="楷体"/>
          <w:b/>
          <w:color w:val="C00000"/>
          <w:sz w:val="28"/>
          <w:szCs w:val="28"/>
        </w:rPr>
        <w:t>成果发表在Light-Sci. Appl. 2020, 9(1), 138。</w:t>
      </w:r>
      <w:r>
        <w:rPr>
          <w:rFonts w:hint="eastAsia" w:eastAsia="楷体"/>
          <w:b/>
          <w:color w:val="C00000"/>
          <w:sz w:val="28"/>
          <w:szCs w:val="28"/>
        </w:rPr>
        <w:t>（钱国栋、崔元靖教授团队）</w:t>
      </w:r>
    </w:p>
    <w:p>
      <w:pPr>
        <w:adjustRightInd w:val="0"/>
        <w:snapToGrid w:val="0"/>
        <w:spacing w:before="62" w:beforeLines="20" w:line="360" w:lineRule="auto"/>
        <w:rPr>
          <w:rFonts w:eastAsia="楷体"/>
          <w:bCs/>
          <w:kern w:val="0"/>
          <w:sz w:val="28"/>
          <w:szCs w:val="28"/>
        </w:rPr>
      </w:pPr>
      <w:r>
        <w:rPr>
          <w:rFonts w:eastAsia="楷体"/>
          <w:bCs/>
          <w:kern w:val="0"/>
          <w:sz w:val="28"/>
          <w:szCs w:val="28"/>
        </w:rPr>
        <w:t>3</w:t>
      </w:r>
      <w:r>
        <w:rPr>
          <w:rFonts w:hint="eastAsia" w:eastAsia="楷体"/>
          <w:bCs/>
          <w:kern w:val="0"/>
          <w:sz w:val="28"/>
          <w:szCs w:val="28"/>
        </w:rPr>
        <w:t>、</w:t>
      </w:r>
      <w:r>
        <w:rPr>
          <w:rFonts w:eastAsia="楷体"/>
          <w:bCs/>
          <w:kern w:val="0"/>
          <w:sz w:val="28"/>
          <w:szCs w:val="28"/>
        </w:rPr>
        <w:t>高性能微波介质陶瓷、小型化元器件及模组开发及产业化</w:t>
      </w:r>
    </w:p>
    <w:p>
      <w:pPr>
        <w:adjustRightInd w:val="0"/>
        <w:snapToGrid w:val="0"/>
        <w:spacing w:line="360" w:lineRule="auto"/>
        <w:ind w:firstLine="560" w:firstLineChars="200"/>
        <w:rPr>
          <w:rFonts w:eastAsia="楷体"/>
          <w:sz w:val="28"/>
          <w:szCs w:val="28"/>
        </w:rPr>
      </w:pPr>
      <w:r>
        <w:rPr>
          <w:rFonts w:eastAsia="楷体"/>
          <w:color w:val="000000"/>
          <w:sz w:val="28"/>
          <w:szCs w:val="28"/>
        </w:rPr>
        <w:t>项目根据高世代(3G/4G/5G)移动通信、北斗导航系统、军事雷达等发展需求，突破低损耗高频微波介质陶瓷设计及制备与性能调控、小型化关键微波元器件及模组设计、规模化生产工艺等关键技术，解决了微波元器件小型化、高频化、模组化等核心难点问题，开发出系列高性能微波介质陶瓷、小型化元器件及模组系列产品，实现规模化稳定生产。项目成套技术实现应用，建立高性能微波介质陶瓷元器件与模组生产线，生产出系列小型化微波器件及模组产品，产品在3G/4G移动通信、无线网络、全球卫星定位系统(GPS/BDS)、军事雷达等领域广泛应用，取得显著经济和社会效益。</w:t>
      </w:r>
      <w:r>
        <w:rPr>
          <w:rFonts w:eastAsia="楷体"/>
          <w:b/>
          <w:color w:val="C00000"/>
          <w:sz w:val="28"/>
          <w:szCs w:val="28"/>
        </w:rPr>
        <w:t>成果获</w:t>
      </w:r>
      <w:r>
        <w:rPr>
          <w:rFonts w:hint="eastAsia" w:eastAsia="楷体"/>
          <w:b/>
          <w:color w:val="C00000"/>
          <w:sz w:val="28"/>
          <w:szCs w:val="28"/>
        </w:rPr>
        <w:t>2020年</w:t>
      </w:r>
      <w:r>
        <w:rPr>
          <w:rFonts w:eastAsia="楷体"/>
          <w:b/>
          <w:color w:val="C00000"/>
          <w:sz w:val="28"/>
          <w:szCs w:val="28"/>
        </w:rPr>
        <w:t>浙江省科技进步二等奖。</w:t>
      </w:r>
      <w:r>
        <w:rPr>
          <w:rFonts w:hint="eastAsia" w:eastAsia="楷体"/>
          <w:b/>
          <w:color w:val="C00000"/>
          <w:sz w:val="28"/>
          <w:szCs w:val="28"/>
        </w:rPr>
        <w:t>（杨辉、张启龙教授团队）</w:t>
      </w:r>
    </w:p>
    <w:p>
      <w:pPr>
        <w:rPr>
          <w:rFonts w:eastAsia="楷体"/>
          <w:sz w:val="24"/>
          <w:szCs w:val="32"/>
        </w:rPr>
      </w:pPr>
    </w:p>
    <w:p>
      <w:pPr>
        <w:rPr>
          <w:rFonts w:eastAsia="黑体"/>
          <w:sz w:val="32"/>
          <w:szCs w:val="32"/>
        </w:rPr>
      </w:pPr>
      <w:r>
        <w:rPr>
          <w:rFonts w:hint="eastAsia" w:eastAsia="黑体"/>
          <w:sz w:val="32"/>
          <w:szCs w:val="32"/>
        </w:rPr>
        <w:t>二、</w:t>
      </w:r>
      <w:r>
        <w:rPr>
          <w:rFonts w:eastAsia="黑体"/>
          <w:sz w:val="32"/>
          <w:szCs w:val="32"/>
        </w:rPr>
        <w:t>成果转化与行业贡献</w:t>
      </w:r>
    </w:p>
    <w:p>
      <w:pPr>
        <w:numPr>
          <w:ilvl w:val="0"/>
          <w:numId w:val="2"/>
        </w:numPr>
        <w:spacing w:line="560" w:lineRule="exact"/>
        <w:ind w:firstLine="643" w:firstLineChars="200"/>
        <w:rPr>
          <w:sz w:val="32"/>
          <w:szCs w:val="32"/>
        </w:rPr>
      </w:pPr>
      <w:r>
        <w:rPr>
          <w:rFonts w:eastAsia="仿宋_GB2312"/>
          <w:b/>
          <w:bCs/>
          <w:sz w:val="32"/>
          <w:szCs w:val="32"/>
        </w:rPr>
        <w:t>总体情况</w:t>
      </w:r>
      <w:r>
        <w:rPr>
          <w:rFonts w:eastAsia="楷体"/>
          <w:sz w:val="32"/>
          <w:szCs w:val="32"/>
        </w:rPr>
        <w:t>（总体介绍</w:t>
      </w:r>
      <w:r>
        <w:rPr>
          <w:rFonts w:hint="eastAsia" w:eastAsia="楷体"/>
          <w:sz w:val="32"/>
          <w:szCs w:val="32"/>
        </w:rPr>
        <w:t>当年</w:t>
      </w:r>
      <w:r>
        <w:rPr>
          <w:rFonts w:eastAsia="楷体"/>
          <w:sz w:val="32"/>
          <w:szCs w:val="32"/>
        </w:rPr>
        <w:t>工程技术成果转移转化情况及其对行业、区域发展的贡献度和影响力，不超过1000字）</w:t>
      </w:r>
    </w:p>
    <w:p>
      <w:pPr>
        <w:tabs>
          <w:tab w:val="left" w:pos="312"/>
        </w:tabs>
        <w:spacing w:line="560" w:lineRule="exact"/>
        <w:ind w:firstLine="560" w:firstLineChars="200"/>
        <w:rPr>
          <w:sz w:val="32"/>
          <w:szCs w:val="32"/>
        </w:rPr>
      </w:pPr>
      <w:r>
        <w:rPr>
          <w:rFonts w:hint="eastAsia" w:eastAsia="楷体"/>
          <w:sz w:val="28"/>
          <w:szCs w:val="28"/>
        </w:rPr>
        <w:t>工程中心旨在建设一流的技术创新开发与工程化队伍，开展国际合作与交流，在相关领域获得具有我国自主知识产权的新产品及工业化示范生产线，形成不断创新的可持续发展能力，促进和推动我国无机功能材料产业的技术进步，提升相关行业的技术水平。主动对接国家和区域战略需求，强化材料科学与工程“双轮驱动”，推进产学研实现深度融合，科技创新和社会服务能力持续增强，为我国新材料产业突破技术瓶颈、实现跨越发展提供了强有力支撑。主动对接国家和区域战略需求，强化材料科学与工程“双轮驱动”，推进产学研实现深度融合，科技创新和社会服务能力持续增强，为我国新材料产业突破技术瓶颈、实现跨越发展提供了强有力支撑。</w:t>
      </w:r>
      <w:r>
        <w:rPr>
          <w:rFonts w:hint="eastAsia" w:eastAsia="楷体"/>
          <w:b/>
          <w:color w:val="C00000"/>
          <w:sz w:val="28"/>
          <w:szCs w:val="28"/>
        </w:rPr>
        <w:t>韩高荣教授团队</w:t>
      </w:r>
      <w:r>
        <w:rPr>
          <w:rFonts w:eastAsia="楷体"/>
          <w:b/>
          <w:color w:val="C00000"/>
          <w:sz w:val="28"/>
          <w:szCs w:val="28"/>
        </w:rPr>
        <w:t>浮法在线氧化物玻璃表面异质复合功能薄膜的新技术</w:t>
      </w:r>
      <w:r>
        <w:rPr>
          <w:rFonts w:eastAsia="楷体"/>
          <w:sz w:val="28"/>
          <w:szCs w:val="28"/>
        </w:rPr>
        <w:t xml:space="preserve"> “解决了膜层干涉着色，大面积颜色均匀性难控制的世界性技术难题”作为中国“二代浮法”的核心技术已在国内外十余条浮法玻璃生产线应用，支撑了我国光伏发电、建筑节能等产业发展。累计新增销售额约52亿元，取得重大的经济、社会和生态效益。已获授权中国发明专利24项，国外发明专利3项，发表学术论文35篇，编著2本，牵头和参与制订国家、行业和团体标准9项，获浙江省科技发明一等奖和建筑材料科学技术一等奖各1项。</w:t>
      </w:r>
    </w:p>
    <w:p>
      <w:pPr>
        <w:numPr>
          <w:ilvl w:val="0"/>
          <w:numId w:val="2"/>
        </w:numPr>
        <w:spacing w:line="560" w:lineRule="exact"/>
        <w:ind w:firstLine="643" w:firstLineChars="200"/>
        <w:rPr>
          <w:sz w:val="32"/>
          <w:szCs w:val="32"/>
        </w:rPr>
      </w:pPr>
      <w:r>
        <w:rPr>
          <w:rFonts w:eastAsia="仿宋_GB2312"/>
          <w:b/>
          <w:bCs/>
          <w:sz w:val="32"/>
          <w:szCs w:val="32"/>
        </w:rPr>
        <w:t>工程化案例</w:t>
      </w:r>
      <w:r>
        <w:rPr>
          <w:rFonts w:eastAsia="楷体"/>
          <w:sz w:val="32"/>
          <w:szCs w:val="32"/>
        </w:rPr>
        <w:t>（</w:t>
      </w:r>
      <w:r>
        <w:rPr>
          <w:rFonts w:hint="eastAsia" w:eastAsia="楷体"/>
          <w:sz w:val="32"/>
          <w:szCs w:val="32"/>
        </w:rPr>
        <w:t>当年新增典型案例</w:t>
      </w:r>
      <w:r>
        <w:rPr>
          <w:rFonts w:eastAsia="楷体"/>
          <w:sz w:val="32"/>
          <w:szCs w:val="32"/>
        </w:rPr>
        <w:t>，主要内容包括：技术成果名称、关键技术及水平；技术成果工程化、产业化、技术转移/转化模式和过程；成果转化的经济效益以及对行业技术发展和竞争能力提升作用）</w:t>
      </w:r>
    </w:p>
    <w:p>
      <w:pPr>
        <w:tabs>
          <w:tab w:val="left" w:pos="312"/>
        </w:tabs>
        <w:spacing w:line="560" w:lineRule="exact"/>
        <w:rPr>
          <w:rFonts w:eastAsia="楷体"/>
          <w:b/>
          <w:color w:val="0070C0"/>
          <w:sz w:val="28"/>
          <w:szCs w:val="32"/>
        </w:rPr>
      </w:pPr>
      <w:r>
        <w:rPr>
          <w:rFonts w:hint="eastAsia" w:eastAsia="楷体"/>
          <w:b/>
          <w:color w:val="0070C0"/>
          <w:sz w:val="28"/>
          <w:szCs w:val="32"/>
        </w:rPr>
        <w:t>技术成果名称：</w:t>
      </w:r>
    </w:p>
    <w:p>
      <w:pPr>
        <w:tabs>
          <w:tab w:val="left" w:pos="312"/>
        </w:tabs>
        <w:spacing w:line="560" w:lineRule="exact"/>
        <w:rPr>
          <w:rFonts w:eastAsia="楷体"/>
          <w:sz w:val="28"/>
          <w:szCs w:val="32"/>
        </w:rPr>
      </w:pPr>
      <w:r>
        <w:rPr>
          <w:rFonts w:hint="eastAsia" w:eastAsia="楷体"/>
          <w:sz w:val="28"/>
          <w:szCs w:val="32"/>
        </w:rPr>
        <w:t>浮法在线氧化物系列功能薄膜高效制备成套技术及应用</w:t>
      </w:r>
    </w:p>
    <w:p>
      <w:pPr>
        <w:spacing w:line="360" w:lineRule="exact"/>
        <w:rPr>
          <w:rFonts w:eastAsia="楷体"/>
          <w:color w:val="FF0000"/>
          <w:sz w:val="28"/>
          <w:szCs w:val="32"/>
        </w:rPr>
      </w:pPr>
    </w:p>
    <w:p>
      <w:pPr>
        <w:spacing w:line="360" w:lineRule="exact"/>
        <w:rPr>
          <w:rFonts w:eastAsia="楷体"/>
          <w:b/>
          <w:color w:val="0070C0"/>
          <w:sz w:val="28"/>
          <w:szCs w:val="32"/>
        </w:rPr>
      </w:pPr>
      <w:r>
        <w:rPr>
          <w:rFonts w:eastAsia="楷体"/>
          <w:b/>
          <w:color w:val="0070C0"/>
          <w:sz w:val="28"/>
          <w:szCs w:val="32"/>
        </w:rPr>
        <w:t>关键技术及水平</w:t>
      </w:r>
      <w:r>
        <w:rPr>
          <w:rFonts w:hint="eastAsia" w:eastAsia="楷体"/>
          <w:b/>
          <w:color w:val="0070C0"/>
          <w:sz w:val="28"/>
          <w:szCs w:val="32"/>
        </w:rPr>
        <w:t>：</w:t>
      </w:r>
    </w:p>
    <w:p>
      <w:pPr>
        <w:spacing w:line="360" w:lineRule="exact"/>
        <w:rPr>
          <w:rFonts w:eastAsia="楷体"/>
          <w:b/>
          <w:color w:val="FF0000"/>
          <w:sz w:val="28"/>
          <w:szCs w:val="32"/>
        </w:rPr>
      </w:pPr>
    </w:p>
    <w:p>
      <w:pPr>
        <w:spacing w:line="360" w:lineRule="auto"/>
        <w:rPr>
          <w:rFonts w:eastAsia="楷体"/>
          <w:bCs/>
          <w:sz w:val="28"/>
        </w:rPr>
      </w:pPr>
      <w:r>
        <w:rPr>
          <w:rFonts w:eastAsia="楷体"/>
          <w:sz w:val="28"/>
        </w:rPr>
        <w:t>(1)</w:t>
      </w:r>
      <w:r>
        <w:rPr>
          <w:rFonts w:hint="eastAsia" w:ascii="微软雅黑" w:hAnsi="微软雅黑" w:eastAsia="微软雅黑"/>
          <w:bCs/>
          <w:kern w:val="24"/>
          <w:sz w:val="56"/>
          <w:szCs w:val="56"/>
        </w:rPr>
        <w:t xml:space="preserve"> </w:t>
      </w:r>
      <w:r>
        <w:rPr>
          <w:rFonts w:hint="eastAsia" w:eastAsia="楷体"/>
          <w:bCs/>
          <w:sz w:val="28"/>
        </w:rPr>
        <w:t>发明了薄流层爆发形核快速沉积方法，实现了微纳结构氧化物功能薄膜的高效制备。建立了流层厚度、沉积速率的定量关系。通过催化剂水含量和薄流层厚度的调控，沉积速率从17nm/s大幅提升至45nm/s，超越国外同类技术(28nm/s)。</w:t>
      </w:r>
    </w:p>
    <w:p>
      <w:pPr>
        <w:spacing w:line="360" w:lineRule="auto"/>
        <w:rPr>
          <w:rFonts w:eastAsia="楷体"/>
          <w:bCs/>
          <w:sz w:val="28"/>
        </w:rPr>
      </w:pPr>
      <w:r>
        <w:rPr>
          <w:rFonts w:eastAsia="楷体"/>
          <w:sz w:val="28"/>
        </w:rPr>
        <w:t xml:space="preserve"> (2) </w:t>
      </w:r>
      <w:r>
        <w:rPr>
          <w:rFonts w:hint="eastAsia" w:eastAsia="楷体"/>
          <w:bCs/>
          <w:sz w:val="28"/>
        </w:rPr>
        <w:t>发明了浮法在线原位掺杂和异质多层复合调控技术，开发出高透低辐射、遮阳低辐射等系列节能玻璃新产品。国际首次提出SiC</w:t>
      </w:r>
      <w:r>
        <w:rPr>
          <w:rFonts w:hint="eastAsia" w:eastAsia="楷体"/>
          <w:bCs/>
          <w:sz w:val="28"/>
          <w:vertAlign w:val="subscript"/>
        </w:rPr>
        <w:t>x</w:t>
      </w:r>
      <w:r>
        <w:rPr>
          <w:rFonts w:hint="eastAsia" w:eastAsia="楷体"/>
          <w:bCs/>
          <w:sz w:val="28"/>
        </w:rPr>
        <w:t>O</w:t>
      </w:r>
      <w:r>
        <w:rPr>
          <w:rFonts w:hint="eastAsia" w:eastAsia="楷体"/>
          <w:bCs/>
          <w:sz w:val="28"/>
          <w:vertAlign w:val="subscript"/>
        </w:rPr>
        <w:t>y</w:t>
      </w:r>
      <w:r>
        <w:rPr>
          <w:rFonts w:hint="eastAsia" w:eastAsia="楷体"/>
          <w:bCs/>
          <w:sz w:val="28"/>
        </w:rPr>
        <w:t>/SnO</w:t>
      </w:r>
      <w:r>
        <w:rPr>
          <w:rFonts w:hint="eastAsia" w:eastAsia="楷体"/>
          <w:bCs/>
          <w:sz w:val="28"/>
          <w:vertAlign w:val="subscript"/>
        </w:rPr>
        <w:t>2</w:t>
      </w:r>
      <w:r>
        <w:rPr>
          <w:rFonts w:hint="eastAsia" w:eastAsia="楷体"/>
          <w:bCs/>
          <w:sz w:val="28"/>
        </w:rPr>
        <w:t>:F异质复合提高透过率；，获得了辐射率低至0.13、透过率高达80%的高透低辐射镀膜玻璃，为目前在线镀膜玻璃产品最优值，满足北方寒冷地区的节能要求。</w:t>
      </w:r>
      <w:r>
        <w:rPr>
          <w:rFonts w:eastAsia="楷体"/>
          <w:bCs/>
          <w:sz w:val="28"/>
        </w:rPr>
        <w:t>首创干涉着色节能玻璃，实现了我国氧化物节能玻璃产品从无到有的突破，满足不同地域建筑节能的需要。</w:t>
      </w:r>
    </w:p>
    <w:p>
      <w:pPr>
        <w:spacing w:line="360" w:lineRule="auto"/>
        <w:rPr>
          <w:rFonts w:eastAsia="楷体"/>
          <w:bCs/>
          <w:sz w:val="28"/>
        </w:rPr>
      </w:pPr>
      <w:r>
        <w:rPr>
          <w:rFonts w:eastAsia="楷体"/>
          <w:sz w:val="28"/>
        </w:rPr>
        <w:t xml:space="preserve">(3) </w:t>
      </w:r>
      <w:r>
        <w:rPr>
          <w:rFonts w:hint="eastAsia" w:eastAsia="楷体"/>
          <w:bCs/>
          <w:sz w:val="28"/>
        </w:rPr>
        <w:t>发明了晶面择优取向、雾度调控和夹层复合技术，开发了高稳定氟掺杂氧化锡(FTO)透明导电玻璃新产品。国际上首次提出“玻璃/多层屏蔽层/多层导电膜层”结构的夹层复合导电膜结构，获得电阻率小于4.9×10</w:t>
      </w:r>
      <w:r>
        <w:rPr>
          <w:rFonts w:hint="eastAsia" w:eastAsia="楷体"/>
          <w:bCs/>
          <w:sz w:val="28"/>
          <w:vertAlign w:val="superscript"/>
        </w:rPr>
        <w:t>-4</w:t>
      </w:r>
      <w:r>
        <w:rPr>
          <w:rFonts w:hint="eastAsia" w:eastAsia="楷体"/>
          <w:bCs/>
          <w:sz w:val="28"/>
        </w:rPr>
        <w:t>Ω·cm，雾度可调（~13%）、方块电阻&lt;10Ω、耐热~500</w:t>
      </w:r>
      <w:r>
        <w:rPr>
          <w:rFonts w:hint="eastAsia" w:eastAsia="楷体"/>
          <w:bCs/>
          <w:sz w:val="28"/>
          <w:vertAlign w:val="superscript"/>
        </w:rPr>
        <w:t>o</w:t>
      </w:r>
      <w:r>
        <w:rPr>
          <w:rFonts w:hint="eastAsia" w:eastAsia="楷体"/>
          <w:bCs/>
          <w:sz w:val="28"/>
        </w:rPr>
        <w:t>C的新型透明导电玻璃，</w:t>
      </w:r>
      <w:r>
        <w:rPr>
          <w:rFonts w:eastAsia="楷体"/>
          <w:b/>
          <w:color w:val="C00000"/>
          <w:sz w:val="28"/>
        </w:rPr>
        <w:t>突破了产业技术瓶颈，</w:t>
      </w:r>
      <w:r>
        <w:rPr>
          <w:rFonts w:hint="eastAsia" w:eastAsia="楷体"/>
          <w:b/>
          <w:bCs/>
          <w:color w:val="C00000"/>
          <w:sz w:val="28"/>
        </w:rPr>
        <w:t>满足建筑光伏一体化对透明导电基板的要求，产品替代进口。</w:t>
      </w:r>
    </w:p>
    <w:p>
      <w:pPr>
        <w:tabs>
          <w:tab w:val="left" w:pos="312"/>
        </w:tabs>
        <w:spacing w:line="360" w:lineRule="auto"/>
        <w:rPr>
          <w:rFonts w:eastAsia="楷体"/>
          <w:sz w:val="28"/>
        </w:rPr>
      </w:pPr>
      <w:r>
        <w:rPr>
          <w:rFonts w:eastAsia="楷体"/>
          <w:sz w:val="28"/>
        </w:rPr>
        <w:t>(4)</w:t>
      </w:r>
      <w:r>
        <w:rPr>
          <w:rFonts w:hint="eastAsia" w:eastAsia="楷体"/>
          <w:sz w:val="28"/>
        </w:rPr>
        <w:t xml:space="preserve"> </w:t>
      </w:r>
      <w:r>
        <w:rPr>
          <w:rFonts w:eastAsia="楷体"/>
          <w:sz w:val="28"/>
        </w:rPr>
        <w:t>发明了薄流层线性多通道在线镀膜反应装置、退火窑镀膜环境成套调节装置及原料尾气回收和膜层质量的在线实时监控，形成了退火区镀膜成套技术，实现了低成本规模化生产。</w:t>
      </w:r>
    </w:p>
    <w:p>
      <w:pPr>
        <w:tabs>
          <w:tab w:val="left" w:pos="312"/>
        </w:tabs>
        <w:spacing w:line="360" w:lineRule="auto"/>
        <w:rPr>
          <w:rFonts w:eastAsia="楷体"/>
          <w:color w:val="C00000"/>
          <w:sz w:val="28"/>
        </w:rPr>
      </w:pPr>
      <w:r>
        <w:rPr>
          <w:rFonts w:hint="eastAsia" w:eastAsia="楷体"/>
          <w:sz w:val="28"/>
        </w:rPr>
        <w:t xml:space="preserve">  </w:t>
      </w:r>
      <w:r>
        <w:rPr>
          <w:rFonts w:hint="eastAsia" w:eastAsia="楷体"/>
          <w:b/>
          <w:bCs/>
          <w:color w:val="C00000"/>
          <w:sz w:val="28"/>
        </w:rPr>
        <w:t>项目成套技术和装备“解决了膜层干涉着色、大面积颜色均匀性难控制的世界性技术难题”。</w:t>
      </w:r>
    </w:p>
    <w:p>
      <w:pPr>
        <w:tabs>
          <w:tab w:val="left" w:pos="312"/>
        </w:tabs>
        <w:spacing w:line="360" w:lineRule="auto"/>
        <w:rPr>
          <w:rFonts w:eastAsia="楷体"/>
          <w:sz w:val="36"/>
          <w:szCs w:val="32"/>
        </w:rPr>
      </w:pPr>
    </w:p>
    <w:p>
      <w:pPr>
        <w:tabs>
          <w:tab w:val="left" w:pos="312"/>
        </w:tabs>
        <w:spacing w:line="560" w:lineRule="exact"/>
        <w:rPr>
          <w:rFonts w:eastAsia="楷体"/>
          <w:sz w:val="28"/>
          <w:szCs w:val="28"/>
        </w:rPr>
      </w:pPr>
    </w:p>
    <w:p>
      <w:pPr>
        <w:tabs>
          <w:tab w:val="left" w:pos="312"/>
        </w:tabs>
        <w:spacing w:line="560" w:lineRule="exact"/>
        <w:rPr>
          <w:rFonts w:eastAsia="楷体"/>
          <w:sz w:val="28"/>
          <w:szCs w:val="28"/>
        </w:rPr>
      </w:pPr>
    </w:p>
    <w:p>
      <w:pPr>
        <w:tabs>
          <w:tab w:val="left" w:pos="312"/>
        </w:tabs>
        <w:spacing w:line="560" w:lineRule="exact"/>
        <w:rPr>
          <w:rFonts w:eastAsia="楷体"/>
          <w:sz w:val="28"/>
          <w:szCs w:val="28"/>
        </w:rPr>
      </w:pPr>
      <w:r>
        <w:drawing>
          <wp:anchor distT="0" distB="0" distL="114300" distR="114300" simplePos="0" relativeHeight="251659264" behindDoc="0" locked="0" layoutInCell="1" allowOverlap="1">
            <wp:simplePos x="0" y="0"/>
            <wp:positionH relativeFrom="column">
              <wp:posOffset>51435</wp:posOffset>
            </wp:positionH>
            <wp:positionV relativeFrom="paragraph">
              <wp:posOffset>-430530</wp:posOffset>
            </wp:positionV>
            <wp:extent cx="5259070" cy="1955800"/>
            <wp:effectExtent l="0" t="0" r="0" b="0"/>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5259313" cy="1955969"/>
                    </a:xfrm>
                    <a:prstGeom prst="rect">
                      <a:avLst/>
                    </a:prstGeom>
                    <a:ln w="28575">
                      <a:solidFill>
                        <a:schemeClr val="accent3">
                          <a:lumMod val="25000"/>
                        </a:schemeClr>
                      </a:solidFill>
                    </a:ln>
                  </pic:spPr>
                </pic:pic>
              </a:graphicData>
            </a:graphic>
          </wp:anchor>
        </w:drawing>
      </w:r>
    </w:p>
    <w:p>
      <w:pPr>
        <w:tabs>
          <w:tab w:val="left" w:pos="312"/>
        </w:tabs>
        <w:spacing w:line="560" w:lineRule="exact"/>
        <w:rPr>
          <w:rFonts w:eastAsia="楷体"/>
          <w:sz w:val="28"/>
          <w:szCs w:val="28"/>
        </w:rPr>
      </w:pPr>
    </w:p>
    <w:p>
      <w:pPr>
        <w:tabs>
          <w:tab w:val="left" w:pos="312"/>
        </w:tabs>
        <w:spacing w:line="560" w:lineRule="exact"/>
        <w:rPr>
          <w:rFonts w:eastAsia="楷体"/>
          <w:sz w:val="28"/>
          <w:szCs w:val="28"/>
        </w:rPr>
      </w:pPr>
    </w:p>
    <w:p>
      <w:pPr>
        <w:tabs>
          <w:tab w:val="left" w:pos="312"/>
        </w:tabs>
        <w:spacing w:line="560" w:lineRule="exact"/>
        <w:rPr>
          <w:rFonts w:eastAsia="楷体"/>
          <w:sz w:val="28"/>
          <w:szCs w:val="28"/>
        </w:rPr>
      </w:pPr>
    </w:p>
    <w:p>
      <w:pPr>
        <w:tabs>
          <w:tab w:val="left" w:pos="312"/>
        </w:tabs>
        <w:spacing w:line="560" w:lineRule="exact"/>
        <w:jc w:val="center"/>
        <w:rPr>
          <w:rFonts w:eastAsia="楷体"/>
          <w:sz w:val="24"/>
          <w:szCs w:val="28"/>
        </w:rPr>
      </w:pPr>
      <w:r>
        <w:rPr>
          <w:rFonts w:hint="eastAsia" w:eastAsia="楷体"/>
          <w:b/>
          <w:bCs/>
          <w:sz w:val="24"/>
          <w:szCs w:val="28"/>
        </w:rPr>
        <w:t>浮法在线制备氧化物功能薄膜的成套技术和装备图</w:t>
      </w:r>
    </w:p>
    <w:p>
      <w:pPr>
        <w:tabs>
          <w:tab w:val="left" w:pos="312"/>
        </w:tabs>
        <w:spacing w:line="560" w:lineRule="exact"/>
        <w:rPr>
          <w:rFonts w:eastAsia="楷体"/>
          <w:b/>
          <w:color w:val="0070C0"/>
          <w:sz w:val="28"/>
          <w:szCs w:val="28"/>
        </w:rPr>
      </w:pPr>
      <w:r>
        <w:rPr>
          <w:rFonts w:eastAsia="楷体"/>
          <w:b/>
          <w:color w:val="0070C0"/>
          <w:sz w:val="28"/>
          <w:szCs w:val="28"/>
        </w:rPr>
        <w:t>成果转化的经济效益以及对行业技术发展和竞争能力提升作用</w:t>
      </w:r>
      <w:r>
        <w:rPr>
          <w:rFonts w:hint="eastAsia" w:eastAsia="楷体"/>
          <w:b/>
          <w:color w:val="0070C0"/>
          <w:sz w:val="28"/>
          <w:szCs w:val="28"/>
        </w:rPr>
        <w:t>：</w:t>
      </w:r>
    </w:p>
    <w:p>
      <w:pPr>
        <w:tabs>
          <w:tab w:val="left" w:pos="312"/>
        </w:tabs>
        <w:spacing w:line="560" w:lineRule="exact"/>
        <w:ind w:firstLine="560" w:firstLineChars="200"/>
        <w:rPr>
          <w:sz w:val="32"/>
          <w:szCs w:val="32"/>
        </w:rPr>
      </w:pPr>
      <w:r>
        <w:rPr>
          <w:rFonts w:eastAsia="楷体"/>
          <w:sz w:val="28"/>
          <w:szCs w:val="28"/>
        </w:rPr>
        <w:t>在国内8条、国外4条浮法玻璃生产线转化应用，累计生产功能玻璃超2.5亿平方米，在北京奥运媒体村、广州新电视塔、俄罗斯海参崴市工业大厦等国内外上万项节能建筑和光伏项目中应用。累计新增销售额约52亿元，近三年新增销售额约14.86亿元，新增利润约1.61亿元, 实现了中国“洛阳浮法”技术的一次重要提升和超越，取得重大的经济、社会和生态效益。</w:t>
      </w:r>
    </w:p>
    <w:p>
      <w:pPr>
        <w:numPr>
          <w:ilvl w:val="0"/>
          <w:numId w:val="2"/>
        </w:numPr>
        <w:spacing w:line="560" w:lineRule="exact"/>
        <w:ind w:firstLine="643" w:firstLineChars="200"/>
        <w:rPr>
          <w:sz w:val="32"/>
          <w:szCs w:val="32"/>
        </w:rPr>
      </w:pPr>
      <w:r>
        <w:rPr>
          <w:rFonts w:eastAsia="仿宋_GB2312"/>
          <w:b/>
          <w:bCs/>
          <w:sz w:val="32"/>
          <w:szCs w:val="32"/>
        </w:rPr>
        <w:t>行业服务情况</w:t>
      </w:r>
      <w:r>
        <w:rPr>
          <w:rFonts w:eastAsia="楷体"/>
          <w:sz w:val="32"/>
          <w:szCs w:val="32"/>
        </w:rPr>
        <w:t>（</w:t>
      </w:r>
      <w:r>
        <w:rPr>
          <w:rFonts w:hint="eastAsia" w:eastAsia="楷体"/>
          <w:sz w:val="32"/>
          <w:szCs w:val="32"/>
        </w:rPr>
        <w:t>本年度</w:t>
      </w:r>
      <w:r>
        <w:rPr>
          <w:rFonts w:eastAsia="楷体"/>
          <w:sz w:val="32"/>
          <w:szCs w:val="32"/>
        </w:rPr>
        <w:t>与企业的合作技术开发、提供技术咨询，为企业开展技术培训，以及参加行业协会、联盟活动情况）</w:t>
      </w:r>
    </w:p>
    <w:p>
      <w:pPr>
        <w:ind w:firstLine="560" w:firstLineChars="200"/>
        <w:rPr>
          <w:rFonts w:eastAsia="楷体"/>
          <w:sz w:val="28"/>
          <w:szCs w:val="32"/>
        </w:rPr>
      </w:pPr>
      <w:r>
        <w:rPr>
          <w:rFonts w:hint="eastAsia" w:eastAsia="楷体"/>
          <w:sz w:val="28"/>
          <w:szCs w:val="32"/>
        </w:rPr>
        <w:t>在教育部工程中心的大力支持下，中心教师积极拓展与企业的合作攻关和产品研发，有效促进了产学研一体化的发展，与宁波浙创科技有限公司建立了联合研发中心，取得了如下成果：</w:t>
      </w:r>
    </w:p>
    <w:p>
      <w:pPr>
        <w:pStyle w:val="15"/>
        <w:numPr>
          <w:ilvl w:val="0"/>
          <w:numId w:val="3"/>
        </w:numPr>
        <w:ind w:firstLineChars="0"/>
        <w:rPr>
          <w:rFonts w:eastAsia="楷体"/>
          <w:sz w:val="28"/>
          <w:szCs w:val="32"/>
        </w:rPr>
      </w:pPr>
      <w:r>
        <w:rPr>
          <w:rFonts w:hint="eastAsia" w:eastAsia="楷体"/>
          <w:sz w:val="28"/>
          <w:szCs w:val="32"/>
        </w:rPr>
        <w:t>合作开发了柔性、弹性、透明等三款3D打印光敏树脂产品，部分已向市场销售和客户推广；</w:t>
      </w:r>
    </w:p>
    <w:p>
      <w:pPr>
        <w:pStyle w:val="15"/>
        <w:numPr>
          <w:ilvl w:val="0"/>
          <w:numId w:val="3"/>
        </w:numPr>
        <w:ind w:firstLineChars="0"/>
        <w:rPr>
          <w:rFonts w:eastAsia="楷体"/>
          <w:sz w:val="28"/>
          <w:szCs w:val="32"/>
        </w:rPr>
      </w:pPr>
      <w:r>
        <w:rPr>
          <w:rFonts w:hint="eastAsia" w:eastAsia="楷体"/>
          <w:sz w:val="28"/>
          <w:szCs w:val="32"/>
        </w:rPr>
        <w:t>已为吉利汽车、公牛、方太、利时集团、瑞儿芭比、望通等几十家国内外知名企业提供技术解决方案和3D打印服务，在高端3D打印领域树立了较高的知名度，深受合作企业信赖，成为产品定制的首选；</w:t>
      </w:r>
    </w:p>
    <w:p>
      <w:pPr>
        <w:pStyle w:val="15"/>
        <w:numPr>
          <w:ilvl w:val="0"/>
          <w:numId w:val="3"/>
        </w:numPr>
        <w:spacing w:line="560" w:lineRule="exact"/>
        <w:ind w:firstLineChars="0"/>
        <w:rPr>
          <w:rFonts w:eastAsia="楷体"/>
          <w:sz w:val="28"/>
          <w:szCs w:val="32"/>
        </w:rPr>
      </w:pPr>
      <w:r>
        <w:rPr>
          <w:rFonts w:hint="eastAsia" w:eastAsia="楷体"/>
          <w:sz w:val="28"/>
          <w:szCs w:val="32"/>
        </w:rPr>
        <w:t xml:space="preserve"> 浙创公司总经理陶霖珊成功入选宁波市“3315资本引才计划”支持；</w:t>
      </w:r>
    </w:p>
    <w:p>
      <w:pPr>
        <w:pStyle w:val="15"/>
        <w:numPr>
          <w:ilvl w:val="0"/>
          <w:numId w:val="3"/>
        </w:numPr>
        <w:spacing w:line="560" w:lineRule="exact"/>
        <w:ind w:firstLineChars="0"/>
        <w:rPr>
          <w:rFonts w:eastAsia="楷体"/>
          <w:sz w:val="28"/>
          <w:szCs w:val="32"/>
        </w:rPr>
      </w:pPr>
      <w:r>
        <w:rPr>
          <w:rFonts w:hint="eastAsia" w:eastAsia="楷体"/>
          <w:sz w:val="28"/>
          <w:szCs w:val="32"/>
        </w:rPr>
        <w:t>研发中心的运行有利促进了基础科学研究与技术、产品开发的高度融合，在技术需求中解决科学问题，培养博士生1名、硕士生3名，推动了材料科学与3D打印技术与产业的发展。</w:t>
      </w:r>
    </w:p>
    <w:p>
      <w:pPr>
        <w:spacing w:line="560" w:lineRule="exact"/>
        <w:rPr>
          <w:rFonts w:eastAsia="黑体"/>
          <w:sz w:val="32"/>
          <w:szCs w:val="32"/>
        </w:rPr>
      </w:pPr>
      <w:r>
        <w:rPr>
          <w:rFonts w:hint="eastAsia" w:eastAsia="黑体"/>
          <w:sz w:val="32"/>
          <w:szCs w:val="32"/>
        </w:rPr>
        <w:t>三、</w:t>
      </w:r>
      <w:r>
        <w:rPr>
          <w:rFonts w:eastAsia="黑体"/>
          <w:sz w:val="32"/>
          <w:szCs w:val="32"/>
        </w:rPr>
        <w:t>学科发展与人才培养</w:t>
      </w:r>
    </w:p>
    <w:p>
      <w:pPr>
        <w:numPr>
          <w:ilvl w:val="0"/>
          <w:numId w:val="4"/>
        </w:numPr>
        <w:spacing w:line="560" w:lineRule="exact"/>
        <w:ind w:left="0" w:firstLine="643" w:firstLineChars="200"/>
        <w:rPr>
          <w:sz w:val="32"/>
          <w:szCs w:val="32"/>
        </w:rPr>
      </w:pPr>
      <w:r>
        <w:rPr>
          <w:rFonts w:eastAsia="仿宋_GB2312"/>
          <w:b/>
          <w:bCs/>
          <w:sz w:val="32"/>
          <w:szCs w:val="32"/>
        </w:rPr>
        <w:t>支撑学科发展情况</w:t>
      </w:r>
      <w:r>
        <w:rPr>
          <w:rFonts w:eastAsia="楷体"/>
          <w:sz w:val="32"/>
          <w:szCs w:val="32"/>
        </w:rPr>
        <w:t>（</w:t>
      </w:r>
      <w:r>
        <w:rPr>
          <w:rFonts w:hint="eastAsia" w:eastAsia="楷体"/>
          <w:sz w:val="32"/>
          <w:szCs w:val="32"/>
        </w:rPr>
        <w:t>本年度</w:t>
      </w:r>
      <w:r>
        <w:rPr>
          <w:rFonts w:eastAsia="楷体"/>
          <w:sz w:val="32"/>
          <w:szCs w:val="32"/>
        </w:rPr>
        <w:t>中心对学科建设的支撑作用以及推动学科交叉与新兴学科建设的情况，不超过1000字）</w:t>
      </w:r>
    </w:p>
    <w:p>
      <w:pPr>
        <w:tabs>
          <w:tab w:val="left" w:pos="312"/>
        </w:tabs>
        <w:spacing w:line="560" w:lineRule="exact"/>
        <w:ind w:firstLine="560" w:firstLineChars="200"/>
        <w:rPr>
          <w:rFonts w:eastAsia="楷体"/>
          <w:sz w:val="28"/>
          <w:szCs w:val="28"/>
        </w:rPr>
      </w:pPr>
      <w:r>
        <w:rPr>
          <w:rFonts w:eastAsia="楷体"/>
          <w:sz w:val="28"/>
          <w:szCs w:val="28"/>
        </w:rPr>
        <w:t>中心以产业需求为导向，以重大工程技术创新为核心，以依托学科和相关学科的技术为基础，凝练会聚研究方向，巩固基础研究优势，重点开展了材料微结构、硅材料、建筑节能环保材料、复合材料等科学研究，突破了硅材料、建筑节能、复合材料等工程应用技术，为服务国家重大需求和地方经济发展做出了</w:t>
      </w:r>
      <w:r>
        <w:rPr>
          <w:rFonts w:hint="eastAsia" w:eastAsia="楷体"/>
          <w:sz w:val="28"/>
          <w:szCs w:val="28"/>
        </w:rPr>
        <w:t>重要</w:t>
      </w:r>
      <w:r>
        <w:rPr>
          <w:rFonts w:eastAsia="楷体"/>
          <w:sz w:val="28"/>
          <w:szCs w:val="28"/>
        </w:rPr>
        <w:t>贡献，</w:t>
      </w:r>
      <w:r>
        <w:rPr>
          <w:rFonts w:eastAsia="楷体"/>
          <w:b/>
          <w:color w:val="C00000"/>
          <w:sz w:val="28"/>
          <w:szCs w:val="28"/>
        </w:rPr>
        <w:t>获</w:t>
      </w:r>
      <w:r>
        <w:rPr>
          <w:rFonts w:hint="eastAsia" w:eastAsia="楷体"/>
          <w:b/>
          <w:color w:val="C00000"/>
          <w:sz w:val="28"/>
          <w:szCs w:val="28"/>
        </w:rPr>
        <w:t>2020年</w:t>
      </w:r>
      <w:r>
        <w:rPr>
          <w:rFonts w:eastAsia="楷体"/>
          <w:b/>
          <w:color w:val="C00000"/>
          <w:sz w:val="28"/>
          <w:szCs w:val="28"/>
        </w:rPr>
        <w:t>国家技术发明二等奖</w:t>
      </w:r>
      <w:r>
        <w:rPr>
          <w:rFonts w:hint="eastAsia" w:eastAsia="楷体"/>
          <w:b/>
          <w:color w:val="C00000"/>
          <w:sz w:val="28"/>
          <w:szCs w:val="28"/>
        </w:rPr>
        <w:t>1</w:t>
      </w:r>
      <w:r>
        <w:rPr>
          <w:rFonts w:eastAsia="楷体"/>
          <w:b/>
          <w:color w:val="C00000"/>
          <w:sz w:val="28"/>
          <w:szCs w:val="28"/>
        </w:rPr>
        <w:t>项</w:t>
      </w:r>
      <w:r>
        <w:rPr>
          <w:rFonts w:hint="eastAsia" w:eastAsia="楷体"/>
          <w:b/>
          <w:color w:val="C00000"/>
          <w:sz w:val="28"/>
          <w:szCs w:val="28"/>
        </w:rPr>
        <w:t>（已公示）</w:t>
      </w:r>
      <w:r>
        <w:rPr>
          <w:rFonts w:eastAsia="楷体"/>
          <w:b/>
          <w:color w:val="C00000"/>
          <w:sz w:val="28"/>
          <w:szCs w:val="28"/>
        </w:rPr>
        <w:t>、</w:t>
      </w:r>
      <w:r>
        <w:rPr>
          <w:rFonts w:hint="eastAsia" w:eastAsia="楷体"/>
          <w:b/>
          <w:color w:val="C00000"/>
          <w:sz w:val="28"/>
          <w:szCs w:val="28"/>
        </w:rPr>
        <w:t>浙江省科技进步二等奖</w:t>
      </w:r>
      <w:r>
        <w:rPr>
          <w:rFonts w:eastAsia="楷体"/>
          <w:b/>
          <w:color w:val="C00000"/>
          <w:sz w:val="28"/>
          <w:szCs w:val="28"/>
        </w:rPr>
        <w:t>1项。</w:t>
      </w:r>
      <w:r>
        <w:rPr>
          <w:rFonts w:hint="eastAsia" w:eastAsia="楷体"/>
          <w:sz w:val="28"/>
          <w:szCs w:val="28"/>
        </w:rPr>
        <w:t>同时，中心</w:t>
      </w:r>
      <w:r>
        <w:rPr>
          <w:rFonts w:eastAsia="楷体"/>
          <w:sz w:val="28"/>
          <w:szCs w:val="28"/>
        </w:rPr>
        <w:t>推进高品质学术交流平台，增强了与顶尖高校及著名科学家交流协作，夯实了国际合作发展格局</w:t>
      </w:r>
      <w:r>
        <w:rPr>
          <w:rFonts w:hint="eastAsia" w:eastAsia="楷体"/>
          <w:sz w:val="28"/>
          <w:szCs w:val="28"/>
        </w:rPr>
        <w:t>，与麻省理工、宾夕法尼亚大学</w:t>
      </w:r>
      <w:r>
        <w:rPr>
          <w:rFonts w:eastAsia="楷体"/>
          <w:sz w:val="28"/>
          <w:szCs w:val="28"/>
        </w:rPr>
        <w:t>等顶尖名校开展平等交流。</w:t>
      </w:r>
      <w:r>
        <w:rPr>
          <w:rFonts w:hint="eastAsia" w:eastAsia="楷体"/>
          <w:sz w:val="28"/>
          <w:szCs w:val="28"/>
        </w:rPr>
        <w:t>这些进展很好地促进了浙江大学材料</w:t>
      </w:r>
      <w:r>
        <w:rPr>
          <w:rFonts w:eastAsia="楷体"/>
          <w:sz w:val="28"/>
          <w:szCs w:val="28"/>
        </w:rPr>
        <w:t>学科</w:t>
      </w:r>
      <w:r>
        <w:rPr>
          <w:rFonts w:hint="eastAsia" w:eastAsia="楷体"/>
          <w:sz w:val="28"/>
          <w:szCs w:val="28"/>
        </w:rPr>
        <w:t>的高质量发展，提升了材料学科的国内外学术影响力和工程技术应用水平，为相关企业的转型升级与快速发展提供了强有力的人才与技术支持。</w:t>
      </w:r>
    </w:p>
    <w:p>
      <w:pPr>
        <w:numPr>
          <w:ilvl w:val="0"/>
          <w:numId w:val="4"/>
        </w:numPr>
        <w:spacing w:line="560" w:lineRule="exact"/>
        <w:ind w:left="0" w:firstLine="643" w:firstLineChars="200"/>
        <w:rPr>
          <w:sz w:val="32"/>
          <w:szCs w:val="32"/>
        </w:rPr>
      </w:pPr>
      <w:r>
        <w:rPr>
          <w:rFonts w:eastAsia="仿宋_GB2312"/>
          <w:b/>
          <w:bCs/>
          <w:sz w:val="32"/>
          <w:szCs w:val="32"/>
        </w:rPr>
        <w:t>人才培养情况</w:t>
      </w:r>
      <w:r>
        <w:rPr>
          <w:rFonts w:eastAsia="楷体"/>
          <w:sz w:val="32"/>
          <w:szCs w:val="32"/>
        </w:rPr>
        <w:t>（</w:t>
      </w:r>
      <w:r>
        <w:rPr>
          <w:rFonts w:hint="eastAsia" w:eastAsia="楷体"/>
          <w:sz w:val="32"/>
          <w:szCs w:val="32"/>
        </w:rPr>
        <w:t>本年度中心</w:t>
      </w:r>
      <w:r>
        <w:rPr>
          <w:rFonts w:eastAsia="楷体"/>
          <w:sz w:val="32"/>
          <w:szCs w:val="32"/>
        </w:rPr>
        <w:t>人才培养总体情况、研究生代表性成果、与国内外科研机构和行业企业开展联合培养情况，不超过1000字）</w:t>
      </w:r>
    </w:p>
    <w:p>
      <w:pPr>
        <w:spacing w:line="360" w:lineRule="auto"/>
        <w:ind w:firstLine="560" w:firstLineChars="200"/>
        <w:rPr>
          <w:rFonts w:eastAsia="楷体"/>
          <w:sz w:val="28"/>
        </w:rPr>
      </w:pPr>
      <w:r>
        <w:rPr>
          <w:rFonts w:eastAsia="楷体"/>
          <w:sz w:val="28"/>
        </w:rPr>
        <w:t>中心现有57名</w:t>
      </w:r>
      <w:r>
        <w:rPr>
          <w:rFonts w:hint="eastAsia" w:eastAsia="楷体"/>
          <w:sz w:val="28"/>
        </w:rPr>
        <w:t>固定</w:t>
      </w:r>
      <w:r>
        <w:rPr>
          <w:rFonts w:eastAsia="楷体"/>
          <w:sz w:val="28"/>
        </w:rPr>
        <w:t>研究人员, 其中36人为高级职称、具有博士学位者36人。中心现有中国科学院院士1人、</w:t>
      </w:r>
      <w:r>
        <w:rPr>
          <w:rFonts w:hint="eastAsia" w:eastAsia="楷体"/>
          <w:sz w:val="28"/>
        </w:rPr>
        <w:t>浙江省特级专家2名、</w:t>
      </w:r>
      <w:r>
        <w:rPr>
          <w:rFonts w:eastAsia="楷体"/>
          <w:sz w:val="28"/>
        </w:rPr>
        <w:t>教育部长江学者特聘教授2名，国家杰青</w:t>
      </w:r>
      <w:r>
        <w:rPr>
          <w:rFonts w:hint="eastAsia" w:eastAsia="楷体"/>
          <w:sz w:val="28"/>
        </w:rPr>
        <w:t>2</w:t>
      </w:r>
      <w:r>
        <w:rPr>
          <w:rFonts w:eastAsia="楷体"/>
          <w:sz w:val="28"/>
        </w:rPr>
        <w:t>人，</w:t>
      </w:r>
      <w:r>
        <w:rPr>
          <w:rFonts w:hint="eastAsia" w:eastAsia="楷体"/>
          <w:sz w:val="28"/>
        </w:rPr>
        <w:t>浙大求是特聘教授4人。</w:t>
      </w:r>
    </w:p>
    <w:p>
      <w:pPr>
        <w:spacing w:line="360" w:lineRule="auto"/>
        <w:ind w:firstLine="562" w:firstLineChars="200"/>
        <w:rPr>
          <w:rFonts w:eastAsia="楷体"/>
          <w:b/>
          <w:color w:val="C00000"/>
          <w:sz w:val="28"/>
        </w:rPr>
      </w:pPr>
      <w:r>
        <w:rPr>
          <w:rFonts w:eastAsia="楷体"/>
          <w:b/>
          <w:color w:val="C00000"/>
          <w:sz w:val="28"/>
        </w:rPr>
        <w:t>20</w:t>
      </w:r>
      <w:r>
        <w:rPr>
          <w:rFonts w:hint="eastAsia" w:eastAsia="楷体"/>
          <w:b/>
          <w:color w:val="C00000"/>
          <w:sz w:val="28"/>
        </w:rPr>
        <w:t>20</w:t>
      </w:r>
      <w:r>
        <w:rPr>
          <w:rFonts w:eastAsia="楷体"/>
          <w:b/>
          <w:color w:val="C00000"/>
          <w:sz w:val="28"/>
        </w:rPr>
        <w:t>年度，</w:t>
      </w:r>
      <w:r>
        <w:rPr>
          <w:rFonts w:hint="eastAsia" w:eastAsia="楷体"/>
          <w:b/>
          <w:color w:val="C00000"/>
          <w:sz w:val="28"/>
        </w:rPr>
        <w:t>新入选浙江省特级专家2名（韩高荣教授、钱国栋教授）；崔元靖教授、余学功教授获得国家基金委杰青项目资助，任召辉副教授获得浙江省基金委杰青项目资助、张启龙副教授晋升正教授。</w:t>
      </w:r>
    </w:p>
    <w:p>
      <w:pPr>
        <w:spacing w:line="360" w:lineRule="auto"/>
        <w:ind w:firstLine="560" w:firstLineChars="200"/>
        <w:rPr>
          <w:rFonts w:eastAsia="楷体"/>
          <w:sz w:val="28"/>
        </w:rPr>
      </w:pPr>
      <w:r>
        <w:rPr>
          <w:rFonts w:eastAsia="楷体"/>
          <w:sz w:val="28"/>
        </w:rPr>
        <w:t>20</w:t>
      </w:r>
      <w:r>
        <w:rPr>
          <w:rFonts w:hint="eastAsia" w:eastAsia="楷体"/>
          <w:sz w:val="28"/>
        </w:rPr>
        <w:t>20</w:t>
      </w:r>
      <w:r>
        <w:rPr>
          <w:rFonts w:eastAsia="楷体"/>
          <w:sz w:val="28"/>
        </w:rPr>
        <w:t>年度，中心毕业博士生</w:t>
      </w:r>
      <w:r>
        <w:rPr>
          <w:rFonts w:hint="eastAsia" w:eastAsia="楷体"/>
          <w:sz w:val="28"/>
        </w:rPr>
        <w:t>25</w:t>
      </w:r>
      <w:r>
        <w:rPr>
          <w:rFonts w:eastAsia="楷体"/>
          <w:sz w:val="28"/>
        </w:rPr>
        <w:t>人、硕士生</w:t>
      </w:r>
      <w:r>
        <w:rPr>
          <w:rFonts w:hint="eastAsia" w:eastAsia="楷体"/>
          <w:sz w:val="28"/>
        </w:rPr>
        <w:t>36</w:t>
      </w:r>
      <w:r>
        <w:rPr>
          <w:rFonts w:eastAsia="楷体"/>
          <w:sz w:val="28"/>
        </w:rPr>
        <w:t>人。目前，工程中心队伍状态稳定，人才</w:t>
      </w:r>
      <w:r>
        <w:rPr>
          <w:rFonts w:hint="eastAsia" w:eastAsia="楷体"/>
          <w:sz w:val="28"/>
        </w:rPr>
        <w:t>培养成绩突出</w:t>
      </w:r>
      <w:r>
        <w:rPr>
          <w:rFonts w:eastAsia="楷体"/>
          <w:sz w:val="28"/>
        </w:rPr>
        <w:t>。</w:t>
      </w:r>
    </w:p>
    <w:p>
      <w:pPr>
        <w:pStyle w:val="15"/>
        <w:numPr>
          <w:ilvl w:val="0"/>
          <w:numId w:val="4"/>
        </w:numPr>
        <w:spacing w:line="440" w:lineRule="exact"/>
        <w:ind w:firstLineChars="0"/>
        <w:jc w:val="left"/>
        <w:rPr>
          <w:sz w:val="32"/>
          <w:szCs w:val="32"/>
        </w:rPr>
      </w:pPr>
      <w:r>
        <w:rPr>
          <w:rFonts w:eastAsia="仿宋_GB2312"/>
          <w:b/>
          <w:bCs/>
          <w:sz w:val="32"/>
          <w:szCs w:val="32"/>
        </w:rPr>
        <w:t>研究队伍建设情况</w:t>
      </w:r>
      <w:r>
        <w:rPr>
          <w:rFonts w:eastAsia="楷体"/>
          <w:sz w:val="32"/>
          <w:szCs w:val="32"/>
        </w:rPr>
        <w:t>（本年度</w:t>
      </w:r>
      <w:r>
        <w:rPr>
          <w:rFonts w:hint="eastAsia" w:eastAsia="楷体"/>
          <w:sz w:val="32"/>
          <w:szCs w:val="32"/>
        </w:rPr>
        <w:t>中心</w:t>
      </w:r>
      <w:r>
        <w:rPr>
          <w:rFonts w:eastAsia="楷体"/>
          <w:sz w:val="32"/>
          <w:szCs w:val="32"/>
        </w:rPr>
        <w:t>人才引进情况，40岁以下中青年教师培养、成长情况，不超过1000字）</w:t>
      </w:r>
    </w:p>
    <w:p>
      <w:pPr>
        <w:pStyle w:val="15"/>
        <w:tabs>
          <w:tab w:val="left" w:pos="312"/>
        </w:tabs>
        <w:spacing w:line="440" w:lineRule="exact"/>
        <w:ind w:left="640" w:firstLine="0" w:firstLineChars="0"/>
        <w:rPr>
          <w:rFonts w:eastAsia="楷体"/>
          <w:sz w:val="28"/>
        </w:rPr>
      </w:pPr>
      <w:r>
        <w:rPr>
          <w:rFonts w:hint="eastAsia" w:eastAsia="楷体"/>
          <w:sz w:val="28"/>
        </w:rPr>
        <w:t>引进特聘副研究员1名（应杭君）、专职科研人员2名（李跃、吴春春）。</w:t>
      </w:r>
    </w:p>
    <w:p>
      <w:pPr>
        <w:spacing w:line="560" w:lineRule="exact"/>
        <w:rPr>
          <w:rFonts w:eastAsia="黑体"/>
          <w:sz w:val="32"/>
          <w:szCs w:val="32"/>
        </w:rPr>
      </w:pPr>
      <w:r>
        <w:rPr>
          <w:rFonts w:hint="eastAsia" w:ascii="黑体" w:hAnsi="黑体" w:eastAsia="黑体" w:cs="黑体"/>
          <w:sz w:val="32"/>
          <w:szCs w:val="32"/>
          <w:highlight w:val="lightGray"/>
        </w:rPr>
        <w:t>四、</w:t>
      </w:r>
      <w:r>
        <w:rPr>
          <w:rFonts w:eastAsia="黑体"/>
          <w:sz w:val="32"/>
          <w:szCs w:val="32"/>
        </w:rPr>
        <w:t>开放与运行管理</w:t>
      </w:r>
    </w:p>
    <w:p>
      <w:pPr>
        <w:numPr>
          <w:ilvl w:val="0"/>
          <w:numId w:val="5"/>
        </w:numPr>
        <w:spacing w:line="560" w:lineRule="exact"/>
        <w:ind w:left="0" w:firstLine="643" w:firstLineChars="200"/>
        <w:rPr>
          <w:sz w:val="32"/>
          <w:szCs w:val="32"/>
        </w:rPr>
      </w:pPr>
      <w:r>
        <w:rPr>
          <w:rFonts w:eastAsia="仿宋_GB2312"/>
          <w:b/>
          <w:bCs/>
          <w:sz w:val="32"/>
          <w:szCs w:val="32"/>
        </w:rPr>
        <w:t>主管部门、依托单位支持情况</w:t>
      </w:r>
      <w:r>
        <w:rPr>
          <w:rFonts w:eastAsia="楷体"/>
          <w:sz w:val="32"/>
          <w:szCs w:val="32"/>
        </w:rPr>
        <w:t>（主管部门和依托单位</w:t>
      </w:r>
      <w:r>
        <w:rPr>
          <w:rFonts w:hint="eastAsia" w:eastAsia="楷体"/>
          <w:sz w:val="32"/>
          <w:szCs w:val="32"/>
        </w:rPr>
        <w:t>本年度</w:t>
      </w:r>
      <w:r>
        <w:rPr>
          <w:rFonts w:eastAsia="楷体"/>
          <w:sz w:val="32"/>
          <w:szCs w:val="32"/>
        </w:rPr>
        <w:t>为中心提供建设和运行经费、科研场所和仪器设备等条件保障情况，在学科建设、人才引进、研究生招生名额等方面给予优先支持的情况，不超过1000字）</w:t>
      </w:r>
    </w:p>
    <w:p>
      <w:pPr>
        <w:spacing w:line="560" w:lineRule="exact"/>
        <w:ind w:firstLine="560" w:firstLineChars="200"/>
        <w:rPr>
          <w:rFonts w:eastAsia="楷体"/>
          <w:sz w:val="28"/>
          <w:szCs w:val="32"/>
        </w:rPr>
      </w:pPr>
      <w:r>
        <w:rPr>
          <w:rFonts w:eastAsia="楷体"/>
          <w:sz w:val="28"/>
          <w:szCs w:val="32"/>
        </w:rPr>
        <w:t>中心依托单位浙江大学，为中心在各方面提供了强有力的支持。浙江大学制定了一系列的科研基地管理办法，包括指导意见、管理细则、分类考核制度等，规范各类科研基地的日程运行管理。此外，浙江大学还出台了《浙江大学公用房管理办法》(浙大发房〔2014〕14号)等政策，为各类科研基地的科研场所提供保障；出台了《浙江大学博士研究生招生指标分配方案(试行)》(浙大研院〔2014〕25号)等政策，为科研基地高层次人才的招生名额给予支持；出台了《浙江大学仪器设备资产管理办法》(浙大发设〔2015〕1号)等政策，给予实验室开放共享好的大型仪器设备维修费补助。在学校政策的基础上，中心也出台了自己的系列管理文件，在日常运行中严格执行相关规定。</w:t>
      </w:r>
    </w:p>
    <w:p>
      <w:pPr>
        <w:spacing w:line="560" w:lineRule="exact"/>
        <w:ind w:firstLine="560" w:firstLineChars="200"/>
        <w:rPr>
          <w:rFonts w:eastAsia="楷体"/>
          <w:sz w:val="28"/>
          <w:szCs w:val="32"/>
        </w:rPr>
      </w:pPr>
      <w:r>
        <w:rPr>
          <w:rFonts w:eastAsia="楷体"/>
          <w:sz w:val="28"/>
          <w:szCs w:val="32"/>
        </w:rPr>
        <w:t>2</w:t>
      </w:r>
      <w:r>
        <w:rPr>
          <w:rFonts w:hint="eastAsia" w:eastAsia="楷体"/>
          <w:sz w:val="28"/>
          <w:szCs w:val="32"/>
        </w:rPr>
        <w:t>020</w:t>
      </w:r>
      <w:r>
        <w:rPr>
          <w:rFonts w:eastAsia="楷体"/>
          <w:sz w:val="28"/>
          <w:szCs w:val="32"/>
        </w:rPr>
        <w:t>年度，依托单位浙江大学为中心提供相对集中的科研场所3800</w:t>
      </w:r>
      <w:r>
        <w:rPr>
          <w:rFonts w:hint="eastAsia" w:eastAsia="楷体"/>
          <w:sz w:val="28"/>
          <w:szCs w:val="32"/>
        </w:rPr>
        <w:t>平米</w:t>
      </w:r>
      <w:r>
        <w:rPr>
          <w:rFonts w:eastAsia="楷体"/>
          <w:sz w:val="28"/>
          <w:szCs w:val="32"/>
        </w:rPr>
        <w:t>。同时，每年安排专项经费支持中心日常运行，用于材料购置、学术交流等。在人才引进方面，浙江大学也提供了优越的薪资待遇、住房保障等，吸引青年才俊加盟。本年度中心依托浙江大学在读硕士研究生</w:t>
      </w:r>
      <w:r>
        <w:rPr>
          <w:rFonts w:hint="eastAsia" w:eastAsia="楷体"/>
          <w:sz w:val="28"/>
          <w:szCs w:val="32"/>
        </w:rPr>
        <w:t xml:space="preserve"> 94</w:t>
      </w:r>
      <w:r>
        <w:rPr>
          <w:rFonts w:eastAsia="楷体"/>
          <w:sz w:val="28"/>
          <w:szCs w:val="32"/>
        </w:rPr>
        <w:t>名，博士研究生</w:t>
      </w:r>
      <w:r>
        <w:rPr>
          <w:rFonts w:hint="eastAsia" w:eastAsia="楷体"/>
          <w:sz w:val="28"/>
          <w:szCs w:val="32"/>
        </w:rPr>
        <w:t>50</w:t>
      </w:r>
      <w:r>
        <w:rPr>
          <w:rFonts w:eastAsia="楷体"/>
          <w:sz w:val="28"/>
          <w:szCs w:val="32"/>
        </w:rPr>
        <w:t>名。同时，通过校内科研、人才计划，给与中心年轻教师专项经费支持。中心还注重开放交流，与</w:t>
      </w:r>
      <w:r>
        <w:rPr>
          <w:rFonts w:hint="eastAsia" w:eastAsia="楷体"/>
          <w:sz w:val="28"/>
          <w:szCs w:val="32"/>
        </w:rPr>
        <w:t>国内外顶尖科研院所、重点单晶硅以及功能玻璃、绿色建材、3D打印等</w:t>
      </w:r>
      <w:r>
        <w:rPr>
          <w:rFonts w:eastAsia="楷体"/>
          <w:sz w:val="28"/>
          <w:szCs w:val="32"/>
        </w:rPr>
        <w:t>相关</w:t>
      </w:r>
      <w:r>
        <w:rPr>
          <w:rFonts w:hint="eastAsia" w:eastAsia="楷体"/>
          <w:sz w:val="28"/>
          <w:szCs w:val="32"/>
        </w:rPr>
        <w:t>企业</w:t>
      </w:r>
      <w:r>
        <w:rPr>
          <w:rFonts w:eastAsia="楷体"/>
          <w:sz w:val="28"/>
          <w:szCs w:val="32"/>
        </w:rPr>
        <w:t>均有合作交流，同时也为合作交流的临时人员提供了工作场地和科研仪器等工作条件。</w:t>
      </w:r>
    </w:p>
    <w:p>
      <w:pPr>
        <w:numPr>
          <w:ilvl w:val="0"/>
          <w:numId w:val="5"/>
        </w:numPr>
        <w:spacing w:line="560" w:lineRule="exact"/>
        <w:ind w:left="0" w:firstLine="643" w:firstLineChars="200"/>
        <w:rPr>
          <w:sz w:val="32"/>
          <w:szCs w:val="32"/>
        </w:rPr>
      </w:pPr>
      <w:r>
        <w:rPr>
          <w:rFonts w:eastAsia="仿宋_GB2312"/>
          <w:b/>
          <w:bCs/>
          <w:sz w:val="32"/>
          <w:szCs w:val="32"/>
        </w:rPr>
        <w:t>仪器设备开放共享情况</w:t>
      </w:r>
      <w:r>
        <w:rPr>
          <w:rFonts w:eastAsia="楷体"/>
          <w:sz w:val="32"/>
          <w:szCs w:val="32"/>
        </w:rPr>
        <w:t>（本年度中心30万以上大型仪器设备的使用、开放共享情况，研制新设备和升级改造旧设备等方面的情况）</w:t>
      </w:r>
    </w:p>
    <w:p>
      <w:pPr>
        <w:autoSpaceDE w:val="0"/>
        <w:autoSpaceDN w:val="0"/>
        <w:adjustRightInd w:val="0"/>
        <w:spacing w:line="360" w:lineRule="auto"/>
        <w:ind w:right="122" w:rightChars="58" w:firstLine="560" w:firstLineChars="200"/>
        <w:rPr>
          <w:rFonts w:eastAsia="楷体"/>
          <w:sz w:val="28"/>
        </w:rPr>
      </w:pPr>
      <w:r>
        <w:rPr>
          <w:rFonts w:eastAsia="楷体"/>
          <w:sz w:val="28"/>
        </w:rPr>
        <w:t>20</w:t>
      </w:r>
      <w:r>
        <w:rPr>
          <w:rFonts w:hint="eastAsia" w:eastAsia="楷体"/>
          <w:sz w:val="28"/>
        </w:rPr>
        <w:t>20</w:t>
      </w:r>
      <w:r>
        <w:rPr>
          <w:rFonts w:eastAsia="楷体"/>
          <w:sz w:val="28"/>
        </w:rPr>
        <w:t>年，工程中心相关实验室继续采取积极措施提高仪器的使用效率，除少数专用设备外，大部分的仪器设备已纳入浙江大学、杭州市以及浙江省的共享管理平台。本年度对仪器管理操作人员的职责提出了相应的更高要求，各共享的仪器设备分别制定针了对不同使用者的各种优惠政策，提高了机时率，吸引了不少</w:t>
      </w:r>
      <w:r>
        <w:rPr>
          <w:rFonts w:hint="eastAsia" w:eastAsia="楷体"/>
          <w:sz w:val="28"/>
        </w:rPr>
        <w:t>国内外</w:t>
      </w:r>
      <w:r>
        <w:rPr>
          <w:rFonts w:eastAsia="楷体"/>
          <w:sz w:val="28"/>
        </w:rPr>
        <w:t>学者前来合作使用，这对提高</w:t>
      </w:r>
      <w:r>
        <w:rPr>
          <w:rFonts w:hint="eastAsia" w:eastAsia="楷体"/>
          <w:sz w:val="28"/>
        </w:rPr>
        <w:t>中心</w:t>
      </w:r>
      <w:r>
        <w:rPr>
          <w:rFonts w:eastAsia="楷体"/>
          <w:sz w:val="28"/>
        </w:rPr>
        <w:t>的学术水平和影响起到了一定的积极作用。</w:t>
      </w:r>
      <w:r>
        <w:rPr>
          <w:rFonts w:hint="eastAsia" w:eastAsia="楷体"/>
          <w:sz w:val="28"/>
        </w:rPr>
        <w:t>56台套大型仪器</w:t>
      </w:r>
      <w:r>
        <w:rPr>
          <w:rFonts w:eastAsia="楷体"/>
          <w:sz w:val="28"/>
        </w:rPr>
        <w:t>设备的使用率一般在</w:t>
      </w:r>
      <w:r>
        <w:rPr>
          <w:rFonts w:hint="eastAsia" w:eastAsia="楷体"/>
          <w:sz w:val="28"/>
        </w:rPr>
        <w:t>60~</w:t>
      </w:r>
      <w:r>
        <w:rPr>
          <w:rFonts w:eastAsia="楷体"/>
          <w:sz w:val="28"/>
        </w:rPr>
        <w:t>70%以上，</w:t>
      </w:r>
      <w:r>
        <w:rPr>
          <w:rFonts w:hint="eastAsia" w:eastAsia="楷体"/>
          <w:sz w:val="28"/>
        </w:rPr>
        <w:t xml:space="preserve">XRD、 </w:t>
      </w:r>
      <w:r>
        <w:rPr>
          <w:rFonts w:eastAsia="楷体"/>
          <w:sz w:val="28"/>
        </w:rPr>
        <w:t>SEM、XPS等多台仪器的使用率继续保持超高的服务机时，其中SEM的开机时数高达2</w:t>
      </w:r>
      <w:r>
        <w:rPr>
          <w:rFonts w:hint="eastAsia" w:eastAsia="楷体"/>
          <w:sz w:val="28"/>
        </w:rPr>
        <w:t>400</w:t>
      </w:r>
      <w:r>
        <w:rPr>
          <w:rFonts w:eastAsia="楷体"/>
          <w:sz w:val="28"/>
        </w:rPr>
        <w:t>个小时</w:t>
      </w:r>
      <w:r>
        <w:rPr>
          <w:rFonts w:hint="eastAsia" w:eastAsia="楷体"/>
          <w:sz w:val="28"/>
        </w:rPr>
        <w:t>以上</w:t>
      </w:r>
      <w:r>
        <w:rPr>
          <w:rFonts w:eastAsia="楷体"/>
          <w:sz w:val="28"/>
        </w:rPr>
        <w:t>，测试样品1</w:t>
      </w:r>
      <w:r>
        <w:rPr>
          <w:rFonts w:hint="eastAsia" w:eastAsia="楷体"/>
          <w:sz w:val="28"/>
        </w:rPr>
        <w:t>3200</w:t>
      </w:r>
      <w:r>
        <w:rPr>
          <w:rFonts w:eastAsia="楷体"/>
          <w:sz w:val="28"/>
        </w:rPr>
        <w:t>个。公共平台设备的运行总体状况良好。</w:t>
      </w:r>
    </w:p>
    <w:p>
      <w:pPr>
        <w:numPr>
          <w:ilvl w:val="0"/>
          <w:numId w:val="5"/>
        </w:numPr>
        <w:spacing w:line="560" w:lineRule="exact"/>
        <w:ind w:left="0" w:firstLine="643" w:firstLineChars="200"/>
        <w:rPr>
          <w:sz w:val="32"/>
          <w:szCs w:val="32"/>
        </w:rPr>
      </w:pPr>
      <w:r>
        <w:rPr>
          <w:rFonts w:eastAsia="仿宋_GB2312"/>
          <w:b/>
          <w:bCs/>
          <w:sz w:val="32"/>
          <w:szCs w:val="32"/>
        </w:rPr>
        <w:t>学风建设情况</w:t>
      </w:r>
      <w:r>
        <w:rPr>
          <w:rFonts w:eastAsia="楷体"/>
          <w:sz w:val="32"/>
          <w:szCs w:val="32"/>
        </w:rPr>
        <w:t>（</w:t>
      </w:r>
      <w:r>
        <w:rPr>
          <w:rFonts w:hint="eastAsia" w:eastAsia="楷体"/>
          <w:sz w:val="32"/>
          <w:szCs w:val="32"/>
        </w:rPr>
        <w:t>本年度</w:t>
      </w:r>
      <w:r>
        <w:rPr>
          <w:rFonts w:eastAsia="楷体"/>
          <w:sz w:val="32"/>
          <w:szCs w:val="32"/>
        </w:rPr>
        <w:t>中心加强学风建设的举措和成果，含讲座等情况）</w:t>
      </w:r>
    </w:p>
    <w:p>
      <w:pPr>
        <w:spacing w:line="560" w:lineRule="exact"/>
        <w:ind w:firstLine="560" w:firstLineChars="200"/>
        <w:rPr>
          <w:rFonts w:eastAsia="楷体"/>
          <w:sz w:val="28"/>
          <w:szCs w:val="28"/>
        </w:rPr>
      </w:pPr>
      <w:r>
        <w:rPr>
          <w:rFonts w:hint="eastAsia" w:eastAsia="楷体"/>
          <w:sz w:val="28"/>
          <w:szCs w:val="28"/>
        </w:rPr>
        <w:t>表面与结构改性无机功能材料教育部工程研究中心的老师和同学积极深入学习</w:t>
      </w:r>
      <w:r>
        <w:rPr>
          <w:rFonts w:eastAsia="楷体"/>
          <w:sz w:val="28"/>
          <w:szCs w:val="28"/>
        </w:rPr>
        <w:t>习近平</w:t>
      </w:r>
      <w:r>
        <w:rPr>
          <w:rFonts w:hint="eastAsia" w:eastAsia="楷体"/>
          <w:sz w:val="28"/>
          <w:szCs w:val="28"/>
        </w:rPr>
        <w:t>总书记2020年9月11日在科学家座谈会上的讲话精神，</w:t>
      </w:r>
      <w:r>
        <w:rPr>
          <w:rFonts w:eastAsia="楷体"/>
          <w:sz w:val="28"/>
          <w:szCs w:val="28"/>
        </w:rPr>
        <w:t>坚持需求导向和问题导向</w:t>
      </w:r>
      <w:r>
        <w:rPr>
          <w:rFonts w:hint="eastAsia" w:eastAsia="楷体"/>
          <w:sz w:val="28"/>
          <w:szCs w:val="28"/>
        </w:rPr>
        <w:t>，</w:t>
      </w:r>
      <w:r>
        <w:rPr>
          <w:rFonts w:eastAsia="楷体"/>
          <w:sz w:val="28"/>
          <w:szCs w:val="28"/>
        </w:rPr>
        <w:t>从国家急迫需要和长远需求出发</w:t>
      </w:r>
      <w:r>
        <w:rPr>
          <w:rFonts w:hint="eastAsia" w:eastAsia="楷体"/>
          <w:sz w:val="28"/>
          <w:szCs w:val="28"/>
        </w:rPr>
        <w:t>，选择</w:t>
      </w:r>
      <w:r>
        <w:rPr>
          <w:rFonts w:eastAsia="楷体"/>
          <w:sz w:val="28"/>
          <w:szCs w:val="28"/>
        </w:rPr>
        <w:t>制约</w:t>
      </w:r>
      <w:r>
        <w:rPr>
          <w:rFonts w:hint="eastAsia" w:eastAsia="楷体"/>
          <w:sz w:val="28"/>
          <w:szCs w:val="28"/>
        </w:rPr>
        <w:t>功能材料</w:t>
      </w:r>
      <w:r>
        <w:rPr>
          <w:rFonts w:eastAsia="楷体"/>
          <w:sz w:val="28"/>
          <w:szCs w:val="28"/>
        </w:rPr>
        <w:t>发展的关键问题</w:t>
      </w:r>
      <w:r>
        <w:rPr>
          <w:rFonts w:hint="eastAsia" w:eastAsia="楷体"/>
          <w:sz w:val="28"/>
          <w:szCs w:val="28"/>
        </w:rPr>
        <w:t>开展科研攻关工作，扎实推进学风建设。定期进行党支部学习活动，结合资料学习与实地参观考察等方式，中心人员打牢基础研究、发挥专业特色，促进技术转化，紧密围绕国家与相关企业的需求开展工作，为社会和企业发展提供了强有力人力和技术支持。</w:t>
      </w:r>
    </w:p>
    <w:p>
      <w:pPr>
        <w:numPr>
          <w:ilvl w:val="0"/>
          <w:numId w:val="5"/>
        </w:numPr>
        <w:spacing w:line="560" w:lineRule="exact"/>
        <w:ind w:left="0" w:firstLine="643" w:firstLineChars="200"/>
        <w:rPr>
          <w:sz w:val="32"/>
          <w:szCs w:val="32"/>
        </w:rPr>
      </w:pPr>
      <w:r>
        <w:rPr>
          <w:rFonts w:eastAsia="仿宋_GB2312"/>
          <w:b/>
          <w:bCs/>
          <w:sz w:val="32"/>
          <w:szCs w:val="32"/>
        </w:rPr>
        <w:t>技术委员会工作情况</w:t>
      </w:r>
      <w:r>
        <w:rPr>
          <w:rFonts w:eastAsia="楷体"/>
          <w:sz w:val="32"/>
          <w:szCs w:val="32"/>
        </w:rPr>
        <w:t>（本年度召开技术委员会情况</w:t>
      </w:r>
      <w:r>
        <w:rPr>
          <w:rFonts w:hint="eastAsia" w:eastAsia="楷体"/>
          <w:sz w:val="32"/>
          <w:szCs w:val="32"/>
        </w:rPr>
        <w:t>）</w:t>
      </w:r>
    </w:p>
    <w:p>
      <w:pPr>
        <w:spacing w:line="560" w:lineRule="exact"/>
        <w:ind w:firstLine="560" w:firstLineChars="200"/>
        <w:jc w:val="center"/>
        <w:rPr>
          <w:rFonts w:eastAsia="楷体"/>
          <w:bCs/>
          <w:sz w:val="28"/>
          <w:szCs w:val="32"/>
        </w:rPr>
      </w:pPr>
      <w:r>
        <w:rPr>
          <w:rFonts w:hint="eastAsia" w:eastAsia="楷体"/>
          <w:bCs/>
          <w:sz w:val="28"/>
          <w:szCs w:val="32"/>
        </w:rPr>
        <w:t>无</w:t>
      </w:r>
    </w:p>
    <w:p>
      <w:pPr>
        <w:spacing w:line="560" w:lineRule="exact"/>
        <w:ind w:firstLine="560" w:firstLineChars="200"/>
        <w:jc w:val="center"/>
        <w:rPr>
          <w:rFonts w:eastAsia="楷体"/>
          <w:bCs/>
          <w:sz w:val="28"/>
          <w:szCs w:val="32"/>
        </w:rPr>
      </w:pPr>
      <w:bookmarkStart w:id="0" w:name="_GoBack"/>
      <w:bookmarkEnd w:id="0"/>
    </w:p>
    <w:p>
      <w:pPr>
        <w:pStyle w:val="15"/>
        <w:numPr>
          <w:ilvl w:val="0"/>
          <w:numId w:val="6"/>
        </w:numPr>
        <w:spacing w:line="560" w:lineRule="exact"/>
        <w:ind w:firstLineChars="0"/>
        <w:rPr>
          <w:rFonts w:eastAsia="楷体"/>
          <w:sz w:val="32"/>
          <w:szCs w:val="32"/>
        </w:rPr>
      </w:pPr>
      <w:r>
        <w:rPr>
          <w:rFonts w:eastAsia="黑体"/>
          <w:sz w:val="32"/>
          <w:szCs w:val="32"/>
        </w:rPr>
        <w:t>下一年度工作计划</w:t>
      </w:r>
      <w:r>
        <w:rPr>
          <w:rFonts w:eastAsia="楷体"/>
          <w:sz w:val="32"/>
          <w:szCs w:val="32"/>
        </w:rPr>
        <w:t>（技术研发、成果转化、人才培养、团队建设和制度优化的总体计划，不超过1500字）</w:t>
      </w:r>
    </w:p>
    <w:p>
      <w:pPr>
        <w:tabs>
          <w:tab w:val="left" w:pos="312"/>
        </w:tabs>
        <w:spacing w:line="560" w:lineRule="exact"/>
        <w:ind w:firstLine="560" w:firstLineChars="200"/>
        <w:rPr>
          <w:rFonts w:eastAsia="楷体"/>
          <w:bCs/>
          <w:color w:val="000000" w:themeColor="text1"/>
          <w:sz w:val="28"/>
          <w:szCs w:val="32"/>
          <w14:textFill>
            <w14:solidFill>
              <w14:schemeClr w14:val="tx1"/>
            </w14:solidFill>
          </w14:textFill>
        </w:rPr>
      </w:pPr>
      <w:r>
        <w:rPr>
          <w:rFonts w:hint="eastAsia" w:eastAsia="楷体"/>
          <w:bCs/>
          <w:color w:val="000000" w:themeColor="text1"/>
          <w:sz w:val="28"/>
          <w:szCs w:val="32"/>
          <w14:textFill>
            <w14:solidFill>
              <w14:schemeClr w14:val="tx1"/>
            </w14:solidFill>
          </w14:textFill>
        </w:rPr>
        <w:t>2021年度力争在 “</w:t>
      </w:r>
      <w:r>
        <w:rPr>
          <w:rFonts w:eastAsia="楷体"/>
          <w:bCs/>
          <w:color w:val="000000" w:themeColor="text1"/>
          <w:sz w:val="28"/>
          <w:szCs w:val="32"/>
          <w14:textFill>
            <w14:solidFill>
              <w14:schemeClr w14:val="tx1"/>
            </w14:solidFill>
          </w14:textFill>
        </w:rPr>
        <w:t>微波介质材料、核心器件与模组成套技术及在通信/导航的应用</w:t>
      </w:r>
      <w:r>
        <w:rPr>
          <w:rFonts w:hint="eastAsia" w:eastAsia="楷体"/>
          <w:bCs/>
          <w:color w:val="000000" w:themeColor="text1"/>
          <w:sz w:val="28"/>
          <w:szCs w:val="32"/>
          <w14:textFill>
            <w14:solidFill>
              <w14:schemeClr w14:val="tx1"/>
            </w14:solidFill>
          </w14:textFill>
        </w:rPr>
        <w:t>”国家奖申请中取得突破。</w:t>
      </w:r>
    </w:p>
    <w:p>
      <w:pPr>
        <w:tabs>
          <w:tab w:val="left" w:pos="312"/>
        </w:tabs>
        <w:spacing w:line="560" w:lineRule="exact"/>
        <w:ind w:firstLine="560" w:firstLineChars="200"/>
        <w:rPr>
          <w:rFonts w:eastAsia="楷体"/>
          <w:bCs/>
          <w:color w:val="000000" w:themeColor="text1"/>
          <w:sz w:val="28"/>
          <w:szCs w:val="32"/>
          <w14:textFill>
            <w14:solidFill>
              <w14:schemeClr w14:val="tx1"/>
            </w14:solidFill>
          </w14:textFill>
        </w:rPr>
      </w:pPr>
      <w:r>
        <w:rPr>
          <w:rFonts w:hint="eastAsia" w:eastAsia="楷体"/>
          <w:bCs/>
          <w:color w:val="000000" w:themeColor="text1"/>
          <w:sz w:val="28"/>
          <w:szCs w:val="32"/>
          <w14:textFill>
            <w14:solidFill>
              <w14:schemeClr w14:val="tx1"/>
            </w14:solidFill>
          </w14:textFill>
        </w:rPr>
        <w:t>持续加大对建筑光伏和OLED用导电玻璃相关技术领域的研究力度，突破该方向上的一些关键卡脖子问题与技术，推动导电功能玻璃的高质量发展与进步。</w:t>
      </w:r>
    </w:p>
    <w:p>
      <w:pPr>
        <w:tabs>
          <w:tab w:val="left" w:pos="312"/>
        </w:tabs>
        <w:spacing w:line="560" w:lineRule="exact"/>
        <w:ind w:firstLine="560" w:firstLineChars="200"/>
        <w:rPr>
          <w:rFonts w:eastAsia="楷体"/>
          <w:bCs/>
          <w:color w:val="000000" w:themeColor="text1"/>
          <w:sz w:val="28"/>
          <w:szCs w:val="32"/>
          <w14:textFill>
            <w14:solidFill>
              <w14:schemeClr w14:val="tx1"/>
            </w14:solidFill>
          </w14:textFill>
        </w:rPr>
      </w:pPr>
      <w:r>
        <w:rPr>
          <w:rFonts w:hint="eastAsia" w:eastAsia="楷体"/>
          <w:bCs/>
          <w:color w:val="000000" w:themeColor="text1"/>
          <w:sz w:val="28"/>
          <w:szCs w:val="32"/>
          <w14:textFill>
            <w14:solidFill>
              <w14:schemeClr w14:val="tx1"/>
            </w14:solidFill>
          </w14:textFill>
        </w:rPr>
        <w:t>突破铁电单晶薄膜材料的低温、低成本、大面积制备技术，发展新型光电、光伏无源探测器件；设计合成系列含过渡金属和稀土离子的有序微孔材料，研究组装方法和制备技术与微孔材料的结构、性能之间的关联规律，探索微孔材料在气体存储分离、荧光传感和微纳光子器件等领域的应用; 开展高频介电陶瓷及复合材料结构设计、合成及性能调控，溶胶-凝胶制备功能纳米涂层及其在防腐、耐磨、抗菌等领域的应用，多级孔多元复合电极材料的可控制备、OLED用柔性薄膜电极材料可控制备及在器件中的应用等研究。</w:t>
      </w:r>
    </w:p>
    <w:p>
      <w:pPr>
        <w:tabs>
          <w:tab w:val="left" w:pos="312"/>
        </w:tabs>
        <w:spacing w:line="560" w:lineRule="exact"/>
        <w:ind w:firstLine="560" w:firstLineChars="200"/>
        <w:rPr>
          <w:rFonts w:eastAsia="楷体"/>
          <w:sz w:val="28"/>
          <w:szCs w:val="32"/>
        </w:rPr>
      </w:pPr>
      <w:r>
        <w:rPr>
          <w:rFonts w:hint="eastAsia" w:eastAsia="楷体"/>
          <w:bCs/>
          <w:sz w:val="28"/>
          <w:szCs w:val="32"/>
        </w:rPr>
        <w:t>2021年度，结合浙江大学、工程中心、浙大宁波科创中心及企业技术力量，继续加大人才培养力度，大力支持工程中心中青年教师争取浙江省与国家层次的人才支持计划、承担重点、重点大科研项目；加强境内外高端</w:t>
      </w:r>
      <w:r>
        <w:rPr>
          <w:rFonts w:eastAsia="楷体"/>
          <w:sz w:val="28"/>
          <w:szCs w:val="32"/>
        </w:rPr>
        <w:t>人才引进方面，浙江大学也提供了优越的薪资待遇</w:t>
      </w:r>
      <w:r>
        <w:rPr>
          <w:rFonts w:hint="eastAsia" w:eastAsia="楷体"/>
          <w:sz w:val="28"/>
          <w:szCs w:val="32"/>
        </w:rPr>
        <w:t>和配套资源</w:t>
      </w:r>
      <w:r>
        <w:rPr>
          <w:rFonts w:eastAsia="楷体"/>
          <w:sz w:val="28"/>
          <w:szCs w:val="32"/>
        </w:rPr>
        <w:t>，吸引青年才俊加盟。</w:t>
      </w:r>
      <w:r>
        <w:rPr>
          <w:rFonts w:hint="eastAsia" w:eastAsia="楷体"/>
          <w:sz w:val="28"/>
          <w:szCs w:val="32"/>
        </w:rPr>
        <w:t>以国家重大需求和企业关键技术要求为导向，通过深入基础研究，促进技术转化，提高产品竞争力，培养和锻炼一支高水平的科技与产业转化团队。</w:t>
      </w:r>
    </w:p>
    <w:p>
      <w:pPr>
        <w:tabs>
          <w:tab w:val="left" w:pos="312"/>
        </w:tabs>
        <w:spacing w:line="560" w:lineRule="exact"/>
        <w:ind w:firstLine="560" w:firstLineChars="200"/>
        <w:rPr>
          <w:rFonts w:eastAsia="楷体"/>
          <w:bCs/>
          <w:sz w:val="28"/>
          <w:szCs w:val="32"/>
        </w:rPr>
      </w:pPr>
    </w:p>
    <w:p>
      <w:pPr>
        <w:pStyle w:val="15"/>
        <w:numPr>
          <w:ilvl w:val="0"/>
          <w:numId w:val="6"/>
        </w:numPr>
        <w:spacing w:line="560" w:lineRule="exact"/>
        <w:ind w:firstLineChars="0"/>
        <w:rPr>
          <w:sz w:val="32"/>
          <w:szCs w:val="32"/>
        </w:rPr>
      </w:pPr>
      <w:r>
        <w:rPr>
          <w:rFonts w:eastAsia="黑体"/>
          <w:sz w:val="32"/>
          <w:szCs w:val="32"/>
        </w:rPr>
        <w:t>问题与建议</w:t>
      </w:r>
      <w:r>
        <w:rPr>
          <w:rFonts w:eastAsia="楷体"/>
          <w:sz w:val="32"/>
          <w:szCs w:val="32"/>
        </w:rPr>
        <w:t>（工程中心建设运行、管理和发展的问题与建议，可向依托单位、主管单位和教育部提出整体性建议）</w:t>
      </w:r>
    </w:p>
    <w:p>
      <w:pPr>
        <w:spacing w:line="560" w:lineRule="exact"/>
        <w:jc w:val="center"/>
        <w:rPr>
          <w:sz w:val="32"/>
          <w:szCs w:val="32"/>
        </w:rPr>
      </w:pPr>
    </w:p>
    <w:p>
      <w:pPr>
        <w:spacing w:line="560" w:lineRule="exact"/>
        <w:jc w:val="center"/>
        <w:rPr>
          <w:sz w:val="32"/>
          <w:szCs w:val="32"/>
        </w:rPr>
      </w:pPr>
      <w:r>
        <w:rPr>
          <w:rFonts w:hint="eastAsia"/>
          <w:sz w:val="32"/>
          <w:szCs w:val="32"/>
        </w:rPr>
        <w:t>无</w:t>
      </w:r>
    </w:p>
    <w:p>
      <w:pPr>
        <w:spacing w:line="560" w:lineRule="exact"/>
        <w:jc w:val="center"/>
        <w:rPr>
          <w:sz w:val="32"/>
          <w:szCs w:val="32"/>
        </w:rPr>
      </w:pPr>
    </w:p>
    <w:p>
      <w:pPr>
        <w:spacing w:line="560" w:lineRule="exact"/>
        <w:jc w:val="center"/>
        <w:rPr>
          <w:sz w:val="32"/>
          <w:szCs w:val="32"/>
        </w:rPr>
      </w:pPr>
    </w:p>
    <w:p>
      <w:pPr>
        <w:pStyle w:val="15"/>
        <w:numPr>
          <w:ilvl w:val="0"/>
          <w:numId w:val="6"/>
        </w:numPr>
        <w:spacing w:line="560" w:lineRule="exact"/>
        <w:ind w:firstLineChars="0"/>
        <w:rPr>
          <w:rFonts w:eastAsia="黑体"/>
          <w:sz w:val="32"/>
          <w:szCs w:val="32"/>
        </w:rPr>
      </w:pPr>
      <w:r>
        <w:rPr>
          <w:rFonts w:eastAsia="黑体"/>
          <w:sz w:val="32"/>
          <w:szCs w:val="32"/>
        </w:rPr>
        <w:t>审核意见</w:t>
      </w:r>
      <w:r>
        <w:rPr>
          <w:rFonts w:eastAsia="楷体"/>
          <w:sz w:val="32"/>
          <w:szCs w:val="32"/>
        </w:rPr>
        <w:t>（工程中心</w:t>
      </w:r>
      <w:r>
        <w:rPr>
          <w:rFonts w:hint="eastAsia" w:eastAsia="楷体"/>
          <w:sz w:val="32"/>
          <w:szCs w:val="32"/>
        </w:rPr>
        <w:t>负责人、依托单位、主管单位审核并签章</w:t>
      </w:r>
      <w:r>
        <w:rPr>
          <w:rFonts w:eastAsia="楷体"/>
          <w:sz w:val="32"/>
          <w:szCs w:val="32"/>
        </w:rPr>
        <w:t>）</w:t>
      </w:r>
    </w:p>
    <w:p>
      <w:pPr>
        <w:spacing w:line="276" w:lineRule="auto"/>
        <w:rPr>
          <w:rFonts w:eastAsia="黑体"/>
          <w:sz w:val="32"/>
          <w:szCs w:val="32"/>
        </w:rPr>
      </w:pPr>
    </w:p>
    <w:p>
      <w:pPr>
        <w:spacing w:line="276" w:lineRule="auto"/>
        <w:rPr>
          <w:rFonts w:eastAsia="黑体"/>
          <w:sz w:val="32"/>
          <w:szCs w:val="32"/>
        </w:rPr>
      </w:pPr>
    </w:p>
    <w:p>
      <w:pPr>
        <w:spacing w:line="276" w:lineRule="auto"/>
        <w:ind w:firstLine="4480" w:firstLineChars="1600"/>
        <w:rPr>
          <w:rFonts w:eastAsia="黑体"/>
          <w:sz w:val="32"/>
          <w:szCs w:val="32"/>
        </w:rPr>
      </w:pPr>
      <w:r>
        <w:rPr>
          <w:rFonts w:eastAsia="楷体"/>
          <w:sz w:val="28"/>
          <w:szCs w:val="32"/>
        </w:rPr>
        <w:t>工程中心</w:t>
      </w:r>
      <w:r>
        <w:rPr>
          <w:rFonts w:hint="eastAsia" w:eastAsia="楷体"/>
          <w:sz w:val="28"/>
          <w:szCs w:val="32"/>
        </w:rPr>
        <w:t>负责人（签章）</w:t>
      </w:r>
    </w:p>
    <w:p>
      <w:pPr>
        <w:spacing w:line="276" w:lineRule="auto"/>
        <w:rPr>
          <w:rFonts w:eastAsia="楷体"/>
          <w:sz w:val="28"/>
          <w:szCs w:val="32"/>
        </w:rPr>
      </w:pPr>
    </w:p>
    <w:p>
      <w:pPr>
        <w:spacing w:line="276" w:lineRule="auto"/>
        <w:rPr>
          <w:rFonts w:eastAsia="楷体"/>
          <w:sz w:val="28"/>
          <w:szCs w:val="32"/>
        </w:rPr>
      </w:pPr>
    </w:p>
    <w:p>
      <w:pPr>
        <w:spacing w:line="276" w:lineRule="auto"/>
        <w:ind w:firstLine="4480" w:firstLineChars="1400"/>
        <w:rPr>
          <w:rFonts w:eastAsia="楷体"/>
          <w:sz w:val="32"/>
          <w:szCs w:val="32"/>
        </w:rPr>
      </w:pPr>
      <w:r>
        <w:rPr>
          <w:rFonts w:hint="eastAsia" w:eastAsia="楷体"/>
          <w:sz w:val="32"/>
          <w:szCs w:val="32"/>
        </w:rPr>
        <w:t>依托单位（签章）</w:t>
      </w:r>
    </w:p>
    <w:p>
      <w:pPr>
        <w:spacing w:line="276" w:lineRule="auto"/>
        <w:rPr>
          <w:rFonts w:eastAsia="楷体"/>
          <w:sz w:val="32"/>
          <w:szCs w:val="32"/>
        </w:rPr>
      </w:pPr>
    </w:p>
    <w:p>
      <w:pPr>
        <w:spacing w:line="276" w:lineRule="auto"/>
        <w:rPr>
          <w:rFonts w:eastAsia="楷体"/>
          <w:sz w:val="32"/>
          <w:szCs w:val="32"/>
        </w:rPr>
      </w:pPr>
    </w:p>
    <w:p>
      <w:pPr>
        <w:spacing w:line="276" w:lineRule="auto"/>
        <w:rPr>
          <w:rFonts w:eastAsia="楷体"/>
          <w:sz w:val="32"/>
          <w:szCs w:val="32"/>
        </w:rPr>
      </w:pPr>
    </w:p>
    <w:p>
      <w:pPr>
        <w:spacing w:line="276" w:lineRule="auto"/>
        <w:ind w:firstLine="4480" w:firstLineChars="1400"/>
        <w:rPr>
          <w:rFonts w:eastAsia="楷体"/>
          <w:sz w:val="32"/>
          <w:szCs w:val="32"/>
        </w:rPr>
      </w:pPr>
      <w:r>
        <w:rPr>
          <w:rFonts w:hint="eastAsia" w:eastAsia="楷体"/>
          <w:sz w:val="32"/>
          <w:szCs w:val="32"/>
        </w:rPr>
        <w:t>主管单位（签章）</w:t>
      </w:r>
    </w:p>
    <w:p>
      <w:pPr>
        <w:rPr>
          <w:rFonts w:eastAsia="黑体"/>
          <w:sz w:val="32"/>
          <w:szCs w:val="32"/>
        </w:rPr>
      </w:pPr>
    </w:p>
    <w:p>
      <w:pPr>
        <w:rPr>
          <w:rFonts w:eastAsia="黑体"/>
          <w:sz w:val="32"/>
          <w:szCs w:val="32"/>
        </w:rPr>
      </w:pPr>
    </w:p>
    <w:p>
      <w:pPr>
        <w:rPr>
          <w:rFonts w:eastAsia="黑体"/>
          <w:sz w:val="32"/>
          <w:szCs w:val="32"/>
        </w:rPr>
      </w:pPr>
    </w:p>
    <w:p>
      <w:pPr>
        <w:rPr>
          <w:rFonts w:eastAsia="黑体"/>
          <w:sz w:val="32"/>
          <w:szCs w:val="32"/>
        </w:rPr>
      </w:pPr>
      <w:r>
        <w:rPr>
          <w:rFonts w:hint="eastAsia" w:eastAsia="黑体"/>
          <w:sz w:val="32"/>
          <w:szCs w:val="32"/>
        </w:rPr>
        <w:t>八、年度运行情况统计表</w:t>
      </w:r>
    </w:p>
    <w:tbl>
      <w:tblPr>
        <w:tblStyle w:val="8"/>
        <w:tblW w:w="943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61"/>
        <w:gridCol w:w="780"/>
        <w:gridCol w:w="634"/>
        <w:gridCol w:w="758"/>
        <w:gridCol w:w="156"/>
        <w:gridCol w:w="132"/>
        <w:gridCol w:w="360"/>
        <w:gridCol w:w="744"/>
        <w:gridCol w:w="228"/>
        <w:gridCol w:w="756"/>
        <w:gridCol w:w="24"/>
        <w:gridCol w:w="408"/>
        <w:gridCol w:w="492"/>
        <w:gridCol w:w="480"/>
        <w:gridCol w:w="47"/>
        <w:gridCol w:w="229"/>
        <w:gridCol w:w="672"/>
        <w:gridCol w:w="161"/>
        <w:gridCol w:w="355"/>
        <w:gridCol w:w="96"/>
        <w:gridCol w:w="96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vMerge w:val="restart"/>
            <w:tcBorders>
              <w:top w:val="single" w:color="auto" w:sz="12" w:space="0"/>
              <w:bottom w:val="single" w:color="auto" w:sz="4" w:space="0"/>
              <w:right w:val="single" w:color="auto" w:sz="4" w:space="0"/>
            </w:tcBorders>
            <w:tcMar>
              <w:left w:w="0" w:type="dxa"/>
              <w:right w:w="0" w:type="dxa"/>
            </w:tcMar>
            <w:vAlign w:val="center"/>
          </w:tcPr>
          <w:p>
            <w:pPr>
              <w:widowControl/>
              <w:adjustRightInd w:val="0"/>
              <w:snapToGrid w:val="0"/>
              <w:jc w:val="center"/>
              <w:rPr>
                <w:color w:val="000000"/>
                <w:kern w:val="0"/>
                <w:sz w:val="24"/>
              </w:rPr>
            </w:pPr>
            <w:r>
              <w:rPr>
                <w:b/>
                <w:color w:val="000000"/>
                <w:kern w:val="0"/>
                <w:sz w:val="24"/>
              </w:rPr>
              <w:t>研究方向</w:t>
            </w:r>
          </w:p>
        </w:tc>
        <w:tc>
          <w:tcPr>
            <w:tcW w:w="1392" w:type="dxa"/>
            <w:gridSpan w:val="2"/>
            <w:tcBorders>
              <w:top w:val="single" w:color="auto" w:sz="12"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研究方向1</w:t>
            </w:r>
          </w:p>
        </w:tc>
        <w:tc>
          <w:tcPr>
            <w:tcW w:w="3300" w:type="dxa"/>
            <w:gridSpan w:val="9"/>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半导体硅材料缺陷工程</w:t>
            </w:r>
          </w:p>
        </w:tc>
        <w:tc>
          <w:tcPr>
            <w:tcW w:w="1944" w:type="dxa"/>
            <w:gridSpan w:val="6"/>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color w:val="000000"/>
                <w:kern w:val="0"/>
                <w:sz w:val="24"/>
              </w:rPr>
              <w:t>学术</w:t>
            </w:r>
          </w:p>
          <w:p>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杨德仁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bottom w:val="single" w:color="auto" w:sz="4" w:space="0"/>
              <w:right w:val="single" w:color="auto" w:sz="4" w:space="0"/>
            </w:tcBorders>
            <w:tcMar>
              <w:left w:w="0" w:type="dxa"/>
              <w:right w:w="0" w:type="dxa"/>
            </w:tcMar>
            <w:vAlign w:val="center"/>
          </w:tcPr>
          <w:p>
            <w:pPr>
              <w:widowControl/>
              <w:adjustRightInd w:val="0"/>
              <w:snapToGrid w:val="0"/>
              <w:jc w:val="center"/>
              <w:rPr>
                <w:b/>
                <w:color w:val="000000"/>
                <w:kern w:val="0"/>
                <w:sz w:val="24"/>
              </w:rPr>
            </w:pP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研究方向2</w:t>
            </w:r>
          </w:p>
        </w:tc>
        <w:tc>
          <w:tcPr>
            <w:tcW w:w="330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表面镀膜技术</w:t>
            </w:r>
          </w:p>
        </w:tc>
        <w:tc>
          <w:tcPr>
            <w:tcW w:w="194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color w:val="000000"/>
                <w:kern w:val="0"/>
                <w:sz w:val="24"/>
              </w:rPr>
              <w:t>学术</w:t>
            </w:r>
          </w:p>
          <w:p>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韩高荣</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jc w:val="center"/>
        </w:trPr>
        <w:tc>
          <w:tcPr>
            <w:tcW w:w="1741" w:type="dxa"/>
            <w:gridSpan w:val="2"/>
            <w:vMerge w:val="continue"/>
            <w:tcBorders>
              <w:top w:val="single" w:color="auto" w:sz="4" w:space="0"/>
              <w:bottom w:val="single" w:color="auto" w:sz="4" w:space="0"/>
              <w:right w:val="single" w:color="auto" w:sz="4" w:space="0"/>
            </w:tcBorders>
            <w:tcMar>
              <w:left w:w="0" w:type="dxa"/>
              <w:right w:w="0" w:type="dxa"/>
            </w:tcMar>
            <w:vAlign w:val="center"/>
          </w:tcPr>
          <w:p>
            <w:pPr>
              <w:widowControl/>
              <w:adjustRightInd w:val="0"/>
              <w:snapToGrid w:val="0"/>
              <w:jc w:val="center"/>
              <w:rPr>
                <w:b/>
                <w:color w:val="000000"/>
                <w:kern w:val="0"/>
                <w:sz w:val="24"/>
              </w:rPr>
            </w:pP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研究方向3</w:t>
            </w:r>
          </w:p>
        </w:tc>
        <w:tc>
          <w:tcPr>
            <w:tcW w:w="330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溶胶-凝胶改性技术</w:t>
            </w:r>
          </w:p>
        </w:tc>
        <w:tc>
          <w:tcPr>
            <w:tcW w:w="194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color w:val="000000"/>
                <w:kern w:val="0"/>
                <w:sz w:val="24"/>
              </w:rPr>
              <w:t>学术</w:t>
            </w:r>
          </w:p>
          <w:p>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杨辉</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bottom w:val="single" w:color="auto" w:sz="4" w:space="0"/>
              <w:right w:val="single" w:color="auto" w:sz="4" w:space="0"/>
            </w:tcBorders>
            <w:tcMar>
              <w:left w:w="0" w:type="dxa"/>
              <w:right w:w="0" w:type="dxa"/>
            </w:tcMar>
            <w:vAlign w:val="center"/>
          </w:tcPr>
          <w:p>
            <w:pPr>
              <w:widowControl/>
              <w:adjustRightInd w:val="0"/>
              <w:snapToGrid w:val="0"/>
              <w:jc w:val="center"/>
              <w:rPr>
                <w:b/>
                <w:color w:val="000000"/>
                <w:kern w:val="0"/>
                <w:sz w:val="24"/>
              </w:rPr>
            </w:pP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研究方向4</w:t>
            </w:r>
          </w:p>
        </w:tc>
        <w:tc>
          <w:tcPr>
            <w:tcW w:w="330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原位复合结构调控技术</w:t>
            </w:r>
          </w:p>
        </w:tc>
        <w:tc>
          <w:tcPr>
            <w:tcW w:w="194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color w:val="000000"/>
                <w:kern w:val="0"/>
                <w:sz w:val="24"/>
              </w:rPr>
            </w:pPr>
            <w:r>
              <w:rPr>
                <w:color w:val="000000"/>
                <w:kern w:val="0"/>
                <w:sz w:val="24"/>
              </w:rPr>
              <w:t>学术</w:t>
            </w:r>
          </w:p>
          <w:p>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color w:val="000000"/>
                <w:kern w:val="0"/>
                <w:sz w:val="24"/>
              </w:rPr>
            </w:pPr>
            <w:r>
              <w:rPr>
                <w:rFonts w:hint="eastAsia"/>
                <w:color w:val="000000"/>
                <w:kern w:val="0"/>
                <w:sz w:val="24"/>
              </w:rPr>
              <w:t>钱国栋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tcBorders>
              <w:top w:val="single" w:color="auto" w:sz="4" w:space="0"/>
              <w:bottom w:val="single" w:color="auto" w:sz="4" w:space="0"/>
              <w:right w:val="single" w:color="auto" w:sz="4" w:space="0"/>
            </w:tcBorders>
            <w:tcMar>
              <w:left w:w="0" w:type="dxa"/>
              <w:right w:w="0" w:type="dxa"/>
            </w:tcMar>
            <w:vAlign w:val="center"/>
          </w:tcPr>
          <w:p>
            <w:pPr>
              <w:widowControl/>
              <w:adjustRightInd w:val="0"/>
              <w:snapToGrid w:val="0"/>
              <w:jc w:val="center"/>
              <w:rPr>
                <w:b/>
                <w:color w:val="000000"/>
                <w:kern w:val="0"/>
                <w:sz w:val="24"/>
              </w:rPr>
            </w:pPr>
            <w:r>
              <w:rPr>
                <w:b/>
                <w:color w:val="000000"/>
                <w:kern w:val="0"/>
                <w:sz w:val="24"/>
              </w:rPr>
              <w:t>工程中心面积</w:t>
            </w:r>
          </w:p>
        </w:tc>
        <w:tc>
          <w:tcPr>
            <w:tcW w:w="3792"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right"/>
              <w:rPr>
                <w:color w:val="000000"/>
                <w:kern w:val="0"/>
                <w:sz w:val="24"/>
              </w:rPr>
            </w:pPr>
            <w:r>
              <w:rPr>
                <w:rFonts w:hint="eastAsia"/>
                <w:bCs/>
                <w:color w:val="000000"/>
                <w:kern w:val="0"/>
                <w:sz w:val="24"/>
              </w:rPr>
              <w:t>5500</w:t>
            </w:r>
            <w:r>
              <w:rPr>
                <w:bCs/>
                <w:color w:val="000000"/>
                <w:kern w:val="0"/>
                <w:sz w:val="24"/>
              </w:rPr>
              <w:t>m</w:t>
            </w:r>
            <w:r>
              <w:rPr>
                <w:bCs/>
                <w:color w:val="000000"/>
                <w:kern w:val="0"/>
                <w:sz w:val="24"/>
                <w:vertAlign w:val="superscript"/>
              </w:rPr>
              <w:t>2</w:t>
            </w:r>
          </w:p>
        </w:tc>
        <w:tc>
          <w:tcPr>
            <w:tcW w:w="2844"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rFonts w:hint="eastAsia"/>
                <w:b/>
                <w:bCs/>
                <w:color w:val="000000"/>
                <w:kern w:val="0"/>
                <w:sz w:val="24"/>
              </w:rPr>
              <w:t>当年新增面积</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vAlign w:val="center"/>
          </w:tcPr>
          <w:p>
            <w:pPr>
              <w:widowControl/>
              <w:adjustRightInd w:val="0"/>
              <w:snapToGrid w:val="0"/>
              <w:jc w:val="right"/>
              <w:rPr>
                <w:color w:val="000000"/>
                <w:kern w:val="0"/>
                <w:sz w:val="24"/>
              </w:rPr>
            </w:pPr>
            <w:r>
              <w:rPr>
                <w:rFonts w:hint="eastAsia"/>
                <w:bCs/>
                <w:color w:val="000000"/>
                <w:kern w:val="0"/>
                <w:sz w:val="24"/>
              </w:rPr>
              <w:t>0</w:t>
            </w:r>
            <w:r>
              <w:rPr>
                <w:bCs/>
                <w:color w:val="000000"/>
                <w:kern w:val="0"/>
                <w:sz w:val="24"/>
              </w:rPr>
              <w:t>m</w:t>
            </w:r>
            <w:r>
              <w:rPr>
                <w:bCs/>
                <w:color w:val="000000"/>
                <w:kern w:val="0"/>
                <w:sz w:val="24"/>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tcBorders>
              <w:top w:val="single" w:color="auto" w:sz="4" w:space="0"/>
              <w:bottom w:val="single" w:color="auto" w:sz="12" w:space="0"/>
              <w:right w:val="single" w:color="auto" w:sz="4" w:space="0"/>
            </w:tcBorders>
            <w:tcMar>
              <w:left w:w="0" w:type="dxa"/>
              <w:right w:w="0" w:type="dxa"/>
            </w:tcMar>
            <w:vAlign w:val="center"/>
          </w:tcPr>
          <w:p>
            <w:pPr>
              <w:widowControl/>
              <w:adjustRightInd w:val="0"/>
              <w:snapToGrid w:val="0"/>
              <w:jc w:val="center"/>
              <w:rPr>
                <w:b/>
                <w:color w:val="000000"/>
                <w:kern w:val="0"/>
                <w:sz w:val="24"/>
              </w:rPr>
            </w:pPr>
            <w:r>
              <w:rPr>
                <w:rFonts w:hint="eastAsia"/>
                <w:b/>
                <w:color w:val="000000"/>
                <w:kern w:val="0"/>
                <w:sz w:val="24"/>
              </w:rPr>
              <w:t>固定人员</w:t>
            </w:r>
          </w:p>
        </w:tc>
        <w:tc>
          <w:tcPr>
            <w:tcW w:w="3792" w:type="dxa"/>
            <w:gridSpan w:val="9"/>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adjustRightInd w:val="0"/>
              <w:snapToGrid w:val="0"/>
              <w:jc w:val="right"/>
              <w:rPr>
                <w:color w:val="000000"/>
                <w:kern w:val="0"/>
                <w:sz w:val="24"/>
              </w:rPr>
            </w:pPr>
            <w:r>
              <w:rPr>
                <w:rFonts w:hint="eastAsia"/>
                <w:color w:val="000000"/>
                <w:kern w:val="0"/>
                <w:sz w:val="24"/>
              </w:rPr>
              <w:t>58人</w:t>
            </w:r>
          </w:p>
        </w:tc>
        <w:tc>
          <w:tcPr>
            <w:tcW w:w="2844" w:type="dxa"/>
            <w:gridSpan w:val="8"/>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流动人员</w:t>
            </w:r>
          </w:p>
        </w:tc>
        <w:tc>
          <w:tcPr>
            <w:tcW w:w="1061" w:type="dxa"/>
            <w:gridSpan w:val="2"/>
            <w:tcBorders>
              <w:top w:val="single" w:color="auto" w:sz="4" w:space="0"/>
              <w:left w:val="single" w:color="auto" w:sz="4" w:space="0"/>
              <w:bottom w:val="single" w:color="auto" w:sz="12" w:space="0"/>
              <w:right w:val="single" w:color="auto" w:sz="12" w:space="0"/>
            </w:tcBorders>
            <w:shd w:val="clear" w:color="auto" w:fill="auto"/>
            <w:noWrap/>
            <w:vAlign w:val="center"/>
          </w:tcPr>
          <w:p>
            <w:pPr>
              <w:widowControl/>
              <w:adjustRightInd w:val="0"/>
              <w:snapToGrid w:val="0"/>
              <w:jc w:val="right"/>
              <w:rPr>
                <w:color w:val="000000"/>
                <w:kern w:val="0"/>
                <w:sz w:val="24"/>
              </w:rPr>
            </w:pPr>
            <w:r>
              <w:rPr>
                <w:rFonts w:hint="eastAsia"/>
                <w:color w:val="000000"/>
                <w:kern w:val="0"/>
                <w:sz w:val="24"/>
              </w:rPr>
              <w:t>33人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vMerge w:val="restart"/>
            <w:tcBorders>
              <w:top w:val="single" w:color="auto" w:sz="12" w:space="0"/>
              <w:left w:val="single" w:color="auto" w:sz="12" w:space="0"/>
              <w:bottom w:val="single" w:color="auto" w:sz="4" w:space="0"/>
              <w:right w:val="single" w:color="auto" w:sz="4" w:space="0"/>
            </w:tcBorders>
            <w:vAlign w:val="center"/>
          </w:tcPr>
          <w:p>
            <w:pPr>
              <w:widowControl/>
              <w:adjustRightInd w:val="0"/>
              <w:snapToGrid w:val="0"/>
              <w:jc w:val="center"/>
              <w:rPr>
                <w:color w:val="000000"/>
                <w:kern w:val="0"/>
                <w:sz w:val="24"/>
              </w:rPr>
            </w:pPr>
            <w:r>
              <w:rPr>
                <w:b/>
                <w:bCs/>
                <w:color w:val="000000"/>
                <w:kern w:val="0"/>
                <w:sz w:val="24"/>
              </w:rPr>
              <w:t>获奖情况</w:t>
            </w:r>
          </w:p>
        </w:tc>
        <w:tc>
          <w:tcPr>
            <w:tcW w:w="2040" w:type="dxa"/>
            <w:gridSpan w:val="5"/>
            <w:tcBorders>
              <w:top w:val="single" w:color="auto" w:sz="12" w:space="0"/>
              <w:left w:val="single" w:color="auto" w:sz="4" w:space="0"/>
              <w:bottom w:val="single" w:color="auto" w:sz="4" w:space="0"/>
              <w:right w:val="single" w:color="auto" w:sz="4" w:space="0"/>
            </w:tcBorders>
            <w:shd w:val="clear" w:color="auto" w:fill="auto"/>
            <w:noWrap/>
            <w:tcMar>
              <w:left w:w="57" w:type="dxa"/>
              <w:right w:w="0" w:type="dxa"/>
            </w:tcMar>
            <w:vAlign w:val="center"/>
          </w:tcPr>
          <w:p>
            <w:pPr>
              <w:widowControl/>
              <w:adjustRightInd w:val="0"/>
              <w:snapToGrid w:val="0"/>
              <w:jc w:val="center"/>
              <w:rPr>
                <w:color w:val="000000"/>
                <w:kern w:val="0"/>
                <w:sz w:val="24"/>
              </w:rPr>
            </w:pPr>
            <w:r>
              <w:rPr>
                <w:color w:val="000000"/>
                <w:kern w:val="0"/>
                <w:sz w:val="24"/>
              </w:rPr>
              <w:t>国家</w:t>
            </w:r>
            <w:r>
              <w:rPr>
                <w:rFonts w:hint="eastAsia"/>
                <w:color w:val="000000"/>
                <w:kern w:val="0"/>
                <w:sz w:val="24"/>
              </w:rPr>
              <w:t>级科技奖励</w:t>
            </w:r>
          </w:p>
        </w:tc>
        <w:tc>
          <w:tcPr>
            <w:tcW w:w="1752" w:type="dxa"/>
            <w:gridSpan w:val="4"/>
            <w:tcBorders>
              <w:top w:val="single" w:color="auto" w:sz="12" w:space="0"/>
              <w:left w:val="single" w:color="auto" w:sz="4" w:space="0"/>
              <w:bottom w:val="single" w:color="auto" w:sz="4" w:space="0"/>
              <w:right w:val="single" w:color="auto" w:sz="4" w:space="0"/>
            </w:tcBorders>
            <w:shd w:val="clear" w:color="auto" w:fill="auto"/>
            <w:noWrap/>
            <w:tcMar>
              <w:left w:w="57" w:type="dxa"/>
            </w:tcMar>
            <w:vAlign w:val="center"/>
          </w:tcPr>
          <w:p>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color w:val="000000"/>
                <w:kern w:val="0"/>
                <w:sz w:val="24"/>
              </w:rPr>
              <w:t>项　</w:t>
            </w:r>
          </w:p>
        </w:tc>
        <w:tc>
          <w:tcPr>
            <w:tcW w:w="1417" w:type="dxa"/>
            <w:gridSpan w:val="4"/>
            <w:tcBorders>
              <w:top w:val="single" w:color="auto" w:sz="12" w:space="0"/>
              <w:left w:val="single" w:color="auto" w:sz="4" w:space="0"/>
              <w:bottom w:val="single" w:color="auto" w:sz="4" w:space="0"/>
              <w:right w:val="single" w:color="auto" w:sz="4" w:space="0"/>
            </w:tcBorders>
            <w:shd w:val="clear" w:color="auto" w:fill="auto"/>
            <w:noWrap/>
            <w:tcMar>
              <w:left w:w="57" w:type="dxa"/>
            </w:tcMar>
            <w:vAlign w:val="center"/>
          </w:tcPr>
          <w:p>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color="auto" w:sz="12" w:space="0"/>
              <w:left w:val="single" w:color="auto" w:sz="4" w:space="0"/>
              <w:bottom w:val="single" w:color="auto" w:sz="4" w:space="0"/>
              <w:right w:val="single" w:color="auto" w:sz="12" w:space="0"/>
            </w:tcBorders>
            <w:shd w:val="clear" w:color="auto" w:fill="auto"/>
            <w:noWrap/>
            <w:tcMar>
              <w:left w:w="57" w:type="dxa"/>
            </w:tcMar>
            <w:vAlign w:val="center"/>
          </w:tcPr>
          <w:p>
            <w:pPr>
              <w:widowControl/>
              <w:adjustRightInd w:val="0"/>
              <w:snapToGrid w:val="0"/>
              <w:jc w:val="right"/>
              <w:rPr>
                <w:color w:val="000000"/>
                <w:kern w:val="0"/>
                <w:sz w:val="24"/>
              </w:rPr>
            </w:pPr>
            <w:r>
              <w:rPr>
                <w:rFonts w:hint="eastAsia"/>
                <w:color w:val="000000"/>
                <w:kern w:val="0"/>
                <w:sz w:val="24"/>
              </w:rPr>
              <w:t>1</w:t>
            </w:r>
            <w:r>
              <w:rPr>
                <w:color w:val="000000"/>
                <w:kern w:val="0"/>
                <w:sz w:val="24"/>
              </w:rPr>
              <w:t>项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12" w:space="0"/>
              <w:right w:val="single" w:color="auto" w:sz="4" w:space="0"/>
            </w:tcBorders>
            <w:vAlign w:val="center"/>
          </w:tcPr>
          <w:p>
            <w:pPr>
              <w:widowControl/>
              <w:adjustRightInd w:val="0"/>
              <w:snapToGrid w:val="0"/>
              <w:jc w:val="center"/>
              <w:rPr>
                <w:color w:val="000000"/>
                <w:kern w:val="0"/>
                <w:sz w:val="24"/>
              </w:rPr>
            </w:pPr>
          </w:p>
        </w:tc>
        <w:tc>
          <w:tcPr>
            <w:tcW w:w="2040" w:type="dxa"/>
            <w:gridSpan w:val="5"/>
            <w:tcBorders>
              <w:top w:val="single" w:color="auto" w:sz="4" w:space="0"/>
              <w:left w:val="single" w:color="auto" w:sz="4" w:space="0"/>
              <w:bottom w:val="single" w:color="auto" w:sz="12" w:space="0"/>
              <w:right w:val="single" w:color="auto" w:sz="4" w:space="0"/>
            </w:tcBorders>
            <w:shd w:val="clear" w:color="auto" w:fill="auto"/>
            <w:noWrap/>
            <w:tcMar>
              <w:left w:w="57" w:type="dxa"/>
              <w:right w:w="0" w:type="dxa"/>
            </w:tcMar>
            <w:vAlign w:val="center"/>
          </w:tcPr>
          <w:p>
            <w:pPr>
              <w:widowControl/>
              <w:adjustRightInd w:val="0"/>
              <w:snapToGrid w:val="0"/>
              <w:jc w:val="center"/>
              <w:rPr>
                <w:color w:val="000000"/>
                <w:kern w:val="0"/>
                <w:sz w:val="24"/>
              </w:rPr>
            </w:pPr>
            <w:r>
              <w:rPr>
                <w:color w:val="000000"/>
                <w:kern w:val="0"/>
                <w:sz w:val="24"/>
              </w:rPr>
              <w:t>省、部级科技奖励</w:t>
            </w:r>
          </w:p>
        </w:tc>
        <w:tc>
          <w:tcPr>
            <w:tcW w:w="1752" w:type="dxa"/>
            <w:gridSpan w:val="4"/>
            <w:tcBorders>
              <w:top w:val="single" w:color="auto" w:sz="4" w:space="0"/>
              <w:left w:val="single" w:color="auto" w:sz="4" w:space="0"/>
              <w:bottom w:val="single" w:color="auto" w:sz="12" w:space="0"/>
              <w:right w:val="single" w:color="auto" w:sz="4" w:space="0"/>
            </w:tcBorders>
            <w:shd w:val="clear" w:color="auto" w:fill="auto"/>
            <w:noWrap/>
            <w:tcMar>
              <w:left w:w="57" w:type="dxa"/>
            </w:tcMar>
            <w:vAlign w:val="center"/>
          </w:tcPr>
          <w:p>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color w:val="000000"/>
                <w:kern w:val="0"/>
                <w:sz w:val="24"/>
              </w:rPr>
              <w:t>项　</w:t>
            </w:r>
          </w:p>
        </w:tc>
        <w:tc>
          <w:tcPr>
            <w:tcW w:w="1417" w:type="dxa"/>
            <w:gridSpan w:val="4"/>
            <w:tcBorders>
              <w:top w:val="single" w:color="auto" w:sz="4" w:space="0"/>
              <w:left w:val="single" w:color="auto" w:sz="4" w:space="0"/>
              <w:bottom w:val="single" w:color="auto" w:sz="12" w:space="0"/>
              <w:right w:val="single" w:color="auto" w:sz="4" w:space="0"/>
            </w:tcBorders>
            <w:shd w:val="clear" w:color="auto" w:fill="auto"/>
            <w:noWrap/>
            <w:tcMar>
              <w:left w:w="57" w:type="dxa"/>
            </w:tcMar>
            <w:vAlign w:val="center"/>
          </w:tcPr>
          <w:p>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color="auto" w:sz="4" w:space="0"/>
              <w:left w:val="single" w:color="auto" w:sz="4" w:space="0"/>
              <w:bottom w:val="single" w:color="auto" w:sz="12" w:space="0"/>
              <w:right w:val="single" w:color="auto" w:sz="12" w:space="0"/>
            </w:tcBorders>
            <w:shd w:val="clear" w:color="auto" w:fill="auto"/>
            <w:noWrap/>
            <w:tcMar>
              <w:left w:w="57" w:type="dxa"/>
            </w:tcMar>
            <w:vAlign w:val="center"/>
          </w:tcPr>
          <w:p>
            <w:pPr>
              <w:widowControl/>
              <w:adjustRightInd w:val="0"/>
              <w:snapToGrid w:val="0"/>
              <w:jc w:val="right"/>
              <w:rPr>
                <w:color w:val="000000"/>
                <w:kern w:val="0"/>
                <w:sz w:val="24"/>
              </w:rPr>
            </w:pPr>
            <w:r>
              <w:rPr>
                <w:rFonts w:hint="eastAsia"/>
                <w:color w:val="000000"/>
                <w:kern w:val="0"/>
                <w:sz w:val="24"/>
              </w:rPr>
              <w:t>1</w:t>
            </w:r>
            <w:r>
              <w:rPr>
                <w:color w:val="000000"/>
                <w:kern w:val="0"/>
                <w:sz w:val="24"/>
              </w:rPr>
              <w:t>项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741" w:type="dxa"/>
            <w:gridSpan w:val="2"/>
            <w:tcBorders>
              <w:top w:val="single" w:color="auto" w:sz="12" w:space="0"/>
              <w:left w:val="single" w:color="auto" w:sz="12" w:space="0"/>
              <w:bottom w:val="single" w:color="auto" w:sz="12" w:space="0"/>
              <w:right w:val="single" w:color="auto" w:sz="4" w:space="0"/>
            </w:tcBorders>
            <w:vAlign w:val="center"/>
          </w:tcPr>
          <w:p>
            <w:pPr>
              <w:widowControl/>
              <w:adjustRightInd w:val="0"/>
              <w:snapToGrid w:val="0"/>
              <w:jc w:val="center"/>
              <w:rPr>
                <w:b/>
                <w:bCs/>
                <w:color w:val="000000"/>
                <w:kern w:val="0"/>
                <w:sz w:val="24"/>
              </w:rPr>
            </w:pPr>
            <w:r>
              <w:rPr>
                <w:rFonts w:hint="eastAsia"/>
                <w:b/>
                <w:bCs/>
                <w:color w:val="000000"/>
                <w:kern w:val="0"/>
                <w:sz w:val="24"/>
              </w:rPr>
              <w:t>当年</w:t>
            </w:r>
            <w:r>
              <w:rPr>
                <w:b/>
                <w:bCs/>
                <w:color w:val="000000"/>
                <w:kern w:val="0"/>
                <w:sz w:val="24"/>
              </w:rPr>
              <w:t>项目到账</w:t>
            </w:r>
          </w:p>
          <w:p>
            <w:pPr>
              <w:widowControl/>
              <w:adjustRightInd w:val="0"/>
              <w:snapToGrid w:val="0"/>
              <w:jc w:val="center"/>
              <w:rPr>
                <w:color w:val="000000"/>
                <w:kern w:val="0"/>
                <w:sz w:val="24"/>
              </w:rPr>
            </w:pPr>
            <w:r>
              <w:rPr>
                <w:b/>
                <w:bCs/>
                <w:color w:val="000000"/>
                <w:kern w:val="0"/>
                <w:sz w:val="24"/>
              </w:rPr>
              <w:t xml:space="preserve"> 总经费</w:t>
            </w:r>
          </w:p>
        </w:tc>
        <w:tc>
          <w:tcPr>
            <w:tcW w:w="2040" w:type="dxa"/>
            <w:gridSpan w:val="5"/>
            <w:tcBorders>
              <w:top w:val="single" w:color="auto" w:sz="12" w:space="0"/>
              <w:left w:val="single" w:color="auto" w:sz="4" w:space="0"/>
              <w:bottom w:val="single" w:color="auto" w:sz="12"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 w:val="24"/>
              </w:rPr>
            </w:pPr>
            <w:r>
              <w:rPr>
                <w:rFonts w:hint="eastAsia"/>
                <w:color w:val="000000"/>
                <w:kern w:val="0"/>
                <w:sz w:val="24"/>
              </w:rPr>
              <w:t>4320</w:t>
            </w:r>
            <w:r>
              <w:rPr>
                <w:color w:val="000000"/>
                <w:kern w:val="0"/>
                <w:sz w:val="24"/>
              </w:rPr>
              <w:t>万元</w:t>
            </w:r>
          </w:p>
        </w:tc>
        <w:tc>
          <w:tcPr>
            <w:tcW w:w="1752" w:type="dxa"/>
            <w:gridSpan w:val="4"/>
            <w:tcBorders>
              <w:top w:val="single" w:color="auto" w:sz="12" w:space="0"/>
              <w:left w:val="single" w:color="auto" w:sz="4" w:space="0"/>
              <w:bottom w:val="single" w:color="auto" w:sz="12" w:space="0"/>
              <w:right w:val="single" w:color="auto" w:sz="4" w:space="0"/>
            </w:tcBorders>
            <w:shd w:val="clear" w:color="auto" w:fill="auto"/>
            <w:noWrap/>
            <w:tcMar>
              <w:top w:w="0" w:type="dxa"/>
              <w:left w:w="108" w:type="dxa"/>
              <w:bottom w:w="0" w:type="dxa"/>
              <w:right w:w="108" w:type="dxa"/>
            </w:tcMar>
            <w:vAlign w:val="center"/>
          </w:tcPr>
          <w:p>
            <w:pPr>
              <w:widowControl/>
              <w:adjustRightInd w:val="0"/>
              <w:snapToGrid w:val="0"/>
              <w:jc w:val="center"/>
              <w:rPr>
                <w:color w:val="000000"/>
                <w:kern w:val="0"/>
                <w:sz w:val="24"/>
              </w:rPr>
            </w:pPr>
            <w:r>
              <w:rPr>
                <w:color w:val="000000"/>
                <w:kern w:val="0"/>
                <w:sz w:val="24"/>
              </w:rPr>
              <w:t>纵向经费</w:t>
            </w:r>
          </w:p>
        </w:tc>
        <w:tc>
          <w:tcPr>
            <w:tcW w:w="1427" w:type="dxa"/>
            <w:gridSpan w:val="4"/>
            <w:tcBorders>
              <w:top w:val="single" w:color="auto" w:sz="12" w:space="0"/>
              <w:left w:val="single" w:color="auto" w:sz="4" w:space="0"/>
              <w:bottom w:val="single" w:color="auto" w:sz="12"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 w:val="24"/>
              </w:rPr>
            </w:pPr>
            <w:r>
              <w:rPr>
                <w:rFonts w:hint="eastAsia"/>
                <w:color w:val="000000"/>
                <w:kern w:val="0"/>
                <w:sz w:val="24"/>
              </w:rPr>
              <w:t>2675</w:t>
            </w:r>
            <w:r>
              <w:rPr>
                <w:color w:val="000000"/>
                <w:kern w:val="0"/>
                <w:sz w:val="24"/>
              </w:rPr>
              <w:t>万元</w:t>
            </w:r>
          </w:p>
        </w:tc>
        <w:tc>
          <w:tcPr>
            <w:tcW w:w="1417" w:type="dxa"/>
            <w:gridSpan w:val="4"/>
            <w:tcBorders>
              <w:top w:val="single" w:color="auto" w:sz="12" w:space="0"/>
              <w:left w:val="single" w:color="auto" w:sz="4" w:space="0"/>
              <w:bottom w:val="single" w:color="auto" w:sz="12" w:space="0"/>
              <w:right w:val="single" w:color="auto" w:sz="4" w:space="0"/>
            </w:tcBorders>
            <w:shd w:val="clear" w:color="auto" w:fill="auto"/>
            <w:noWrap/>
            <w:tcMar>
              <w:top w:w="0" w:type="dxa"/>
              <w:left w:w="0" w:type="dxa"/>
              <w:bottom w:w="0" w:type="dxa"/>
              <w:right w:w="0" w:type="dxa"/>
            </w:tcMar>
            <w:vAlign w:val="center"/>
          </w:tcPr>
          <w:p>
            <w:pPr>
              <w:widowControl/>
              <w:tabs>
                <w:tab w:val="left" w:pos="0"/>
              </w:tabs>
              <w:adjustRightInd w:val="0"/>
              <w:snapToGrid w:val="0"/>
              <w:ind w:right="-5"/>
              <w:jc w:val="center"/>
              <w:rPr>
                <w:color w:val="000000"/>
                <w:kern w:val="0"/>
                <w:sz w:val="24"/>
              </w:rPr>
            </w:pPr>
            <w:r>
              <w:rPr>
                <w:color w:val="000000"/>
                <w:kern w:val="0"/>
                <w:sz w:val="24"/>
              </w:rPr>
              <w:t>横向经费</w:t>
            </w:r>
          </w:p>
        </w:tc>
        <w:tc>
          <w:tcPr>
            <w:tcW w:w="1061" w:type="dxa"/>
            <w:gridSpan w:val="2"/>
            <w:tcBorders>
              <w:top w:val="single" w:color="auto" w:sz="12" w:space="0"/>
              <w:left w:val="single" w:color="auto" w:sz="4" w:space="0"/>
              <w:bottom w:val="single" w:color="auto" w:sz="12" w:space="0"/>
              <w:right w:val="single" w:color="auto" w:sz="12"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 w:val="24"/>
              </w:rPr>
            </w:pPr>
            <w:r>
              <w:rPr>
                <w:rFonts w:hint="eastAsia"/>
                <w:sz w:val="24"/>
              </w:rPr>
              <w:t>1645</w:t>
            </w:r>
            <w:r>
              <w:rPr>
                <w:color w:val="000000"/>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restart"/>
            <w:tcBorders>
              <w:top w:val="single" w:color="auto" w:sz="12" w:space="0"/>
              <w:left w:val="single" w:color="auto" w:sz="12"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当年知识产权与成果转化</w:t>
            </w:r>
          </w:p>
          <w:p>
            <w:pPr>
              <w:widowControl/>
              <w:adjustRightInd w:val="0"/>
              <w:snapToGrid w:val="0"/>
              <w:jc w:val="center"/>
              <w:rPr>
                <w:b/>
                <w:bCs/>
                <w:color w:val="000000"/>
                <w:kern w:val="0"/>
                <w:sz w:val="24"/>
              </w:rPr>
            </w:pPr>
          </w:p>
        </w:tc>
        <w:tc>
          <w:tcPr>
            <w:tcW w:w="2040" w:type="dxa"/>
            <w:gridSpan w:val="5"/>
            <w:tcBorders>
              <w:top w:val="single" w:color="auto" w:sz="12"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专利等知识产权</w:t>
            </w:r>
          </w:p>
          <w:p>
            <w:pPr>
              <w:widowControl/>
              <w:adjustRightInd w:val="0"/>
              <w:snapToGrid w:val="0"/>
              <w:jc w:val="center"/>
              <w:rPr>
                <w:color w:val="000000"/>
                <w:kern w:val="0"/>
                <w:sz w:val="24"/>
              </w:rPr>
            </w:pPr>
            <w:r>
              <w:rPr>
                <w:rFonts w:hint="eastAsia"/>
                <w:b/>
                <w:bCs/>
                <w:color w:val="000000"/>
                <w:kern w:val="0"/>
                <w:sz w:val="24"/>
              </w:rPr>
              <w:t>持有情况</w:t>
            </w:r>
          </w:p>
        </w:tc>
        <w:tc>
          <w:tcPr>
            <w:tcW w:w="1752" w:type="dxa"/>
            <w:gridSpan w:val="4"/>
            <w:tcBorders>
              <w:top w:val="single" w:color="auto" w:sz="12"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有效专利</w:t>
            </w:r>
          </w:p>
        </w:tc>
        <w:tc>
          <w:tcPr>
            <w:tcW w:w="1427" w:type="dxa"/>
            <w:gridSpan w:val="4"/>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 w:val="24"/>
                <w:szCs w:val="21"/>
              </w:rPr>
              <w:t>90项</w:t>
            </w:r>
          </w:p>
        </w:tc>
        <w:tc>
          <w:tcPr>
            <w:tcW w:w="1417" w:type="dxa"/>
            <w:gridSpan w:val="4"/>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其他知识产权</w:t>
            </w:r>
          </w:p>
        </w:tc>
        <w:tc>
          <w:tcPr>
            <w:tcW w:w="1061" w:type="dxa"/>
            <w:gridSpan w:val="2"/>
            <w:tcBorders>
              <w:top w:val="single" w:color="auto" w:sz="12"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20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参与标准与规范</w:t>
            </w:r>
          </w:p>
          <w:p>
            <w:pPr>
              <w:widowControl/>
              <w:adjustRightInd w:val="0"/>
              <w:snapToGrid w:val="0"/>
              <w:jc w:val="center"/>
              <w:rPr>
                <w:b/>
                <w:bCs/>
                <w:color w:val="000000"/>
                <w:kern w:val="0"/>
                <w:sz w:val="24"/>
              </w:rPr>
            </w:pPr>
            <w:r>
              <w:rPr>
                <w:rFonts w:hint="eastAsia"/>
                <w:b/>
                <w:bCs/>
                <w:color w:val="000000"/>
                <w:kern w:val="0"/>
                <w:sz w:val="24"/>
              </w:rPr>
              <w:t>制定情况</w:t>
            </w: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国际/国家标准</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0项</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行业/地方标准</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2040" w:type="dxa"/>
            <w:gridSpan w:val="5"/>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以转让方式转化科技成果</w:t>
            </w: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8</w:t>
            </w:r>
            <w:r>
              <w:rPr>
                <w:color w:val="000000"/>
                <w:kern w:val="0"/>
                <w:szCs w:val="21"/>
              </w:rPr>
              <w:t>项</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w:t>
            </w:r>
            <w:r>
              <w:rPr>
                <w:color w:val="000000"/>
                <w:kern w:val="0"/>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2040" w:type="dxa"/>
            <w:gridSpan w:val="5"/>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1200万元</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2040" w:type="dxa"/>
            <w:gridSpan w:val="5"/>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700万元</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以许可方式转化科技成果</w:t>
            </w: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w:t>
            </w:r>
            <w:r>
              <w:rPr>
                <w:color w:val="000000"/>
                <w:kern w:val="0"/>
                <w:szCs w:val="21"/>
              </w:rPr>
              <w:t>项</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w:t>
            </w:r>
            <w:r>
              <w:rPr>
                <w:color w:val="000000"/>
                <w:kern w:val="0"/>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350万元</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200万元</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以作价投资方式转化科技成果</w:t>
            </w: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41"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b/>
                <w:bCs/>
                <w:color w:val="000000"/>
                <w:kern w:val="0"/>
                <w:sz w:val="24"/>
              </w:rPr>
            </w:pPr>
          </w:p>
        </w:tc>
        <w:tc>
          <w:tcPr>
            <w:tcW w:w="175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作价金额</w:t>
            </w:r>
          </w:p>
        </w:tc>
        <w:tc>
          <w:tcPr>
            <w:tcW w:w="142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0万元</w:t>
            </w:r>
          </w:p>
        </w:tc>
        <w:tc>
          <w:tcPr>
            <w:tcW w:w="1417"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vMerge w:val="continue"/>
            <w:tcBorders>
              <w:top w:val="single" w:color="auto" w:sz="4" w:space="0"/>
              <w:left w:val="single" w:color="auto" w:sz="12" w:space="0"/>
              <w:bottom w:val="single" w:color="auto" w:sz="12" w:space="0"/>
              <w:right w:val="single" w:color="auto" w:sz="4" w:space="0"/>
            </w:tcBorders>
            <w:vAlign w:val="center"/>
          </w:tcPr>
          <w:p>
            <w:pPr>
              <w:widowControl/>
              <w:adjustRightInd w:val="0"/>
              <w:snapToGrid w:val="0"/>
              <w:jc w:val="center"/>
              <w:rPr>
                <w:b/>
                <w:bCs/>
                <w:color w:val="000000"/>
                <w:kern w:val="0"/>
                <w:sz w:val="24"/>
              </w:rPr>
            </w:pPr>
          </w:p>
        </w:tc>
        <w:tc>
          <w:tcPr>
            <w:tcW w:w="2040" w:type="dxa"/>
            <w:gridSpan w:val="5"/>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adjustRightInd w:val="0"/>
              <w:snapToGrid w:val="0"/>
              <w:jc w:val="center"/>
              <w:rPr>
                <w:color w:val="000000"/>
                <w:kern w:val="0"/>
                <w:sz w:val="24"/>
              </w:rPr>
            </w:pPr>
            <w:r>
              <w:rPr>
                <w:rFonts w:hint="eastAsia"/>
                <w:b/>
                <w:bCs/>
                <w:color w:val="000000"/>
                <w:kern w:val="0"/>
                <w:sz w:val="24"/>
              </w:rPr>
              <w:t>产学研合作情况</w:t>
            </w:r>
          </w:p>
        </w:tc>
        <w:tc>
          <w:tcPr>
            <w:tcW w:w="1752" w:type="dxa"/>
            <w:gridSpan w:val="4"/>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adjustRightInd w:val="0"/>
              <w:snapToGrid w:val="0"/>
              <w:jc w:val="center"/>
              <w:rPr>
                <w:color w:val="000000"/>
                <w:kern w:val="0"/>
                <w:szCs w:val="21"/>
              </w:rPr>
            </w:pPr>
            <w:r>
              <w:rPr>
                <w:rFonts w:hint="eastAsia"/>
                <w:color w:val="000000"/>
                <w:kern w:val="0"/>
                <w:szCs w:val="21"/>
              </w:rPr>
              <w:t>技术开发、咨询、服务项目合同数</w:t>
            </w:r>
          </w:p>
        </w:tc>
        <w:tc>
          <w:tcPr>
            <w:tcW w:w="900" w:type="dxa"/>
            <w:gridSpan w:val="2"/>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8</w:t>
            </w:r>
            <w:r>
              <w:rPr>
                <w:color w:val="000000"/>
                <w:kern w:val="0"/>
                <w:szCs w:val="21"/>
              </w:rPr>
              <w:t>项</w:t>
            </w:r>
          </w:p>
        </w:tc>
        <w:tc>
          <w:tcPr>
            <w:tcW w:w="1944" w:type="dxa"/>
            <w:gridSpan w:val="6"/>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color w:val="000000"/>
                <w:kern w:val="0"/>
                <w:szCs w:val="21"/>
              </w:rPr>
              <w:t>技术开发、咨询、服务项目合同金额</w:t>
            </w:r>
          </w:p>
        </w:tc>
        <w:tc>
          <w:tcPr>
            <w:tcW w:w="1061" w:type="dxa"/>
            <w:gridSpan w:val="2"/>
            <w:tcBorders>
              <w:top w:val="single" w:color="auto" w:sz="4" w:space="0"/>
              <w:left w:val="single" w:color="auto" w:sz="4" w:space="0"/>
              <w:bottom w:val="single" w:color="auto" w:sz="12"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1200万元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1" w:type="dxa"/>
            <w:gridSpan w:val="2"/>
            <w:tcBorders>
              <w:top w:val="single" w:color="auto" w:sz="12" w:space="0"/>
              <w:left w:val="single" w:color="auto" w:sz="12" w:space="0"/>
              <w:bottom w:val="single" w:color="auto" w:sz="12" w:space="0"/>
            </w:tcBorders>
            <w:vAlign w:val="center"/>
          </w:tcPr>
          <w:p>
            <w:pPr>
              <w:widowControl/>
              <w:adjustRightInd w:val="0"/>
              <w:snapToGrid w:val="0"/>
              <w:jc w:val="center"/>
            </w:pPr>
            <w:r>
              <w:rPr>
                <w:rFonts w:hint="eastAsia"/>
                <w:b/>
                <w:bCs/>
                <w:color w:val="000000"/>
                <w:kern w:val="0"/>
                <w:sz w:val="24"/>
              </w:rPr>
              <w:t>当年服务情况</w:t>
            </w:r>
          </w:p>
        </w:tc>
        <w:tc>
          <w:tcPr>
            <w:tcW w:w="2040" w:type="dxa"/>
            <w:gridSpan w:val="5"/>
            <w:tcBorders>
              <w:top w:val="single" w:color="auto" w:sz="12" w:space="0"/>
              <w:bottom w:val="single" w:color="auto" w:sz="12" w:space="0"/>
            </w:tcBorders>
            <w:shd w:val="clear" w:color="auto" w:fill="auto"/>
            <w:noWrap/>
            <w:vAlign w:val="center"/>
          </w:tcPr>
          <w:p>
            <w:pPr>
              <w:widowControl/>
              <w:adjustRightInd w:val="0"/>
              <w:snapToGrid w:val="0"/>
              <w:jc w:val="center"/>
              <w:rPr>
                <w:b/>
                <w:bCs/>
                <w:color w:val="000000"/>
                <w:kern w:val="0"/>
                <w:sz w:val="24"/>
              </w:rPr>
            </w:pPr>
            <w:r>
              <w:rPr>
                <w:rFonts w:hint="eastAsia"/>
                <w:b/>
                <w:bCs/>
                <w:color w:val="000000"/>
                <w:kern w:val="0"/>
                <w:sz w:val="24"/>
              </w:rPr>
              <w:t>技术咨询</w:t>
            </w:r>
          </w:p>
        </w:tc>
        <w:tc>
          <w:tcPr>
            <w:tcW w:w="2652" w:type="dxa"/>
            <w:gridSpan w:val="6"/>
            <w:tcBorders>
              <w:top w:val="single" w:color="auto" w:sz="12" w:space="0"/>
              <w:bottom w:val="single" w:color="auto" w:sz="12" w:space="0"/>
            </w:tcBorders>
            <w:shd w:val="clear" w:color="auto" w:fill="auto"/>
            <w:noWrap/>
            <w:vAlign w:val="center"/>
          </w:tcPr>
          <w:p>
            <w:pPr>
              <w:widowControl/>
              <w:adjustRightInd w:val="0"/>
              <w:snapToGrid w:val="0"/>
              <w:jc w:val="right"/>
              <w:rPr>
                <w:color w:val="000000"/>
                <w:kern w:val="0"/>
                <w:szCs w:val="21"/>
              </w:rPr>
            </w:pPr>
            <w:r>
              <w:rPr>
                <w:rFonts w:hint="eastAsia"/>
                <w:color w:val="000000"/>
                <w:kern w:val="0"/>
                <w:sz w:val="20"/>
                <w:szCs w:val="20"/>
              </w:rPr>
              <w:t>3次</w:t>
            </w:r>
          </w:p>
        </w:tc>
        <w:tc>
          <w:tcPr>
            <w:tcW w:w="1944" w:type="dxa"/>
            <w:gridSpan w:val="6"/>
            <w:tcBorders>
              <w:top w:val="single" w:color="auto" w:sz="12" w:space="0"/>
              <w:bottom w:val="single" w:color="auto" w:sz="12" w:space="0"/>
            </w:tcBorders>
            <w:shd w:val="clear" w:color="auto" w:fill="auto"/>
            <w:noWrap/>
            <w:tcMar>
              <w:left w:w="0" w:type="dxa"/>
              <w:right w:w="0" w:type="dxa"/>
            </w:tcMar>
            <w:vAlign w:val="center"/>
          </w:tcPr>
          <w:p>
            <w:pPr>
              <w:widowControl/>
              <w:adjustRightInd w:val="0"/>
              <w:snapToGrid w:val="0"/>
              <w:jc w:val="center"/>
              <w:rPr>
                <w:color w:val="000000"/>
                <w:kern w:val="0"/>
                <w:szCs w:val="21"/>
              </w:rPr>
            </w:pPr>
            <w:r>
              <w:rPr>
                <w:rFonts w:hint="eastAsia"/>
                <w:b/>
                <w:bCs/>
                <w:color w:val="000000"/>
                <w:kern w:val="0"/>
                <w:sz w:val="24"/>
              </w:rPr>
              <w:t>培训服务</w:t>
            </w:r>
          </w:p>
        </w:tc>
        <w:tc>
          <w:tcPr>
            <w:tcW w:w="1061" w:type="dxa"/>
            <w:gridSpan w:val="2"/>
            <w:tcBorders>
              <w:top w:val="single" w:color="auto" w:sz="12" w:space="0"/>
              <w:bottom w:val="single" w:color="auto" w:sz="12"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Cs w:val="21"/>
              </w:rPr>
            </w:pPr>
            <w:r>
              <w:rPr>
                <w:rFonts w:hint="eastAsia"/>
                <w:color w:val="000000"/>
                <w:kern w:val="0"/>
                <w:szCs w:val="21"/>
              </w:rPr>
              <w:t>30人次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restart"/>
            <w:tcBorders>
              <w:top w:val="single" w:color="auto" w:sz="12" w:space="0"/>
              <w:left w:val="single" w:color="auto" w:sz="12"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spacing w:line="360" w:lineRule="auto"/>
              <w:jc w:val="center"/>
              <w:rPr>
                <w:b/>
                <w:color w:val="000000"/>
                <w:kern w:val="0"/>
                <w:sz w:val="24"/>
              </w:rPr>
            </w:pPr>
            <w:r>
              <w:rPr>
                <w:b/>
                <w:color w:val="000000"/>
                <w:kern w:val="0"/>
                <w:sz w:val="24"/>
              </w:rPr>
              <w:t>学科发展与人才培养</w:t>
            </w:r>
          </w:p>
        </w:tc>
        <w:tc>
          <w:tcPr>
            <w:tcW w:w="1414" w:type="dxa"/>
            <w:gridSpan w:val="2"/>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b/>
                <w:bCs/>
                <w:color w:val="000000"/>
                <w:kern w:val="0"/>
                <w:sz w:val="24"/>
              </w:rPr>
            </w:pPr>
            <w:r>
              <w:rPr>
                <w:b/>
                <w:bCs/>
                <w:color w:val="000000"/>
                <w:kern w:val="0"/>
                <w:sz w:val="24"/>
              </w:rPr>
              <w:t>依托学科</w:t>
            </w:r>
          </w:p>
          <w:p>
            <w:pPr>
              <w:widowControl/>
              <w:adjustRightInd w:val="0"/>
              <w:snapToGrid w:val="0"/>
              <w:jc w:val="center"/>
              <w:rPr>
                <w:color w:val="000000"/>
                <w:kern w:val="0"/>
                <w:sz w:val="24"/>
              </w:rPr>
            </w:pPr>
            <w:r>
              <w:rPr>
                <w:color w:val="000000"/>
                <w:kern w:val="0"/>
                <w:sz w:val="24"/>
              </w:rPr>
              <w:t>(据实增删)</w:t>
            </w:r>
          </w:p>
        </w:tc>
        <w:tc>
          <w:tcPr>
            <w:tcW w:w="914" w:type="dxa"/>
            <w:gridSpan w:val="2"/>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学科1</w:t>
            </w:r>
          </w:p>
        </w:tc>
        <w:tc>
          <w:tcPr>
            <w:tcW w:w="1464" w:type="dxa"/>
            <w:gridSpan w:val="4"/>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adjustRightInd w:val="0"/>
              <w:snapToGrid w:val="0"/>
              <w:jc w:val="center"/>
              <w:rPr>
                <w:color w:val="000000"/>
                <w:kern w:val="0"/>
                <w:sz w:val="24"/>
              </w:rPr>
            </w:pPr>
          </w:p>
        </w:tc>
        <w:tc>
          <w:tcPr>
            <w:tcW w:w="756" w:type="dxa"/>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adjustRightInd w:val="0"/>
              <w:snapToGrid w:val="0"/>
              <w:jc w:val="center"/>
              <w:rPr>
                <w:color w:val="000000"/>
                <w:kern w:val="0"/>
                <w:sz w:val="24"/>
              </w:rPr>
            </w:pPr>
            <w:r>
              <w:rPr>
                <w:color w:val="000000"/>
                <w:kern w:val="0"/>
                <w:sz w:val="24"/>
              </w:rPr>
              <w:t>学科2</w:t>
            </w:r>
          </w:p>
        </w:tc>
        <w:tc>
          <w:tcPr>
            <w:tcW w:w="1680" w:type="dxa"/>
            <w:gridSpan w:val="6"/>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adjustRightInd w:val="0"/>
              <w:snapToGrid w:val="0"/>
              <w:jc w:val="center"/>
              <w:rPr>
                <w:color w:val="000000"/>
                <w:kern w:val="0"/>
                <w:sz w:val="24"/>
              </w:rPr>
            </w:pPr>
          </w:p>
        </w:tc>
        <w:tc>
          <w:tcPr>
            <w:tcW w:w="833" w:type="dxa"/>
            <w:gridSpan w:val="2"/>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adjustRightInd w:val="0"/>
              <w:snapToGrid w:val="0"/>
              <w:jc w:val="center"/>
              <w:rPr>
                <w:color w:val="000000"/>
                <w:kern w:val="0"/>
                <w:sz w:val="24"/>
              </w:rPr>
            </w:pPr>
            <w:r>
              <w:rPr>
                <w:color w:val="000000"/>
                <w:kern w:val="0"/>
                <w:sz w:val="24"/>
              </w:rPr>
              <w:t>学科3</w:t>
            </w:r>
          </w:p>
        </w:tc>
        <w:tc>
          <w:tcPr>
            <w:tcW w:w="1416" w:type="dxa"/>
            <w:gridSpan w:val="3"/>
            <w:tcBorders>
              <w:top w:val="single" w:color="auto" w:sz="12" w:space="0"/>
              <w:left w:val="single" w:color="auto" w:sz="4" w:space="0"/>
              <w:bottom w:val="single" w:color="auto" w:sz="4" w:space="0"/>
              <w:right w:val="single" w:color="auto" w:sz="12" w:space="0"/>
            </w:tcBorders>
            <w:shd w:val="clear" w:color="auto" w:fill="auto"/>
            <w:noWrap/>
            <w:tcMar>
              <w:left w:w="0" w:type="dxa"/>
              <w:right w:w="0" w:type="dxa"/>
            </w:tcMar>
            <w:vAlign w:val="center"/>
          </w:tcPr>
          <w:p>
            <w:pPr>
              <w:adjustRightInd w:val="0"/>
              <w:snapToGrid w:val="0"/>
              <w:jc w:val="center"/>
              <w:rPr>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continue"/>
            <w:tcBorders>
              <w:top w:val="single" w:color="auto" w:sz="4" w:space="0"/>
              <w:left w:val="single" w:color="auto" w:sz="12"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spacing w:line="360" w:lineRule="auto"/>
              <w:jc w:val="center"/>
              <w:rPr>
                <w:b/>
                <w:color w:val="000000"/>
                <w:kern w:val="0"/>
                <w:sz w:val="24"/>
              </w:rPr>
            </w:pPr>
          </w:p>
        </w:tc>
        <w:tc>
          <w:tcPr>
            <w:tcW w:w="1414" w:type="dxa"/>
            <w:gridSpan w:val="2"/>
            <w:vMerge w:val="restart"/>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b/>
                <w:bCs/>
                <w:color w:val="000000"/>
                <w:kern w:val="0"/>
                <w:sz w:val="24"/>
              </w:rPr>
            </w:pPr>
            <w:r>
              <w:rPr>
                <w:b/>
                <w:bCs/>
                <w:color w:val="000000"/>
                <w:kern w:val="0"/>
                <w:sz w:val="24"/>
              </w:rPr>
              <w:t>研究生</w:t>
            </w:r>
          </w:p>
          <w:p>
            <w:pPr>
              <w:widowControl/>
              <w:adjustRightInd w:val="0"/>
              <w:snapToGrid w:val="0"/>
              <w:jc w:val="center"/>
              <w:rPr>
                <w:color w:val="000000"/>
                <w:kern w:val="0"/>
                <w:sz w:val="24"/>
              </w:rPr>
            </w:pPr>
            <w:r>
              <w:rPr>
                <w:b/>
                <w:bCs/>
                <w:color w:val="000000"/>
                <w:kern w:val="0"/>
                <w:sz w:val="24"/>
              </w:rPr>
              <w:t>培养</w:t>
            </w:r>
          </w:p>
        </w:tc>
        <w:tc>
          <w:tcPr>
            <w:tcW w:w="1406"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在读博士</w:t>
            </w:r>
          </w:p>
        </w:tc>
        <w:tc>
          <w:tcPr>
            <w:tcW w:w="1728" w:type="dxa"/>
            <w:gridSpan w:val="3"/>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50</w:t>
            </w:r>
            <w:r>
              <w:rPr>
                <w:color w:val="000000"/>
                <w:kern w:val="0"/>
                <w:sz w:val="24"/>
              </w:rPr>
              <w:t>人</w:t>
            </w: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widowControl/>
              <w:adjustRightInd w:val="0"/>
              <w:snapToGrid w:val="0"/>
              <w:jc w:val="center"/>
              <w:rPr>
                <w:color w:val="000000"/>
                <w:kern w:val="0"/>
                <w:sz w:val="24"/>
              </w:rPr>
            </w:pPr>
            <w:r>
              <w:rPr>
                <w:color w:val="000000"/>
                <w:kern w:val="0"/>
                <w:sz w:val="24"/>
              </w:rPr>
              <w:t>在读硕士</w:t>
            </w:r>
          </w:p>
        </w:tc>
        <w:tc>
          <w:tcPr>
            <w:tcW w:w="1416" w:type="dxa"/>
            <w:gridSpan w:val="3"/>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adjustRightInd w:val="0"/>
              <w:snapToGrid w:val="0"/>
              <w:jc w:val="right"/>
              <w:rPr>
                <w:color w:val="000000"/>
                <w:kern w:val="0"/>
                <w:sz w:val="24"/>
              </w:rPr>
            </w:pPr>
            <w:r>
              <w:rPr>
                <w:rFonts w:hint="eastAsia"/>
                <w:color w:val="000000"/>
                <w:kern w:val="0"/>
                <w:sz w:val="24"/>
              </w:rPr>
              <w:t>94</w:t>
            </w:r>
            <w:r>
              <w:rPr>
                <w:color w:val="000000"/>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0" w:hRule="atLeast"/>
          <w:jc w:val="center"/>
        </w:trPr>
        <w:tc>
          <w:tcPr>
            <w:tcW w:w="961" w:type="dxa"/>
            <w:vMerge w:val="continue"/>
            <w:tcBorders>
              <w:top w:val="single" w:color="auto" w:sz="4" w:space="0"/>
              <w:left w:val="single" w:color="auto" w:sz="12" w:space="0"/>
              <w:bottom w:val="single" w:color="auto" w:sz="4" w:space="0"/>
              <w:right w:val="single" w:color="auto" w:sz="4" w:space="0"/>
            </w:tcBorders>
            <w:tcMar>
              <w:left w:w="0" w:type="dxa"/>
              <w:right w:w="0" w:type="dxa"/>
            </w:tcMar>
            <w:vAlign w:val="center"/>
          </w:tcPr>
          <w:p>
            <w:pPr>
              <w:widowControl/>
              <w:adjustRightInd w:val="0"/>
              <w:snapToGrid w:val="0"/>
              <w:spacing w:line="360" w:lineRule="auto"/>
              <w:jc w:val="center"/>
              <w:rPr>
                <w:b/>
                <w:color w:val="000000"/>
                <w:kern w:val="0"/>
                <w:sz w:val="24"/>
              </w:rPr>
            </w:pPr>
          </w:p>
        </w:tc>
        <w:tc>
          <w:tcPr>
            <w:tcW w:w="1414"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p>
        </w:tc>
        <w:tc>
          <w:tcPr>
            <w:tcW w:w="1406" w:type="dxa"/>
            <w:gridSpan w:val="4"/>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当年毕业博士</w:t>
            </w:r>
          </w:p>
        </w:tc>
        <w:tc>
          <w:tcPr>
            <w:tcW w:w="1728" w:type="dxa"/>
            <w:gridSpan w:val="3"/>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25</w:t>
            </w:r>
            <w:r>
              <w:rPr>
                <w:color w:val="000000"/>
                <w:kern w:val="0"/>
                <w:sz w:val="24"/>
              </w:rPr>
              <w:t>人</w:t>
            </w:r>
          </w:p>
        </w:tc>
        <w:tc>
          <w:tcPr>
            <w:tcW w:w="2513" w:type="dxa"/>
            <w:gridSpan w:val="8"/>
            <w:tcBorders>
              <w:top w:val="single" w:color="auto" w:sz="4"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当年毕业硕士</w:t>
            </w:r>
          </w:p>
        </w:tc>
        <w:tc>
          <w:tcPr>
            <w:tcW w:w="1416" w:type="dxa"/>
            <w:gridSpan w:val="3"/>
            <w:tcBorders>
              <w:top w:val="single" w:color="auto" w:sz="4"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36</w:t>
            </w:r>
            <w:r>
              <w:rPr>
                <w:color w:val="000000"/>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continue"/>
            <w:tcBorders>
              <w:top w:val="single" w:color="auto" w:sz="4" w:space="0"/>
              <w:left w:val="single" w:color="auto" w:sz="12" w:space="0"/>
              <w:bottom w:val="single" w:color="auto" w:sz="12" w:space="0"/>
              <w:right w:val="single" w:color="auto" w:sz="4" w:space="0"/>
            </w:tcBorders>
            <w:tcMar>
              <w:left w:w="0" w:type="dxa"/>
              <w:right w:w="0" w:type="dxa"/>
            </w:tcMar>
            <w:vAlign w:val="center"/>
          </w:tcPr>
          <w:p>
            <w:pPr>
              <w:widowControl/>
              <w:adjustRightInd w:val="0"/>
              <w:snapToGrid w:val="0"/>
              <w:spacing w:line="360" w:lineRule="auto"/>
              <w:jc w:val="center"/>
              <w:rPr>
                <w:b/>
                <w:color w:val="000000"/>
                <w:kern w:val="0"/>
                <w:sz w:val="24"/>
              </w:rPr>
            </w:pPr>
          </w:p>
        </w:tc>
        <w:tc>
          <w:tcPr>
            <w:tcW w:w="1414" w:type="dxa"/>
            <w:gridSpan w:val="2"/>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b/>
                <w:bCs/>
                <w:color w:val="000000"/>
                <w:kern w:val="0"/>
                <w:sz w:val="24"/>
              </w:rPr>
            </w:pPr>
            <w:r>
              <w:rPr>
                <w:rFonts w:hint="eastAsia"/>
                <w:b/>
                <w:bCs/>
                <w:color w:val="000000"/>
                <w:kern w:val="0"/>
                <w:sz w:val="24"/>
              </w:rPr>
              <w:t>学科建设</w:t>
            </w:r>
          </w:p>
          <w:p>
            <w:pPr>
              <w:widowControl/>
              <w:adjustRightInd w:val="0"/>
              <w:snapToGrid w:val="0"/>
              <w:jc w:val="center"/>
              <w:rPr>
                <w:b/>
                <w:bCs/>
                <w:color w:val="000000"/>
                <w:kern w:val="0"/>
                <w:sz w:val="24"/>
              </w:rPr>
            </w:pPr>
            <w:r>
              <w:rPr>
                <w:rFonts w:hint="eastAsia"/>
                <w:color w:val="000000"/>
                <w:kern w:val="0"/>
                <w:sz w:val="24"/>
              </w:rPr>
              <w:t>（当年情况）</w:t>
            </w:r>
          </w:p>
        </w:tc>
        <w:tc>
          <w:tcPr>
            <w:tcW w:w="1046" w:type="dxa"/>
            <w:gridSpan w:val="3"/>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rFonts w:hint="eastAsia"/>
                <w:color w:val="000000"/>
                <w:kern w:val="0"/>
                <w:sz w:val="24"/>
              </w:rPr>
              <w:t>承担本科课程</w:t>
            </w:r>
          </w:p>
        </w:tc>
        <w:tc>
          <w:tcPr>
            <w:tcW w:w="1104" w:type="dxa"/>
            <w:gridSpan w:val="2"/>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640学时</w:t>
            </w:r>
          </w:p>
        </w:tc>
        <w:tc>
          <w:tcPr>
            <w:tcW w:w="1416" w:type="dxa"/>
            <w:gridSpan w:val="4"/>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承担研究生课程</w:t>
            </w:r>
          </w:p>
        </w:tc>
        <w:tc>
          <w:tcPr>
            <w:tcW w:w="1248" w:type="dxa"/>
            <w:gridSpan w:val="4"/>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480</w:t>
            </w:r>
            <w:r>
              <w:rPr>
                <w:color w:val="000000"/>
                <w:kern w:val="0"/>
                <w:sz w:val="24"/>
              </w:rPr>
              <w:t>学时</w:t>
            </w:r>
          </w:p>
        </w:tc>
        <w:tc>
          <w:tcPr>
            <w:tcW w:w="1284" w:type="dxa"/>
            <w:gridSpan w:val="4"/>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rFonts w:hint="eastAsia"/>
                <w:color w:val="000000"/>
                <w:kern w:val="0"/>
                <w:sz w:val="24"/>
              </w:rPr>
              <w:t>大专院校</w:t>
            </w:r>
          </w:p>
          <w:p>
            <w:pPr>
              <w:widowControl/>
              <w:adjustRightInd w:val="0"/>
              <w:snapToGrid w:val="0"/>
              <w:jc w:val="center"/>
              <w:rPr>
                <w:color w:val="000000"/>
                <w:kern w:val="0"/>
                <w:sz w:val="24"/>
              </w:rPr>
            </w:pPr>
            <w:r>
              <w:rPr>
                <w:rFonts w:hint="eastAsia"/>
                <w:color w:val="000000"/>
                <w:kern w:val="0"/>
                <w:sz w:val="24"/>
              </w:rPr>
              <w:t>教材</w:t>
            </w:r>
          </w:p>
        </w:tc>
        <w:tc>
          <w:tcPr>
            <w:tcW w:w="965" w:type="dxa"/>
            <w:tcBorders>
              <w:top w:val="single" w:color="auto" w:sz="4" w:space="0"/>
              <w:left w:val="single" w:color="auto" w:sz="4" w:space="0"/>
              <w:bottom w:val="single" w:color="auto" w:sz="12"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0部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restart"/>
            <w:tcBorders>
              <w:top w:val="single" w:color="auto" w:sz="12" w:space="0"/>
              <w:left w:val="single" w:color="auto" w:sz="12" w:space="0"/>
              <w:bottom w:val="single" w:color="auto" w:sz="4" w:space="0"/>
              <w:right w:val="single" w:color="auto" w:sz="4" w:space="0"/>
            </w:tcBorders>
            <w:tcMar>
              <w:left w:w="0" w:type="dxa"/>
              <w:right w:w="0" w:type="dxa"/>
            </w:tcMar>
            <w:vAlign w:val="center"/>
          </w:tcPr>
          <w:p>
            <w:pPr>
              <w:adjustRightInd w:val="0"/>
              <w:snapToGrid w:val="0"/>
              <w:spacing w:line="360" w:lineRule="auto"/>
              <w:jc w:val="center"/>
              <w:rPr>
                <w:b/>
                <w:color w:val="000000"/>
                <w:kern w:val="0"/>
                <w:sz w:val="24"/>
              </w:rPr>
            </w:pPr>
            <w:r>
              <w:rPr>
                <w:b/>
                <w:color w:val="000000"/>
                <w:kern w:val="0"/>
                <w:sz w:val="24"/>
              </w:rPr>
              <w:t>研究队伍建设</w:t>
            </w:r>
          </w:p>
        </w:tc>
        <w:tc>
          <w:tcPr>
            <w:tcW w:w="1414" w:type="dxa"/>
            <w:gridSpan w:val="2"/>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b/>
                <w:bCs/>
                <w:color w:val="000000"/>
                <w:kern w:val="0"/>
                <w:sz w:val="24"/>
              </w:rPr>
            </w:pPr>
            <w:r>
              <w:rPr>
                <w:rFonts w:hint="eastAsia"/>
                <w:b/>
                <w:bCs/>
                <w:color w:val="000000"/>
                <w:kern w:val="0"/>
                <w:sz w:val="24"/>
              </w:rPr>
              <w:t>科技人才</w:t>
            </w:r>
          </w:p>
        </w:tc>
        <w:tc>
          <w:tcPr>
            <w:tcW w:w="1046" w:type="dxa"/>
            <w:gridSpan w:val="3"/>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rFonts w:hint="eastAsia"/>
                <w:color w:val="000000"/>
                <w:kern w:val="0"/>
                <w:sz w:val="24"/>
              </w:rPr>
              <w:t>教授</w:t>
            </w:r>
          </w:p>
        </w:tc>
        <w:tc>
          <w:tcPr>
            <w:tcW w:w="1104" w:type="dxa"/>
            <w:gridSpan w:val="2"/>
            <w:tcBorders>
              <w:top w:val="single" w:color="auto" w:sz="12"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 w:val="24"/>
              </w:rPr>
            </w:pPr>
            <w:r>
              <w:rPr>
                <w:rFonts w:hint="eastAsia"/>
                <w:color w:val="000000"/>
                <w:kern w:val="0"/>
                <w:sz w:val="24"/>
              </w:rPr>
              <w:t>26</w:t>
            </w:r>
            <w:r>
              <w:rPr>
                <w:color w:val="000000"/>
                <w:kern w:val="0"/>
                <w:sz w:val="24"/>
              </w:rPr>
              <w:t>人</w:t>
            </w:r>
          </w:p>
        </w:tc>
        <w:tc>
          <w:tcPr>
            <w:tcW w:w="984" w:type="dxa"/>
            <w:gridSpan w:val="2"/>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rFonts w:hint="eastAsia"/>
                <w:color w:val="000000"/>
                <w:kern w:val="0"/>
                <w:sz w:val="24"/>
              </w:rPr>
              <w:t>副教授</w:t>
            </w:r>
          </w:p>
        </w:tc>
        <w:tc>
          <w:tcPr>
            <w:tcW w:w="1404" w:type="dxa"/>
            <w:gridSpan w:val="4"/>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10人</w:t>
            </w:r>
          </w:p>
        </w:tc>
        <w:tc>
          <w:tcPr>
            <w:tcW w:w="948" w:type="dxa"/>
            <w:gridSpan w:val="3"/>
            <w:tcBorders>
              <w:top w:val="single" w:color="auto" w:sz="12" w:space="0"/>
              <w:left w:val="single" w:color="auto" w:sz="4" w:space="0"/>
              <w:bottom w:val="single" w:color="auto" w:sz="4" w:space="0"/>
              <w:right w:val="single" w:color="auto" w:sz="4" w:space="0"/>
            </w:tcBorders>
            <w:shd w:val="clear" w:color="auto" w:fill="auto"/>
            <w:noWrap/>
            <w:tcMar>
              <w:left w:w="0" w:type="dxa"/>
              <w:right w:w="0" w:type="dxa"/>
            </w:tcMar>
            <w:vAlign w:val="center"/>
          </w:tcPr>
          <w:p>
            <w:pPr>
              <w:widowControl/>
              <w:adjustRightInd w:val="0"/>
              <w:snapToGrid w:val="0"/>
              <w:ind w:right="27" w:rightChars="13"/>
              <w:jc w:val="center"/>
              <w:rPr>
                <w:color w:val="000000"/>
                <w:kern w:val="0"/>
                <w:sz w:val="24"/>
              </w:rPr>
            </w:pPr>
            <w:r>
              <w:rPr>
                <w:rFonts w:hint="eastAsia"/>
                <w:color w:val="000000"/>
                <w:kern w:val="0"/>
                <w:sz w:val="24"/>
              </w:rPr>
              <w:t>讲师</w:t>
            </w:r>
          </w:p>
        </w:tc>
        <w:tc>
          <w:tcPr>
            <w:tcW w:w="1577" w:type="dxa"/>
            <w:gridSpan w:val="4"/>
            <w:tcBorders>
              <w:top w:val="single" w:color="auto" w:sz="12" w:space="0"/>
              <w:left w:val="single" w:color="auto" w:sz="4" w:space="0"/>
              <w:bottom w:val="single" w:color="auto" w:sz="4"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0人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continue"/>
            <w:tcBorders>
              <w:top w:val="single" w:color="auto" w:sz="4" w:space="0"/>
              <w:left w:val="single" w:color="auto" w:sz="12" w:space="0"/>
              <w:bottom w:val="single" w:color="auto" w:sz="4" w:space="0"/>
              <w:right w:val="single" w:color="auto" w:sz="4" w:space="0"/>
            </w:tcBorders>
            <w:tcMar>
              <w:left w:w="0" w:type="dxa"/>
              <w:right w:w="0" w:type="dxa"/>
            </w:tcMar>
            <w:vAlign w:val="center"/>
          </w:tcPr>
          <w:p>
            <w:pPr>
              <w:widowControl/>
              <w:adjustRightInd w:val="0"/>
              <w:snapToGrid w:val="0"/>
              <w:spacing w:line="360" w:lineRule="auto"/>
              <w:jc w:val="center"/>
              <w:rPr>
                <w:b/>
                <w:color w:val="000000"/>
                <w:kern w:val="0"/>
                <w:sz w:val="24"/>
              </w:rPr>
            </w:pPr>
          </w:p>
        </w:tc>
        <w:tc>
          <w:tcPr>
            <w:tcW w:w="141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b/>
                <w:bCs/>
                <w:color w:val="000000"/>
                <w:kern w:val="0"/>
                <w:sz w:val="24"/>
              </w:rPr>
            </w:pPr>
            <w:r>
              <w:rPr>
                <w:b/>
                <w:bCs/>
                <w:color w:val="000000"/>
                <w:kern w:val="0"/>
                <w:sz w:val="24"/>
              </w:rPr>
              <w:t>访问学者</w:t>
            </w:r>
          </w:p>
        </w:tc>
        <w:tc>
          <w:tcPr>
            <w:tcW w:w="215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国内</w:t>
            </w:r>
          </w:p>
        </w:tc>
        <w:tc>
          <w:tcPr>
            <w:tcW w:w="984" w:type="dxa"/>
            <w:gridSpan w:val="2"/>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pPr>
              <w:widowControl/>
              <w:adjustRightInd w:val="0"/>
              <w:snapToGrid w:val="0"/>
              <w:jc w:val="right"/>
              <w:rPr>
                <w:color w:val="000000"/>
                <w:kern w:val="0"/>
                <w:sz w:val="24"/>
              </w:rPr>
            </w:pPr>
            <w:r>
              <w:rPr>
                <w:rFonts w:hint="eastAsia"/>
                <w:color w:val="000000"/>
                <w:kern w:val="0"/>
                <w:sz w:val="24"/>
              </w:rPr>
              <w:t>0</w:t>
            </w:r>
            <w:r>
              <w:rPr>
                <w:color w:val="000000"/>
                <w:kern w:val="0"/>
                <w:sz w:val="24"/>
              </w:rPr>
              <w:t>人</w:t>
            </w:r>
          </w:p>
        </w:tc>
        <w:tc>
          <w:tcPr>
            <w:tcW w:w="140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color w:val="000000"/>
                <w:kern w:val="0"/>
                <w:sz w:val="24"/>
              </w:rPr>
            </w:pPr>
            <w:r>
              <w:rPr>
                <w:color w:val="000000"/>
                <w:kern w:val="0"/>
                <w:sz w:val="24"/>
              </w:rPr>
              <w:t>国外</w:t>
            </w:r>
          </w:p>
        </w:tc>
        <w:tc>
          <w:tcPr>
            <w:tcW w:w="2525" w:type="dxa"/>
            <w:gridSpan w:val="7"/>
            <w:tcBorders>
              <w:top w:val="single" w:color="auto" w:sz="4" w:space="0"/>
              <w:left w:val="single" w:color="auto" w:sz="4" w:space="0"/>
              <w:bottom w:val="single" w:color="auto" w:sz="4" w:space="0"/>
              <w:right w:val="single" w:color="auto" w:sz="12" w:space="0"/>
            </w:tcBorders>
            <w:shd w:val="clear" w:color="auto" w:fill="auto"/>
            <w:noWrap/>
            <w:tcMar>
              <w:top w:w="0" w:type="dxa"/>
              <w:left w:w="0" w:type="dxa"/>
              <w:bottom w:w="0" w:type="dxa"/>
              <w:right w:w="0" w:type="dxa"/>
            </w:tcMar>
            <w:vAlign w:val="center"/>
          </w:tcPr>
          <w:p>
            <w:pPr>
              <w:widowControl/>
              <w:adjustRightInd w:val="0"/>
              <w:snapToGrid w:val="0"/>
              <w:jc w:val="right"/>
              <w:rPr>
                <w:sz w:val="24"/>
              </w:rPr>
            </w:pPr>
            <w:r>
              <w:rPr>
                <w:rFonts w:hint="eastAsia"/>
                <w:color w:val="000000"/>
                <w:kern w:val="0"/>
                <w:sz w:val="24"/>
              </w:rPr>
              <w:t>0</w:t>
            </w:r>
            <w:r>
              <w:rPr>
                <w:color w:val="000000"/>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61" w:type="dxa"/>
            <w:vMerge w:val="continue"/>
            <w:tcBorders>
              <w:top w:val="single" w:color="auto" w:sz="4" w:space="0"/>
              <w:left w:val="single" w:color="auto" w:sz="12" w:space="0"/>
              <w:bottom w:val="single" w:color="auto" w:sz="12" w:space="0"/>
              <w:right w:val="single" w:color="auto" w:sz="4" w:space="0"/>
            </w:tcBorders>
            <w:tcMar>
              <w:left w:w="0" w:type="dxa"/>
              <w:right w:w="0" w:type="dxa"/>
            </w:tcMar>
            <w:vAlign w:val="center"/>
          </w:tcPr>
          <w:p>
            <w:pPr>
              <w:widowControl/>
              <w:adjustRightInd w:val="0"/>
              <w:snapToGrid w:val="0"/>
              <w:spacing w:line="360" w:lineRule="auto"/>
              <w:jc w:val="center"/>
              <w:rPr>
                <w:b/>
                <w:color w:val="000000"/>
                <w:kern w:val="0"/>
                <w:sz w:val="24"/>
              </w:rPr>
            </w:pPr>
          </w:p>
        </w:tc>
        <w:tc>
          <w:tcPr>
            <w:tcW w:w="1414" w:type="dxa"/>
            <w:gridSpan w:val="2"/>
            <w:tcBorders>
              <w:top w:val="single" w:color="auto" w:sz="4" w:space="0"/>
              <w:left w:val="single" w:color="auto" w:sz="4" w:space="0"/>
              <w:bottom w:val="single" w:color="auto" w:sz="12" w:space="0"/>
              <w:right w:val="single" w:color="auto" w:sz="4" w:space="0"/>
            </w:tcBorders>
            <w:tcMar>
              <w:left w:w="0" w:type="dxa"/>
              <w:right w:w="0" w:type="dxa"/>
            </w:tcMar>
            <w:vAlign w:val="center"/>
          </w:tcPr>
          <w:p>
            <w:pPr>
              <w:widowControl/>
              <w:adjustRightInd w:val="0"/>
              <w:snapToGrid w:val="0"/>
              <w:jc w:val="center"/>
              <w:rPr>
                <w:b/>
                <w:bCs/>
                <w:color w:val="000000"/>
                <w:kern w:val="0"/>
                <w:sz w:val="24"/>
              </w:rPr>
            </w:pPr>
            <w:r>
              <w:rPr>
                <w:b/>
                <w:bCs/>
                <w:color w:val="000000"/>
                <w:kern w:val="0"/>
                <w:sz w:val="24"/>
              </w:rPr>
              <w:t>博士后</w:t>
            </w:r>
          </w:p>
        </w:tc>
        <w:tc>
          <w:tcPr>
            <w:tcW w:w="2150" w:type="dxa"/>
            <w:gridSpan w:val="5"/>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本年度进站博士后</w:t>
            </w:r>
          </w:p>
        </w:tc>
        <w:tc>
          <w:tcPr>
            <w:tcW w:w="984" w:type="dxa"/>
            <w:gridSpan w:val="2"/>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7</w:t>
            </w:r>
            <w:r>
              <w:rPr>
                <w:color w:val="000000"/>
                <w:kern w:val="0"/>
                <w:sz w:val="24"/>
              </w:rPr>
              <w:t>人</w:t>
            </w:r>
          </w:p>
        </w:tc>
        <w:tc>
          <w:tcPr>
            <w:tcW w:w="2513" w:type="dxa"/>
            <w:gridSpan w:val="8"/>
            <w:tcBorders>
              <w:top w:val="single" w:color="auto" w:sz="4" w:space="0"/>
              <w:left w:val="single" w:color="auto" w:sz="4" w:space="0"/>
              <w:bottom w:val="single" w:color="auto" w:sz="12" w:space="0"/>
              <w:right w:val="single" w:color="auto" w:sz="4" w:space="0"/>
            </w:tcBorders>
            <w:shd w:val="clear" w:color="auto" w:fill="auto"/>
            <w:noWrap/>
            <w:tcMar>
              <w:left w:w="0" w:type="dxa"/>
              <w:right w:w="0" w:type="dxa"/>
            </w:tcMar>
            <w:vAlign w:val="center"/>
          </w:tcPr>
          <w:p>
            <w:pPr>
              <w:widowControl/>
              <w:adjustRightInd w:val="0"/>
              <w:snapToGrid w:val="0"/>
              <w:jc w:val="center"/>
              <w:rPr>
                <w:color w:val="000000"/>
                <w:kern w:val="0"/>
                <w:sz w:val="24"/>
              </w:rPr>
            </w:pPr>
            <w:r>
              <w:rPr>
                <w:color w:val="000000"/>
                <w:kern w:val="0"/>
                <w:sz w:val="24"/>
              </w:rPr>
              <w:t>本年度出站博士后</w:t>
            </w:r>
          </w:p>
        </w:tc>
        <w:tc>
          <w:tcPr>
            <w:tcW w:w="1416" w:type="dxa"/>
            <w:gridSpan w:val="3"/>
            <w:tcBorders>
              <w:top w:val="single" w:color="auto" w:sz="4" w:space="0"/>
              <w:left w:val="single" w:color="auto" w:sz="4" w:space="0"/>
              <w:bottom w:val="single" w:color="auto" w:sz="12" w:space="0"/>
              <w:right w:val="single" w:color="auto" w:sz="12" w:space="0"/>
            </w:tcBorders>
            <w:shd w:val="clear" w:color="auto" w:fill="auto"/>
            <w:noWrap/>
            <w:tcMar>
              <w:left w:w="0" w:type="dxa"/>
              <w:right w:w="0" w:type="dxa"/>
            </w:tcMar>
            <w:vAlign w:val="center"/>
          </w:tcPr>
          <w:p>
            <w:pPr>
              <w:widowControl/>
              <w:adjustRightInd w:val="0"/>
              <w:snapToGrid w:val="0"/>
              <w:jc w:val="right"/>
              <w:rPr>
                <w:color w:val="000000"/>
                <w:kern w:val="0"/>
                <w:sz w:val="24"/>
              </w:rPr>
            </w:pPr>
            <w:r>
              <w:rPr>
                <w:rFonts w:hint="eastAsia"/>
                <w:color w:val="000000"/>
                <w:kern w:val="0"/>
                <w:sz w:val="24"/>
              </w:rPr>
              <w:t>3</w:t>
            </w:r>
            <w:r>
              <w:rPr>
                <w:color w:val="000000"/>
                <w:kern w:val="0"/>
                <w:sz w:val="24"/>
              </w:rPr>
              <w:t>人</w:t>
            </w: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8"/>
        <w:szCs w:val="28"/>
      </w:rPr>
    </w:pP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4</w:t>
    </w:r>
    <w:r>
      <w:rPr>
        <w:sz w:val="28"/>
        <w:szCs w:val="28"/>
      </w:rPr>
      <w:fldChar w:fldCharType="end"/>
    </w:r>
    <w:r>
      <w:rPr>
        <w:rFonts w:hint="eastAsia"/>
        <w:sz w:val="28"/>
        <w:szCs w:val="28"/>
      </w:rPr>
      <w:t xml:space="preserve"> —</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8"/>
        <w:szCs w:val="28"/>
      </w:rPr>
    </w:pP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14</w:t>
    </w:r>
    <w:r>
      <w:rPr>
        <w:sz w:val="28"/>
        <w:szCs w:val="28"/>
      </w:rPr>
      <w:fldChar w:fldCharType="end"/>
    </w:r>
    <w:r>
      <w:rPr>
        <w:rFonts w:hint="eastAsia"/>
        <w:sz w:val="28"/>
        <w:szCs w:val="28"/>
      </w:rPr>
      <w:t xml:space="preserve"> —</w: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p>
    <w:pPr>
      <w:pStyle w:val="6"/>
      <w:pBdr>
        <w:bottom w:val="none" w:color="auto" w:sz="0" w:space="1"/>
      </w:pBdr>
    </w:pPr>
  </w:p>
  <w:p>
    <w:pPr>
      <w:pStyle w:val="6"/>
      <w:pBdr>
        <w:bottom w:val="none" w:color="auto" w:sz="0" w:space="1"/>
      </w:pBdr>
    </w:pPr>
  </w:p>
  <w:p>
    <w:pPr>
      <w:pStyle w:val="6"/>
      <w:pBdr>
        <w:bottom w:val="none" w:color="auto" w:sz="0" w:space="1"/>
      </w:pBdr>
    </w:pPr>
  </w:p>
  <w:p>
    <w:pPr>
      <w:pStyle w:val="6"/>
      <w:pBdr>
        <w:bottom w:val="none" w:color="auto" w:sz="0" w:space="1"/>
      </w:pBdr>
    </w:pPr>
  </w:p>
  <w:p>
    <w:pPr>
      <w:pStyle w:val="6"/>
      <w:pBdr>
        <w:bottom w:val="none" w:color="auto" w:sz="0" w:space="1"/>
      </w:pBdr>
      <w:tabs>
        <w:tab w:val="left" w:pos="6465"/>
        <w:tab w:val="left" w:pos="8182"/>
        <w:tab w:val="right" w:pos="8844"/>
        <w:tab w:val="clear" w:pos="8306"/>
      </w:tabs>
      <w:jc w:val="left"/>
    </w:pPr>
    <w:r>
      <w:rPr>
        <w:rFonts w:hint="eastAsia"/>
      </w:rPr>
      <w:tab/>
    </w:r>
    <w:r>
      <w:rPr>
        <w:rFonts w:hint="eastAsia"/>
      </w:rPr>
      <w:tab/>
    </w: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494B"/>
    <w:multiLevelType w:val="singleLevel"/>
    <w:tmpl w:val="06B1494B"/>
    <w:lvl w:ilvl="0" w:tentative="0">
      <w:start w:val="1"/>
      <w:numFmt w:val="chineseCounting"/>
      <w:suff w:val="nothing"/>
      <w:lvlText w:val="%1、"/>
      <w:lvlJc w:val="left"/>
      <w:rPr>
        <w:rFonts w:hint="eastAsia"/>
      </w:rPr>
    </w:lvl>
  </w:abstractNum>
  <w:abstractNum w:abstractNumId="1">
    <w:nsid w:val="32E178B3"/>
    <w:multiLevelType w:val="singleLevel"/>
    <w:tmpl w:val="32E178B3"/>
    <w:lvl w:ilvl="0" w:tentative="0">
      <w:start w:val="1"/>
      <w:numFmt w:val="decimal"/>
      <w:lvlText w:val="%1."/>
      <w:lvlJc w:val="left"/>
      <w:pPr>
        <w:tabs>
          <w:tab w:val="left" w:pos="312"/>
        </w:tabs>
        <w:ind w:left="640" w:firstLine="0"/>
      </w:pPr>
    </w:lvl>
  </w:abstractNum>
  <w:abstractNum w:abstractNumId="2">
    <w:nsid w:val="412189CC"/>
    <w:multiLevelType w:val="singleLevel"/>
    <w:tmpl w:val="412189CC"/>
    <w:lvl w:ilvl="0" w:tentative="0">
      <w:start w:val="1"/>
      <w:numFmt w:val="decimal"/>
      <w:lvlText w:val="%1."/>
      <w:lvlJc w:val="left"/>
      <w:pPr>
        <w:tabs>
          <w:tab w:val="left" w:pos="312"/>
        </w:tabs>
      </w:pPr>
    </w:lvl>
  </w:abstractNum>
  <w:abstractNum w:abstractNumId="3">
    <w:nsid w:val="6B2FBA17"/>
    <w:multiLevelType w:val="singleLevel"/>
    <w:tmpl w:val="6B2FBA17"/>
    <w:lvl w:ilvl="0" w:tentative="0">
      <w:start w:val="1"/>
      <w:numFmt w:val="decimal"/>
      <w:lvlText w:val="%1."/>
      <w:lvlJc w:val="left"/>
      <w:pPr>
        <w:tabs>
          <w:tab w:val="left" w:pos="312"/>
        </w:tabs>
        <w:ind w:left="640" w:firstLine="0"/>
      </w:pPr>
    </w:lvl>
  </w:abstractNum>
  <w:abstractNum w:abstractNumId="4">
    <w:nsid w:val="70D14C06"/>
    <w:multiLevelType w:val="multilevel"/>
    <w:tmpl w:val="70D14C06"/>
    <w:lvl w:ilvl="0" w:tentative="0">
      <w:start w:val="5"/>
      <w:numFmt w:val="japaneseCounting"/>
      <w:lvlText w:val="%1、"/>
      <w:lvlJc w:val="left"/>
      <w:pPr>
        <w:ind w:left="720" w:hanging="720"/>
      </w:pPr>
      <w:rPr>
        <w:rFonts w:hint="default"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1AE0048"/>
    <w:multiLevelType w:val="multilevel"/>
    <w:tmpl w:val="71AE0048"/>
    <w:lvl w:ilvl="0" w:tentative="0">
      <w:start w:val="1"/>
      <w:numFmt w:val="decimal"/>
      <w:lvlText w:val="(%1)"/>
      <w:lvlJc w:val="left"/>
      <w:pPr>
        <w:ind w:left="360" w:hanging="360"/>
      </w:pPr>
      <w:rPr>
        <w:rFonts w:ascii="Times New Roman" w:hAnsi="Times New Roman" w:eastAsia="楷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86B"/>
    <w:rsid w:val="00032E6A"/>
    <w:rsid w:val="00034D24"/>
    <w:rsid w:val="000365EB"/>
    <w:rsid w:val="00045430"/>
    <w:rsid w:val="000D0526"/>
    <w:rsid w:val="001166C4"/>
    <w:rsid w:val="001170FC"/>
    <w:rsid w:val="001251B2"/>
    <w:rsid w:val="00191BBA"/>
    <w:rsid w:val="0019726A"/>
    <w:rsid w:val="001C0136"/>
    <w:rsid w:val="001C2090"/>
    <w:rsid w:val="0024714B"/>
    <w:rsid w:val="00271017"/>
    <w:rsid w:val="00285868"/>
    <w:rsid w:val="0029403A"/>
    <w:rsid w:val="002D412D"/>
    <w:rsid w:val="002F19A4"/>
    <w:rsid w:val="003065E0"/>
    <w:rsid w:val="00311690"/>
    <w:rsid w:val="003262CD"/>
    <w:rsid w:val="003310C1"/>
    <w:rsid w:val="00374FA3"/>
    <w:rsid w:val="003C026E"/>
    <w:rsid w:val="00427347"/>
    <w:rsid w:val="00430EBA"/>
    <w:rsid w:val="00431827"/>
    <w:rsid w:val="004325A7"/>
    <w:rsid w:val="00462023"/>
    <w:rsid w:val="00464182"/>
    <w:rsid w:val="004746C4"/>
    <w:rsid w:val="004863DC"/>
    <w:rsid w:val="004E49E2"/>
    <w:rsid w:val="00504810"/>
    <w:rsid w:val="00505D43"/>
    <w:rsid w:val="005100EE"/>
    <w:rsid w:val="005134F1"/>
    <w:rsid w:val="0057058D"/>
    <w:rsid w:val="005950BE"/>
    <w:rsid w:val="005B2B23"/>
    <w:rsid w:val="005D6D79"/>
    <w:rsid w:val="005E35FB"/>
    <w:rsid w:val="005E404A"/>
    <w:rsid w:val="00625108"/>
    <w:rsid w:val="00632F38"/>
    <w:rsid w:val="00645A4F"/>
    <w:rsid w:val="00651984"/>
    <w:rsid w:val="00687BAF"/>
    <w:rsid w:val="00692E5B"/>
    <w:rsid w:val="006D35BE"/>
    <w:rsid w:val="006F23E3"/>
    <w:rsid w:val="006F6EEB"/>
    <w:rsid w:val="00750C40"/>
    <w:rsid w:val="00750D48"/>
    <w:rsid w:val="00783BC1"/>
    <w:rsid w:val="007C586B"/>
    <w:rsid w:val="007D6AD7"/>
    <w:rsid w:val="00812746"/>
    <w:rsid w:val="00876EBC"/>
    <w:rsid w:val="00885B8F"/>
    <w:rsid w:val="00896EA5"/>
    <w:rsid w:val="008A09AB"/>
    <w:rsid w:val="008D0188"/>
    <w:rsid w:val="008D6F95"/>
    <w:rsid w:val="008D7051"/>
    <w:rsid w:val="00902038"/>
    <w:rsid w:val="0091625C"/>
    <w:rsid w:val="00973718"/>
    <w:rsid w:val="009E13D5"/>
    <w:rsid w:val="00A036E3"/>
    <w:rsid w:val="00A05BE0"/>
    <w:rsid w:val="00A23F03"/>
    <w:rsid w:val="00AB51F5"/>
    <w:rsid w:val="00AB60EE"/>
    <w:rsid w:val="00AC23DE"/>
    <w:rsid w:val="00AC4A7D"/>
    <w:rsid w:val="00B04D48"/>
    <w:rsid w:val="00B34E36"/>
    <w:rsid w:val="00B35BAC"/>
    <w:rsid w:val="00B35E09"/>
    <w:rsid w:val="00B37070"/>
    <w:rsid w:val="00B67FCB"/>
    <w:rsid w:val="00B82557"/>
    <w:rsid w:val="00BB432E"/>
    <w:rsid w:val="00BE7B72"/>
    <w:rsid w:val="00BF39B9"/>
    <w:rsid w:val="00C209D1"/>
    <w:rsid w:val="00C22265"/>
    <w:rsid w:val="00C427BE"/>
    <w:rsid w:val="00C54C02"/>
    <w:rsid w:val="00C572C6"/>
    <w:rsid w:val="00C6544B"/>
    <w:rsid w:val="00C72DE2"/>
    <w:rsid w:val="00CA4EB2"/>
    <w:rsid w:val="00CC7624"/>
    <w:rsid w:val="00D05E70"/>
    <w:rsid w:val="00D20A41"/>
    <w:rsid w:val="00D43816"/>
    <w:rsid w:val="00D47263"/>
    <w:rsid w:val="00D55541"/>
    <w:rsid w:val="00D7608E"/>
    <w:rsid w:val="00D9061F"/>
    <w:rsid w:val="00DD1E4E"/>
    <w:rsid w:val="00E24629"/>
    <w:rsid w:val="00E41250"/>
    <w:rsid w:val="00E73C6A"/>
    <w:rsid w:val="00EA39E7"/>
    <w:rsid w:val="00EA3A51"/>
    <w:rsid w:val="00EB05A7"/>
    <w:rsid w:val="00EB2031"/>
    <w:rsid w:val="00EC7CB8"/>
    <w:rsid w:val="00EE52CD"/>
    <w:rsid w:val="00EF1555"/>
    <w:rsid w:val="00F0013D"/>
    <w:rsid w:val="00F31144"/>
    <w:rsid w:val="00F56CA2"/>
    <w:rsid w:val="00FA545C"/>
    <w:rsid w:val="00FC2C4E"/>
    <w:rsid w:val="00FE7B6F"/>
    <w:rsid w:val="0CEE3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Plain Text"/>
    <w:basedOn w:val="1"/>
    <w:link w:val="18"/>
    <w:uiPriority w:val="0"/>
    <w:rPr>
      <w:rFonts w:ascii="宋体" w:hAnsi="Courier New" w:eastAsia="仿宋_GB2312"/>
      <w:sz w:val="30"/>
      <w:szCs w:val="20"/>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10">
    <w:name w:val="Emphasis"/>
    <w:basedOn w:val="9"/>
    <w:qFormat/>
    <w:uiPriority w:val="20"/>
    <w:rPr>
      <w:i/>
      <w:iCs/>
    </w:rPr>
  </w:style>
  <w:style w:type="character" w:styleId="11">
    <w:name w:val="Hyperlink"/>
    <w:basedOn w:val="9"/>
    <w:semiHidden/>
    <w:unhideWhenUsed/>
    <w:uiPriority w:val="99"/>
    <w:rPr>
      <w:color w:val="0000FF"/>
      <w:u w:val="single"/>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页脚 Char"/>
    <w:basedOn w:val="9"/>
    <w:uiPriority w:val="99"/>
    <w:rPr>
      <w:kern w:val="2"/>
      <w:sz w:val="18"/>
      <w:szCs w:val="18"/>
    </w:rPr>
  </w:style>
  <w:style w:type="paragraph" w:styleId="15">
    <w:name w:val="List Paragraph"/>
    <w:basedOn w:val="1"/>
    <w:qFormat/>
    <w:uiPriority w:val="34"/>
    <w:pPr>
      <w:ind w:firstLine="420" w:firstLineChars="200"/>
    </w:pPr>
  </w:style>
  <w:style w:type="character" w:customStyle="1" w:styleId="16">
    <w:name w:val="标题 3 字符"/>
    <w:basedOn w:val="9"/>
    <w:link w:val="3"/>
    <w:uiPriority w:val="9"/>
    <w:rPr>
      <w:rFonts w:ascii="宋体" w:hAnsi="宋体" w:eastAsia="宋体" w:cs="宋体"/>
      <w:b/>
      <w:bCs/>
      <w:kern w:val="0"/>
      <w:sz w:val="27"/>
      <w:szCs w:val="27"/>
    </w:rPr>
  </w:style>
  <w:style w:type="character" w:customStyle="1" w:styleId="17">
    <w:name w:val="纯文本 字符"/>
    <w:basedOn w:val="9"/>
    <w:semiHidden/>
    <w:uiPriority w:val="99"/>
    <w:rPr>
      <w:rFonts w:hAnsi="Courier New" w:cs="Courier New" w:asciiTheme="minorEastAsia"/>
      <w:szCs w:val="24"/>
    </w:rPr>
  </w:style>
  <w:style w:type="character" w:customStyle="1" w:styleId="18">
    <w:name w:val="纯文本 字符1"/>
    <w:link w:val="4"/>
    <w:uiPriority w:val="0"/>
    <w:rPr>
      <w:rFonts w:ascii="宋体" w:hAnsi="Courier New" w:eastAsia="仿宋_GB2312" w:cs="Times New Roman"/>
      <w:sz w:val="30"/>
      <w:szCs w:val="20"/>
    </w:rPr>
  </w:style>
  <w:style w:type="character" w:customStyle="1" w:styleId="19">
    <w:name w:val="标题 2 字符"/>
    <w:basedOn w:val="9"/>
    <w:link w:val="2"/>
    <w:semiHidden/>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E5F4B-1ED0-469C-98A9-F80D3972CD47}">
  <ds:schemaRefs/>
</ds:datastoreItem>
</file>

<file path=docProps/app.xml><?xml version="1.0" encoding="utf-8"?>
<Properties xmlns="http://schemas.openxmlformats.org/officeDocument/2006/extended-properties" xmlns:vt="http://schemas.openxmlformats.org/officeDocument/2006/docPropsVTypes">
  <Template>Normal</Template>
  <Pages>16</Pages>
  <Words>1171</Words>
  <Characters>6679</Characters>
  <Lines>55</Lines>
  <Paragraphs>15</Paragraphs>
  <TotalTime>255</TotalTime>
  <ScaleCrop>false</ScaleCrop>
  <LinksUpToDate>false</LinksUpToDate>
  <CharactersWithSpaces>7835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2021-02-28T01:35:00Z</dcterms:created>
  <dc:creator>renzh</dc:creator>
  <cp:lastModifiedBy>王赛昕</cp:lastModifiedBy>
  <dcterms:modified xsi:type="dcterms:W3CDTF">2021-03-24T01:07:41Z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