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9FBD"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2025年度国家科学技术进步奖提名项目</w:t>
      </w:r>
    </w:p>
    <w:p w14:paraId="299806BB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公示内容</w:t>
      </w:r>
    </w:p>
    <w:p w14:paraId="4846EB15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B5527A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</w:t>
      </w:r>
    </w:p>
    <w:p w14:paraId="3E2A07F5">
      <w:pPr>
        <w:adjustRightInd w:val="0"/>
        <w:snapToGrid w:val="0"/>
        <w:spacing w:line="560" w:lineRule="exact"/>
        <w:rPr>
          <w:rFonts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智慧制药工程关键技术及其工业转化应用</w:t>
      </w:r>
    </w:p>
    <w:bookmarkEnd w:id="0"/>
    <w:p w14:paraId="6D802296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（二）提名者</w:t>
      </w:r>
    </w:p>
    <w:p w14:paraId="3AE2A561">
      <w:pPr>
        <w:adjustRightInd w:val="0"/>
        <w:snapToGrid w:val="0"/>
        <w:spacing w:line="560" w:lineRule="exac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付小兵（中国人民解放军总医院）、樊春海（上海交通大学）、周建平（中国载人航天工程办公室）</w:t>
      </w:r>
    </w:p>
    <w:p w14:paraId="4B4AB911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（三）主要知识产权和标准规范等目录</w:t>
      </w:r>
      <w:r>
        <w:rPr>
          <w:rFonts w:hint="eastAsia" w:ascii="黑体" w:hAnsi="黑体" w:eastAsia="黑体" w:cs="黑体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（不超过10件）</w:t>
      </w:r>
    </w:p>
    <w:tbl>
      <w:tblPr>
        <w:tblStyle w:val="10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417A6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0CAAA94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0A2BE18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83" w:type="dxa"/>
            <w:vAlign w:val="center"/>
          </w:tcPr>
          <w:p w14:paraId="5078CE3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458CE93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983" w:type="dxa"/>
            <w:vAlign w:val="center"/>
          </w:tcPr>
          <w:p w14:paraId="49DB51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7DC20FE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(地区)</w:t>
            </w:r>
          </w:p>
        </w:tc>
        <w:tc>
          <w:tcPr>
            <w:tcW w:w="983" w:type="dxa"/>
            <w:vAlign w:val="center"/>
          </w:tcPr>
          <w:p w14:paraId="18EA08F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6567783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D7B0F6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050A91D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18A0AD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27CEF89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4A23262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发明专利(标准)有效状态</w:t>
            </w:r>
          </w:p>
        </w:tc>
      </w:tr>
      <w:tr w14:paraId="3E375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10A0540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4878216C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一种制药过程质量智能管控机器人及管控方法</w:t>
            </w:r>
          </w:p>
        </w:tc>
        <w:tc>
          <w:tcPr>
            <w:tcW w:w="983" w:type="dxa"/>
          </w:tcPr>
          <w:p w14:paraId="43A6F66A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7748139A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ZL202411246421.2</w:t>
            </w:r>
          </w:p>
        </w:tc>
        <w:tc>
          <w:tcPr>
            <w:tcW w:w="983" w:type="dxa"/>
          </w:tcPr>
          <w:p w14:paraId="2324E5A5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2025.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1.28</w:t>
            </w:r>
          </w:p>
        </w:tc>
        <w:tc>
          <w:tcPr>
            <w:tcW w:w="983" w:type="dxa"/>
          </w:tcPr>
          <w:p w14:paraId="598AB798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证书号第7694893号</w:t>
            </w:r>
          </w:p>
        </w:tc>
        <w:tc>
          <w:tcPr>
            <w:tcW w:w="983" w:type="dxa"/>
          </w:tcPr>
          <w:p w14:paraId="39B21517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14:paraId="29F4C73C">
            <w:pPr>
              <w:pStyle w:val="8"/>
              <w:widowControl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  <w:r>
              <w:rPr>
                <w:sz w:val="21"/>
                <w:szCs w:val="21"/>
                <w:lang w:bidi="ar"/>
              </w:rPr>
              <w:t>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361E7EFD">
            <w:pPr>
              <w:pStyle w:val="8"/>
              <w:widowControl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02AC9DDA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仲怿</w:t>
            </w:r>
          </w:p>
        </w:tc>
        <w:tc>
          <w:tcPr>
            <w:tcW w:w="986" w:type="dxa"/>
          </w:tcPr>
          <w:p w14:paraId="4C002FD2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5A5838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CF902A0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27E6A498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不含挥发油的中药提取设备微沸状态智能控制方法及系统</w:t>
            </w:r>
          </w:p>
        </w:tc>
        <w:tc>
          <w:tcPr>
            <w:tcW w:w="983" w:type="dxa"/>
          </w:tcPr>
          <w:p w14:paraId="5645276B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360629A9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ZL202011030705.X</w:t>
            </w:r>
          </w:p>
        </w:tc>
        <w:tc>
          <w:tcPr>
            <w:tcW w:w="983" w:type="dxa"/>
          </w:tcPr>
          <w:p w14:paraId="2579008D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2023.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2.28</w:t>
            </w:r>
          </w:p>
        </w:tc>
        <w:tc>
          <w:tcPr>
            <w:tcW w:w="983" w:type="dxa"/>
          </w:tcPr>
          <w:p w14:paraId="2E16F7FE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证书号第5761181号</w:t>
            </w:r>
          </w:p>
        </w:tc>
        <w:tc>
          <w:tcPr>
            <w:tcW w:w="983" w:type="dxa"/>
          </w:tcPr>
          <w:p w14:paraId="42348BC9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天津中医药大学</w:t>
            </w:r>
          </w:p>
        </w:tc>
        <w:tc>
          <w:tcPr>
            <w:tcW w:w="983" w:type="dxa"/>
          </w:tcPr>
          <w:p w14:paraId="740ABB11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李正；</w:t>
            </w:r>
          </w:p>
          <w:p w14:paraId="66082B47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于洋</w:t>
            </w:r>
          </w:p>
        </w:tc>
        <w:tc>
          <w:tcPr>
            <w:tcW w:w="986" w:type="dxa"/>
          </w:tcPr>
          <w:p w14:paraId="57BBCA99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2328B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5844B87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3F52305E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药品精益生产管理流程自动化机器人系统及方法</w:t>
            </w:r>
          </w:p>
        </w:tc>
        <w:tc>
          <w:tcPr>
            <w:tcW w:w="983" w:type="dxa"/>
          </w:tcPr>
          <w:p w14:paraId="4F165413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26A43326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ZL202411082779.6</w:t>
            </w:r>
          </w:p>
        </w:tc>
        <w:tc>
          <w:tcPr>
            <w:tcW w:w="983" w:type="dxa"/>
          </w:tcPr>
          <w:p w14:paraId="044AEEE8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2024.11.22</w:t>
            </w:r>
          </w:p>
        </w:tc>
        <w:tc>
          <w:tcPr>
            <w:tcW w:w="983" w:type="dxa"/>
          </w:tcPr>
          <w:p w14:paraId="49BBF34D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证书号第7547451号</w:t>
            </w:r>
          </w:p>
        </w:tc>
        <w:tc>
          <w:tcPr>
            <w:tcW w:w="983" w:type="dxa"/>
          </w:tcPr>
          <w:p w14:paraId="4A71B394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浙江大学长三角智慧绿洲创新中心</w:t>
            </w:r>
          </w:p>
        </w:tc>
        <w:tc>
          <w:tcPr>
            <w:tcW w:w="983" w:type="dxa"/>
          </w:tcPr>
          <w:p w14:paraId="60C259C6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程翼宇；王毅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1FCDD2BE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刘雳</w:t>
            </w:r>
          </w:p>
        </w:tc>
        <w:tc>
          <w:tcPr>
            <w:tcW w:w="986" w:type="dxa"/>
          </w:tcPr>
          <w:p w14:paraId="1B8D9F65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23851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C5CE0A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学术论文</w:t>
            </w:r>
          </w:p>
        </w:tc>
        <w:tc>
          <w:tcPr>
            <w:tcW w:w="983" w:type="dxa"/>
          </w:tcPr>
          <w:p w14:paraId="42246B9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中药工业4.0:从数字制药迈向智慧制药</w:t>
            </w:r>
          </w:p>
        </w:tc>
        <w:tc>
          <w:tcPr>
            <w:tcW w:w="983" w:type="dxa"/>
          </w:tcPr>
          <w:p w14:paraId="0A4188B5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2D48EF39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41(01) 1-5</w:t>
            </w:r>
          </w:p>
          <w:p w14:paraId="6B4CAD86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4AB22179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2016.01.01</w:t>
            </w:r>
          </w:p>
        </w:tc>
        <w:tc>
          <w:tcPr>
            <w:tcW w:w="983" w:type="dxa"/>
          </w:tcPr>
          <w:p w14:paraId="2EBB0011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中国中药杂志</w:t>
            </w:r>
          </w:p>
        </w:tc>
        <w:tc>
          <w:tcPr>
            <w:tcW w:w="983" w:type="dxa"/>
          </w:tcPr>
          <w:p w14:paraId="474FB09F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  <w:p w14:paraId="61CE3BF5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天津中医药大学</w:t>
            </w:r>
          </w:p>
        </w:tc>
        <w:tc>
          <w:tcPr>
            <w:tcW w:w="983" w:type="dxa"/>
          </w:tcPr>
          <w:p w14:paraId="43880B40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第一作者：程翼宇；</w:t>
            </w:r>
          </w:p>
          <w:p w14:paraId="217AC502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通讯作者：程翼宇；</w:t>
            </w:r>
          </w:p>
        </w:tc>
        <w:tc>
          <w:tcPr>
            <w:tcW w:w="986" w:type="dxa"/>
          </w:tcPr>
          <w:p w14:paraId="07403F82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其他有 </w:t>
            </w:r>
          </w:p>
          <w:p w14:paraId="500B4C25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效的知 </w:t>
            </w:r>
          </w:p>
          <w:p w14:paraId="23D00C1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识产权</w:t>
            </w:r>
          </w:p>
        </w:tc>
      </w:tr>
      <w:tr w14:paraId="61DC1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6646856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25036B02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一种用于药品生产能耗优化调控的智能机器人及运行方法</w:t>
            </w:r>
          </w:p>
        </w:tc>
        <w:tc>
          <w:tcPr>
            <w:tcW w:w="983" w:type="dxa"/>
          </w:tcPr>
          <w:p w14:paraId="0F2CF54F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4ACB9969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ZL202410835761.2</w:t>
            </w:r>
          </w:p>
        </w:tc>
        <w:tc>
          <w:tcPr>
            <w:tcW w:w="983" w:type="dxa"/>
          </w:tcPr>
          <w:p w14:paraId="7FC93672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2024.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9.13</w:t>
            </w:r>
          </w:p>
        </w:tc>
        <w:tc>
          <w:tcPr>
            <w:tcW w:w="983" w:type="dxa"/>
          </w:tcPr>
          <w:p w14:paraId="653AA36E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证书号第7373011号</w:t>
            </w:r>
          </w:p>
        </w:tc>
        <w:tc>
          <w:tcPr>
            <w:tcW w:w="983" w:type="dxa"/>
          </w:tcPr>
          <w:p w14:paraId="159CA215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14:paraId="3A351FC3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  <w:r>
              <w:rPr>
                <w:sz w:val="21"/>
                <w:szCs w:val="21"/>
                <w:lang w:bidi="ar"/>
              </w:rPr>
              <w:t>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158E6F59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5DCA6365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朱捷强</w:t>
            </w:r>
          </w:p>
        </w:tc>
        <w:tc>
          <w:tcPr>
            <w:tcW w:w="986" w:type="dxa"/>
          </w:tcPr>
          <w:p w14:paraId="45C2EBC7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369FA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458A9DB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8791438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能精确控制流化床干燥空气含湿量的装置</w:t>
            </w:r>
          </w:p>
        </w:tc>
        <w:tc>
          <w:tcPr>
            <w:tcW w:w="983" w:type="dxa"/>
            <w:vAlign w:val="center"/>
          </w:tcPr>
          <w:p w14:paraId="08098422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  <w:vAlign w:val="center"/>
          </w:tcPr>
          <w:p w14:paraId="701ED362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ZL201410439070.7</w:t>
            </w:r>
          </w:p>
        </w:tc>
        <w:tc>
          <w:tcPr>
            <w:tcW w:w="983" w:type="dxa"/>
            <w:vAlign w:val="center"/>
          </w:tcPr>
          <w:p w14:paraId="69A037EE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2017.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1.18</w:t>
            </w:r>
          </w:p>
        </w:tc>
        <w:tc>
          <w:tcPr>
            <w:tcW w:w="983" w:type="dxa"/>
            <w:vAlign w:val="center"/>
          </w:tcPr>
          <w:p w14:paraId="428EA3DD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证书号第2353578号</w:t>
            </w:r>
          </w:p>
        </w:tc>
        <w:tc>
          <w:tcPr>
            <w:tcW w:w="983" w:type="dxa"/>
            <w:vAlign w:val="center"/>
          </w:tcPr>
          <w:p w14:paraId="75313F88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正大青春宝药业有限公司</w:t>
            </w:r>
          </w:p>
        </w:tc>
        <w:tc>
          <w:tcPr>
            <w:tcW w:w="983" w:type="dxa"/>
            <w:vAlign w:val="center"/>
          </w:tcPr>
          <w:p w14:paraId="3D89AB96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刘雳；</w:t>
            </w:r>
          </w:p>
          <w:p w14:paraId="2D1A72AC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仇永跃；周天芳；童佳均；潘晖峰；王治</w:t>
            </w:r>
          </w:p>
        </w:tc>
        <w:tc>
          <w:tcPr>
            <w:tcW w:w="986" w:type="dxa"/>
            <w:vAlign w:val="center"/>
          </w:tcPr>
          <w:p w14:paraId="4859C321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66C8A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5532F65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34E0C3D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一种定量评估醇沉过程混合情况的方法</w:t>
            </w:r>
          </w:p>
        </w:tc>
        <w:tc>
          <w:tcPr>
            <w:tcW w:w="983" w:type="dxa"/>
            <w:vAlign w:val="center"/>
          </w:tcPr>
          <w:p w14:paraId="64382BC4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  <w:vAlign w:val="center"/>
          </w:tcPr>
          <w:p w14:paraId="59F3F378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ZL202010919100.X</w:t>
            </w:r>
          </w:p>
        </w:tc>
        <w:tc>
          <w:tcPr>
            <w:tcW w:w="983" w:type="dxa"/>
            <w:vAlign w:val="center"/>
          </w:tcPr>
          <w:p w14:paraId="7ED01756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2022.02.01</w:t>
            </w:r>
          </w:p>
        </w:tc>
        <w:tc>
          <w:tcPr>
            <w:tcW w:w="983" w:type="dxa"/>
            <w:vAlign w:val="center"/>
          </w:tcPr>
          <w:p w14:paraId="101C28CB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证书号第4911404号</w:t>
            </w:r>
          </w:p>
        </w:tc>
        <w:tc>
          <w:tcPr>
            <w:tcW w:w="983" w:type="dxa"/>
            <w:vAlign w:val="center"/>
          </w:tcPr>
          <w:p w14:paraId="2355B29D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29B1F3B9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瞿海斌；程翼宇;龚行楚</w:t>
            </w:r>
          </w:p>
        </w:tc>
        <w:tc>
          <w:tcPr>
            <w:tcW w:w="986" w:type="dxa"/>
            <w:vAlign w:val="center"/>
          </w:tcPr>
          <w:p w14:paraId="2ADFCD03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21159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AA9A352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18EB5A8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基于线粒体动态表型和深度学习的药物作用机制预测方法</w:t>
            </w:r>
          </w:p>
        </w:tc>
        <w:tc>
          <w:tcPr>
            <w:tcW w:w="983" w:type="dxa"/>
          </w:tcPr>
          <w:p w14:paraId="17FDC44B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7D602864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ZL202310521452.3</w:t>
            </w:r>
          </w:p>
        </w:tc>
        <w:tc>
          <w:tcPr>
            <w:tcW w:w="983" w:type="dxa"/>
          </w:tcPr>
          <w:p w14:paraId="6CFA788A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2023.08.15</w:t>
            </w:r>
          </w:p>
        </w:tc>
        <w:tc>
          <w:tcPr>
            <w:tcW w:w="983" w:type="dxa"/>
          </w:tcPr>
          <w:p w14:paraId="5FEF3BD8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证书号第6232622号</w:t>
            </w:r>
          </w:p>
        </w:tc>
        <w:tc>
          <w:tcPr>
            <w:tcW w:w="983" w:type="dxa"/>
          </w:tcPr>
          <w:p w14:paraId="77D7B517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14:paraId="252FE0EB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王毅；</w:t>
            </w:r>
          </w:p>
          <w:p w14:paraId="45EE321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余敏</w:t>
            </w:r>
          </w:p>
        </w:tc>
        <w:tc>
          <w:tcPr>
            <w:tcW w:w="986" w:type="dxa"/>
          </w:tcPr>
          <w:p w14:paraId="463958E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有效专利</w:t>
            </w:r>
          </w:p>
        </w:tc>
      </w:tr>
      <w:tr w14:paraId="7C9B2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53C4ED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05AA945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  <w:lang w:bidi="ar"/>
              </w:rPr>
              <w:t>一种具有聚集诱导发光特性的荧光探针及其制备方法和应用</w:t>
            </w:r>
          </w:p>
        </w:tc>
        <w:tc>
          <w:tcPr>
            <w:tcW w:w="983" w:type="dxa"/>
          </w:tcPr>
          <w:p w14:paraId="7C095A1D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0DD3178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ZL201510108446.0</w:t>
            </w:r>
          </w:p>
        </w:tc>
        <w:tc>
          <w:tcPr>
            <w:tcW w:w="983" w:type="dxa"/>
          </w:tcPr>
          <w:p w14:paraId="77F79D56">
            <w:pPr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2016.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7.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6</w:t>
            </w:r>
          </w:p>
          <w:p w14:paraId="32AD99F8">
            <w:pPr>
              <w:jc w:val="left"/>
              <w:rPr>
                <w:szCs w:val="21"/>
              </w:rPr>
            </w:pPr>
          </w:p>
          <w:p w14:paraId="51F0260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4C43765B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</w:p>
          <w:p w14:paraId="10361ACB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2136085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</w:tcPr>
          <w:p w14:paraId="01C2A1BA">
            <w:pPr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浙江大学</w:t>
            </w:r>
          </w:p>
          <w:p w14:paraId="4702605B">
            <w:pPr>
              <w:jc w:val="left"/>
              <w:rPr>
                <w:szCs w:val="21"/>
              </w:rPr>
            </w:pPr>
          </w:p>
          <w:p w14:paraId="13C6BBE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1454B53A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程翼宇；王毅；</w:t>
            </w:r>
          </w:p>
          <w:p w14:paraId="12E439FD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赵筱萍</w:t>
            </w:r>
          </w:p>
        </w:tc>
        <w:tc>
          <w:tcPr>
            <w:tcW w:w="986" w:type="dxa"/>
          </w:tcPr>
          <w:p w14:paraId="3532E580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0A98C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66F412C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学术论文</w:t>
            </w:r>
          </w:p>
        </w:tc>
        <w:tc>
          <w:tcPr>
            <w:tcW w:w="983" w:type="dxa"/>
          </w:tcPr>
          <w:p w14:paraId="3C825C73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Discovery of herbacetin as a novel SGK1 inhibitor to alleviate myocardial hypertrophy</w:t>
            </w:r>
          </w:p>
        </w:tc>
        <w:tc>
          <w:tcPr>
            <w:tcW w:w="983" w:type="dxa"/>
          </w:tcPr>
          <w:p w14:paraId="70218C07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5205EA18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9(2):e2101485</w:t>
            </w:r>
          </w:p>
        </w:tc>
        <w:tc>
          <w:tcPr>
            <w:tcW w:w="983" w:type="dxa"/>
          </w:tcPr>
          <w:p w14:paraId="47F276C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2022.01.14</w:t>
            </w:r>
          </w:p>
        </w:tc>
        <w:tc>
          <w:tcPr>
            <w:tcW w:w="983" w:type="dxa"/>
          </w:tcPr>
          <w:p w14:paraId="3BC49FB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Advanced Science</w:t>
            </w:r>
          </w:p>
        </w:tc>
        <w:tc>
          <w:tcPr>
            <w:tcW w:w="983" w:type="dxa"/>
          </w:tcPr>
          <w:p w14:paraId="7EF9608F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  <w:p w14:paraId="74483D18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浙江中医药大学</w:t>
            </w:r>
          </w:p>
          <w:p w14:paraId="4A88CC7F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天津中医药大学等</w:t>
            </w:r>
          </w:p>
          <w:p w14:paraId="185E2447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51C7A07A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第一作者：张舒静；通讯作者：赵筱萍；王毅</w:t>
            </w:r>
          </w:p>
        </w:tc>
        <w:tc>
          <w:tcPr>
            <w:tcW w:w="986" w:type="dxa"/>
          </w:tcPr>
          <w:p w14:paraId="3F068162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其他有 </w:t>
            </w:r>
          </w:p>
          <w:p w14:paraId="6CDAF825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效的知 </w:t>
            </w:r>
          </w:p>
          <w:p w14:paraId="0B495E3B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识产权</w:t>
            </w:r>
          </w:p>
        </w:tc>
      </w:tr>
    </w:tbl>
    <w:p w14:paraId="5B411A4C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3A4AF8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（四）主要完成人</w:t>
      </w:r>
    </w:p>
    <w:p w14:paraId="0A1F2E3B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程翼宇、张伯礼、李正、王毅、刘雳、赵筱萍、张晗、王益民、王军、龚行楚、瞿海斌、叶正良、闫久江、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周鸿</w:t>
      </w:r>
    </w:p>
    <w:p w14:paraId="364A247F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（五）主要完成单位</w:t>
      </w:r>
    </w:p>
    <w:p w14:paraId="5566F899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大学、天津中医药大学、浙江中医药大学、上海医药集团股份有限公司、津药达仁堂集团股份有限公司、黑龙江珍宝岛药业股份有限公司、山东步长制药股份有限公司、正大青春宝药业有限公司、天津天士力之骄药业有限公司、上海上药杏灵科技药业股份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CA2AA">
    <w:pPr>
      <w:pStyle w:val="6"/>
      <w:framePr w:wrap="around" w:vAnchor="text" w:hAnchor="margin" w:xAlign="center" w:y="1"/>
      <w:rPr>
        <w:rStyle w:val="13"/>
      </w:rPr>
    </w:pPr>
  </w:p>
  <w:p w14:paraId="0DA92C6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BDFED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F8A53A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822F41"/>
    <w:rsid w:val="00003577"/>
    <w:rsid w:val="00006B56"/>
    <w:rsid w:val="00010406"/>
    <w:rsid w:val="00012096"/>
    <w:rsid w:val="00014353"/>
    <w:rsid w:val="00024C74"/>
    <w:rsid w:val="0002670B"/>
    <w:rsid w:val="000318DA"/>
    <w:rsid w:val="00031C83"/>
    <w:rsid w:val="00036E61"/>
    <w:rsid w:val="000669C8"/>
    <w:rsid w:val="00072681"/>
    <w:rsid w:val="00080D53"/>
    <w:rsid w:val="000A290D"/>
    <w:rsid w:val="000B4AA9"/>
    <w:rsid w:val="000B4D8A"/>
    <w:rsid w:val="000B4FF7"/>
    <w:rsid w:val="000D2556"/>
    <w:rsid w:val="000D2943"/>
    <w:rsid w:val="000F28F2"/>
    <w:rsid w:val="001139F2"/>
    <w:rsid w:val="0011420E"/>
    <w:rsid w:val="001225B2"/>
    <w:rsid w:val="001303EC"/>
    <w:rsid w:val="00140BC0"/>
    <w:rsid w:val="001455AF"/>
    <w:rsid w:val="0014656F"/>
    <w:rsid w:val="001635C8"/>
    <w:rsid w:val="00174C82"/>
    <w:rsid w:val="00190032"/>
    <w:rsid w:val="001A16C9"/>
    <w:rsid w:val="001A1EFF"/>
    <w:rsid w:val="001A6B61"/>
    <w:rsid w:val="001B23DB"/>
    <w:rsid w:val="001C2831"/>
    <w:rsid w:val="001C3EAF"/>
    <w:rsid w:val="001D09D8"/>
    <w:rsid w:val="001D704B"/>
    <w:rsid w:val="00203483"/>
    <w:rsid w:val="00237524"/>
    <w:rsid w:val="00245728"/>
    <w:rsid w:val="002510B3"/>
    <w:rsid w:val="002525FB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96E07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4F7ED0"/>
    <w:rsid w:val="00504CAB"/>
    <w:rsid w:val="00504FD3"/>
    <w:rsid w:val="0051382A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26D82"/>
    <w:rsid w:val="00632D55"/>
    <w:rsid w:val="006451CA"/>
    <w:rsid w:val="006462CB"/>
    <w:rsid w:val="00646CB1"/>
    <w:rsid w:val="00651CE6"/>
    <w:rsid w:val="00671E7E"/>
    <w:rsid w:val="006751F7"/>
    <w:rsid w:val="006773F6"/>
    <w:rsid w:val="006822AE"/>
    <w:rsid w:val="0068331B"/>
    <w:rsid w:val="0068625A"/>
    <w:rsid w:val="00687B01"/>
    <w:rsid w:val="006901F6"/>
    <w:rsid w:val="006A1A02"/>
    <w:rsid w:val="006B16AC"/>
    <w:rsid w:val="006C1948"/>
    <w:rsid w:val="006C62FC"/>
    <w:rsid w:val="006E7395"/>
    <w:rsid w:val="006F157A"/>
    <w:rsid w:val="00702E11"/>
    <w:rsid w:val="007122C2"/>
    <w:rsid w:val="00720D87"/>
    <w:rsid w:val="00720DD9"/>
    <w:rsid w:val="00732AF0"/>
    <w:rsid w:val="00760CED"/>
    <w:rsid w:val="00763ED6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16658"/>
    <w:rsid w:val="00822F41"/>
    <w:rsid w:val="008236D5"/>
    <w:rsid w:val="00825117"/>
    <w:rsid w:val="00834466"/>
    <w:rsid w:val="00840143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5B4A"/>
    <w:rsid w:val="00926ECA"/>
    <w:rsid w:val="00964538"/>
    <w:rsid w:val="009733A5"/>
    <w:rsid w:val="0098257F"/>
    <w:rsid w:val="009958C1"/>
    <w:rsid w:val="009F4297"/>
    <w:rsid w:val="00A05545"/>
    <w:rsid w:val="00A11023"/>
    <w:rsid w:val="00A136A9"/>
    <w:rsid w:val="00A2145A"/>
    <w:rsid w:val="00A2588F"/>
    <w:rsid w:val="00A2607C"/>
    <w:rsid w:val="00A263FD"/>
    <w:rsid w:val="00A27BDC"/>
    <w:rsid w:val="00A35798"/>
    <w:rsid w:val="00A540AC"/>
    <w:rsid w:val="00A767D7"/>
    <w:rsid w:val="00A827CE"/>
    <w:rsid w:val="00A91E01"/>
    <w:rsid w:val="00AA5860"/>
    <w:rsid w:val="00AB540A"/>
    <w:rsid w:val="00AC18CF"/>
    <w:rsid w:val="00AC461B"/>
    <w:rsid w:val="00AD2117"/>
    <w:rsid w:val="00AF3E40"/>
    <w:rsid w:val="00B0121D"/>
    <w:rsid w:val="00B121F3"/>
    <w:rsid w:val="00B127C0"/>
    <w:rsid w:val="00B70893"/>
    <w:rsid w:val="00B70CE6"/>
    <w:rsid w:val="00B75EC1"/>
    <w:rsid w:val="00B86FD9"/>
    <w:rsid w:val="00BA2FD2"/>
    <w:rsid w:val="00BA539E"/>
    <w:rsid w:val="00BA58E7"/>
    <w:rsid w:val="00BC2F5C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A3891"/>
    <w:rsid w:val="00CF370E"/>
    <w:rsid w:val="00CF591B"/>
    <w:rsid w:val="00D0308A"/>
    <w:rsid w:val="00D05C59"/>
    <w:rsid w:val="00D131C3"/>
    <w:rsid w:val="00D2361E"/>
    <w:rsid w:val="00D236D5"/>
    <w:rsid w:val="00D40788"/>
    <w:rsid w:val="00D4521F"/>
    <w:rsid w:val="00D5219A"/>
    <w:rsid w:val="00D525DA"/>
    <w:rsid w:val="00D54C80"/>
    <w:rsid w:val="00D60B41"/>
    <w:rsid w:val="00DB33A9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A159B"/>
    <w:rsid w:val="00EB2F9A"/>
    <w:rsid w:val="00EB778D"/>
    <w:rsid w:val="00EC0F7C"/>
    <w:rsid w:val="00EC5F77"/>
    <w:rsid w:val="00EE0243"/>
    <w:rsid w:val="00EE0345"/>
    <w:rsid w:val="00EF66A4"/>
    <w:rsid w:val="00F01250"/>
    <w:rsid w:val="00F17C25"/>
    <w:rsid w:val="00F333F6"/>
    <w:rsid w:val="00F3785C"/>
    <w:rsid w:val="00F40914"/>
    <w:rsid w:val="00F441F5"/>
    <w:rsid w:val="00F6451A"/>
    <w:rsid w:val="00F7047A"/>
    <w:rsid w:val="00F81A01"/>
    <w:rsid w:val="00F82045"/>
    <w:rsid w:val="00F852C1"/>
    <w:rsid w:val="00F914BC"/>
    <w:rsid w:val="00FB0852"/>
    <w:rsid w:val="00FB17F1"/>
    <w:rsid w:val="00FB5F40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BC34046"/>
    <w:rsid w:val="0C92338D"/>
    <w:rsid w:val="0DE565E7"/>
    <w:rsid w:val="0EB9774E"/>
    <w:rsid w:val="0F975F68"/>
    <w:rsid w:val="0FA37CB2"/>
    <w:rsid w:val="10A83678"/>
    <w:rsid w:val="124C7C1E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32D190E"/>
    <w:rsid w:val="34B91F8A"/>
    <w:rsid w:val="35494B7A"/>
    <w:rsid w:val="355B47A5"/>
    <w:rsid w:val="37D05063"/>
    <w:rsid w:val="392A3BCE"/>
    <w:rsid w:val="3BA03635"/>
    <w:rsid w:val="3D373411"/>
    <w:rsid w:val="3FE51083"/>
    <w:rsid w:val="43632A7A"/>
    <w:rsid w:val="44555D78"/>
    <w:rsid w:val="44767BDF"/>
    <w:rsid w:val="45B82804"/>
    <w:rsid w:val="46E22750"/>
    <w:rsid w:val="475443C7"/>
    <w:rsid w:val="478F67EB"/>
    <w:rsid w:val="47B2292F"/>
    <w:rsid w:val="482F50D0"/>
    <w:rsid w:val="4B1F1850"/>
    <w:rsid w:val="4C3645C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7D608C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semiHidden/>
    <w:qFormat/>
    <w:uiPriority w:val="0"/>
    <w:pPr>
      <w:spacing w:after="120"/>
    </w:pPr>
  </w:style>
  <w:style w:type="paragraph" w:styleId="4">
    <w:name w:val="Plain Text"/>
    <w:basedOn w:val="1"/>
    <w:link w:val="16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styleId="9">
    <w:name w:val="annotation subject"/>
    <w:basedOn w:val="2"/>
    <w:next w:val="2"/>
    <w:link w:val="20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批注文字 字符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纯文本 字符1"/>
    <w:link w:val="4"/>
    <w:autoRedefine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7">
    <w:name w:val="批注框文本 字符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7"/>
    <w:autoRedefine/>
    <w:qFormat/>
    <w:uiPriority w:val="99"/>
    <w:rPr>
      <w:sz w:val="18"/>
      <w:szCs w:val="18"/>
    </w:rPr>
  </w:style>
  <w:style w:type="character" w:customStyle="1" w:styleId="20">
    <w:name w:val="批注主题 字符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纯文本 字符"/>
    <w:autoRedefine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DBA3-CCB2-4821-84AE-0758563AC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996</Words>
  <Characters>1355</Characters>
  <Lines>10</Lines>
  <Paragraphs>3</Paragraphs>
  <TotalTime>0</TotalTime>
  <ScaleCrop>false</ScaleCrop>
  <LinksUpToDate>false</LinksUpToDate>
  <CharactersWithSpaces>1372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2025-06-19T08:06:29Z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6ADC8F7A1EEC406492A9BD3909F4E185_13</vt:lpwstr>
  </property>
</Properties>
</file>