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default" w:ascii="Times New Roman" w:hAnsi="宋体" w:eastAsia="方正仿宋_GBK"/>
          <w:b/>
          <w:color w:val="00000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宋体" w:eastAsia="方正仿宋_GBK"/>
          <w:b/>
          <w:color w:val="000000"/>
          <w:sz w:val="44"/>
          <w:szCs w:val="44"/>
          <w:shd w:val="clear" w:color="auto" w:fill="FFFFFF"/>
          <w:lang w:val="en-US" w:eastAsia="zh-CN"/>
        </w:rPr>
        <w:t>重庆市</w:t>
      </w:r>
      <w:r>
        <w:rPr>
          <w:rFonts w:hint="eastAsia" w:ascii="Times New Roman" w:hAnsi="宋体" w:eastAsia="方正仿宋_GBK"/>
          <w:b/>
          <w:color w:val="000000"/>
          <w:sz w:val="44"/>
          <w:szCs w:val="44"/>
          <w:shd w:val="clear" w:color="auto" w:fill="FFFFFF"/>
        </w:rPr>
        <w:t>科技进步奖</w:t>
      </w:r>
      <w:r>
        <w:rPr>
          <w:rFonts w:hint="eastAsia" w:ascii="Times New Roman" w:hAnsi="宋体" w:eastAsia="方正仿宋_GBK"/>
          <w:b/>
          <w:color w:val="000000"/>
          <w:sz w:val="44"/>
          <w:szCs w:val="44"/>
          <w:shd w:val="clear" w:color="auto" w:fill="FFFFFF"/>
          <w:lang w:val="en-US" w:eastAsia="zh-CN"/>
        </w:rPr>
        <w:t>公示材料</w:t>
      </w:r>
    </w:p>
    <w:p>
      <w:pPr>
        <w:spacing w:after="156" w:afterLines="50" w:line="400" w:lineRule="exact"/>
        <w:rPr>
          <w:rFonts w:ascii="Times New Roman" w:hAnsi="Times New Roman" w:eastAsia="方正仿宋_GBK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Times New Roman" w:hAnsi="宋体" w:eastAsia="方正仿宋_GBK"/>
          <w:b/>
          <w:color w:val="000000"/>
          <w:sz w:val="28"/>
          <w:szCs w:val="28"/>
          <w:shd w:val="clear" w:color="auto" w:fill="FFFFFF"/>
        </w:rPr>
        <w:t>一、成果基本信息</w:t>
      </w:r>
    </w:p>
    <w:tbl>
      <w:tblPr>
        <w:tblStyle w:val="8"/>
        <w:tblW w:w="51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420"/>
        <w:gridCol w:w="1843"/>
        <w:gridCol w:w="2410"/>
        <w:gridCol w:w="849"/>
        <w:gridCol w:w="1134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宋体" w:eastAsia="方正仿宋_GBK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749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Style w:val="10"/>
                <w:rFonts w:hint="eastAsia" w:ascii="Times New Roman" w:hAnsi="宋体" w:eastAsia="方正仿宋_GBK" w:cs="Tahoma"/>
                <w:color w:val="000000"/>
                <w:sz w:val="28"/>
                <w:szCs w:val="28"/>
                <w:shd w:val="clear" w:color="auto" w:fill="FFFFFF"/>
              </w:rPr>
              <w:t>成果名称</w:t>
            </w:r>
          </w:p>
        </w:tc>
        <w:tc>
          <w:tcPr>
            <w:tcW w:w="972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Style w:val="10"/>
                <w:rFonts w:hint="eastAsia" w:ascii="Times New Roman" w:hAnsi="宋体" w:eastAsia="方正仿宋_GBK" w:cs="Tahoma"/>
                <w:color w:val="000000"/>
                <w:sz w:val="28"/>
                <w:szCs w:val="28"/>
                <w:shd w:val="clear" w:color="auto" w:fill="FFFFFF"/>
              </w:rPr>
              <w:t>主要完成人</w:t>
            </w:r>
          </w:p>
        </w:tc>
        <w:tc>
          <w:tcPr>
            <w:tcW w:w="1271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Style w:val="10"/>
                <w:rFonts w:hint="eastAsia" w:ascii="Times New Roman" w:hAnsi="宋体" w:eastAsia="方正仿宋_GBK" w:cs="Tahoma"/>
                <w:color w:val="000000"/>
                <w:sz w:val="28"/>
                <w:szCs w:val="28"/>
                <w:shd w:val="clear" w:color="auto" w:fill="FFFFFF"/>
              </w:rPr>
              <w:t>主要完成单位</w:t>
            </w:r>
          </w:p>
        </w:tc>
        <w:tc>
          <w:tcPr>
            <w:tcW w:w="448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宋体" w:eastAsia="方正仿宋_GBK" w:cs="Times New Roman"/>
                <w:b/>
                <w:sz w:val="28"/>
                <w:szCs w:val="28"/>
              </w:rPr>
              <w:t>奖种</w:t>
            </w:r>
          </w:p>
        </w:tc>
        <w:tc>
          <w:tcPr>
            <w:tcW w:w="598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宋体" w:eastAsia="方正仿宋_GBK"/>
                <w:b/>
                <w:color w:val="000000"/>
                <w:sz w:val="28"/>
                <w:szCs w:val="28"/>
                <w:shd w:val="clear" w:color="auto" w:fill="FFFFFF"/>
              </w:rPr>
              <w:t>提名者</w:t>
            </w:r>
          </w:p>
        </w:tc>
        <w:tc>
          <w:tcPr>
            <w:tcW w:w="629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宋体" w:eastAsia="方正仿宋_GBK"/>
                <w:b/>
                <w:color w:val="000000"/>
                <w:sz w:val="28"/>
                <w:szCs w:val="28"/>
                <w:shd w:val="clear" w:color="auto" w:fill="FFFFFF"/>
              </w:rPr>
              <w:t>拟申报等级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  <w:jc w:val="center"/>
        </w:trPr>
        <w:tc>
          <w:tcPr>
            <w:tcW w:w="332" w:type="pct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ahom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49" w:type="pct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柑橘褐斑病成灾机制及综合防控技术研发与应用</w:t>
            </w:r>
          </w:p>
        </w:tc>
        <w:tc>
          <w:tcPr>
            <w:tcW w:w="972" w:type="pct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唐科志、胡军华、陈泉、李红叶、乔兴华、汪小伟、王雪峰、陈力、程兰、周常勇</w:t>
            </w:r>
          </w:p>
        </w:tc>
        <w:tc>
          <w:tcPr>
            <w:tcW w:w="1271" w:type="pct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西南大学、重庆市万州区植物保护与果树技术推广站、浙江大学、重庆三峡农业科学院</w:t>
            </w:r>
          </w:p>
        </w:tc>
        <w:tc>
          <w:tcPr>
            <w:tcW w:w="448" w:type="pct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方正仿宋_GBK"/>
                <w:color w:val="000000"/>
                <w:sz w:val="28"/>
                <w:szCs w:val="28"/>
                <w:shd w:val="clear" w:color="auto" w:fill="FFFFFF"/>
              </w:rPr>
              <w:t>科技进步奖</w:t>
            </w:r>
          </w:p>
        </w:tc>
        <w:tc>
          <w:tcPr>
            <w:tcW w:w="598" w:type="pct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宋体" w:eastAsia="方正仿宋_GBK"/>
                <w:color w:val="000000"/>
                <w:sz w:val="28"/>
                <w:szCs w:val="28"/>
                <w:shd w:val="clear" w:color="auto" w:fill="FFFFFF"/>
              </w:rPr>
              <w:t>重庆市教育委员会</w:t>
            </w:r>
          </w:p>
        </w:tc>
        <w:tc>
          <w:tcPr>
            <w:tcW w:w="629" w:type="pct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方正仿宋_GBK"/>
                <w:color w:val="000000"/>
                <w:sz w:val="28"/>
                <w:szCs w:val="28"/>
                <w:shd w:val="clear" w:color="auto" w:fill="FFFFFF"/>
              </w:rPr>
              <w:t>二等奖</w:t>
            </w:r>
          </w:p>
        </w:tc>
      </w:tr>
    </w:tbl>
    <w:p>
      <w:pPr>
        <w:rPr>
          <w:rFonts w:ascii="Times New Roman" w:hAnsi="Times New Roman" w:eastAsia="方正仿宋_GBK"/>
          <w:sz w:val="24"/>
          <w:szCs w:val="32"/>
        </w:rPr>
      </w:pPr>
    </w:p>
    <w:p>
      <w:pPr>
        <w:widowControl/>
        <w:jc w:val="left"/>
        <w:rPr>
          <w:rFonts w:ascii="Times New Roman" w:hAnsi="Times New Roman" w:eastAsia="方正仿宋_GBK"/>
          <w:sz w:val="24"/>
          <w:szCs w:val="32"/>
        </w:rPr>
      </w:pPr>
    </w:p>
    <w:p>
      <w:pPr>
        <w:spacing w:after="156" w:afterLines="50" w:line="400" w:lineRule="exact"/>
        <w:rPr>
          <w:rFonts w:ascii="Times New Roman" w:hAnsi="宋体" w:eastAsia="方正仿宋_GBK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Times New Roman" w:hAnsi="宋体" w:eastAsia="方正仿宋_GBK"/>
          <w:b/>
          <w:color w:val="000000"/>
          <w:sz w:val="28"/>
          <w:szCs w:val="28"/>
          <w:shd w:val="clear" w:color="auto" w:fill="FFFFFF"/>
        </w:rPr>
        <w:t>二、项目简介</w:t>
      </w:r>
    </w:p>
    <w:p>
      <w:pPr>
        <w:spacing w:after="156" w:afterLines="50" w:line="400" w:lineRule="exact"/>
        <w:ind w:firstLine="560" w:firstLineChars="200"/>
        <w:rPr>
          <w:rFonts w:ascii="Times New Roman" w:hAnsi="宋体" w:eastAsia="方正仿宋_GBK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Times New Roman" w:hAnsi="宋体" w:eastAsia="方正仿宋_GBK"/>
          <w:bCs/>
          <w:color w:val="000000"/>
          <w:sz w:val="28"/>
          <w:szCs w:val="28"/>
          <w:shd w:val="clear" w:color="auto" w:fill="FFFFFF"/>
        </w:rPr>
        <w:t>柑橘是世界和中国第一大水果，亦是推进我国乡村振兴的重要支柱产业。2007年，重庆三峡库区突然爆发褐斑病，3年内13万亩红橘全部受害。该病相继在四川、云南、广西和浙江等柑橘产区的宽皮柑橘和杂柑上爆发成灾，损失惨重。项目组围绕病原鉴定、成灾机制与防控技术开展系统研究和应用。经11年技术攻关，取得如下原创成果：</w:t>
      </w:r>
    </w:p>
    <w:p>
      <w:pPr>
        <w:spacing w:after="156" w:afterLines="50" w:line="400" w:lineRule="exact"/>
        <w:ind w:firstLine="560" w:firstLineChars="200"/>
        <w:rPr>
          <w:rFonts w:ascii="Times New Roman" w:hAnsi="宋体" w:eastAsia="方正仿宋_GBK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Times New Roman" w:hAnsi="宋体" w:eastAsia="方正仿宋_GBK"/>
          <w:bCs/>
          <w:color w:val="000000"/>
          <w:sz w:val="28"/>
          <w:szCs w:val="28"/>
          <w:shd w:val="clear" w:color="auto" w:fill="FFFFFF"/>
        </w:rPr>
        <w:t>1. 首次鉴定了柑橘褐斑病的病原并完成全基因组测序分析，阐明了病原与寄主的互作机制</w:t>
      </w:r>
    </w:p>
    <w:p>
      <w:pPr>
        <w:spacing w:after="156" w:afterLines="50" w:line="400" w:lineRule="exact"/>
        <w:ind w:firstLine="560" w:firstLineChars="200"/>
        <w:rPr>
          <w:rFonts w:ascii="Times New Roman" w:hAnsi="宋体" w:eastAsia="方正仿宋_GBK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Times New Roman" w:hAnsi="宋体" w:eastAsia="方正仿宋_GBK"/>
          <w:bCs/>
          <w:color w:val="000000"/>
          <w:sz w:val="28"/>
          <w:szCs w:val="28"/>
          <w:shd w:val="clear" w:color="auto" w:fill="FFFFFF"/>
        </w:rPr>
        <w:t>国内首次明确为害万州红橘、云南塘房橘、重庆天草和费尔切尔德等品种的褐斑病菌为链格孢菌橘致病型（Alternaria alternata tangerine pathotype）；明确该菌的生物学特性和遗传多样性；国际上率先完成该菌的全基因组测序和比较基因组分析，鉴定出完整的ACT毒素基因簇，发现该菌非必需染色体上的毒素编码基因是引发褐斑病的决定因素，揭示了柑橘褐斑病菌的10个特异基因决定该菌的分化；建立该菌遗传转化技术体系；发现bZIP转录因子家族14个基因调控营养生长；探明AaMetR调控柑橘褐斑病菌甲硫氨酸合成代谢；发现Gcn5、Hos2等19个基因均参与致病；获得红橘响应褐斑病菌侵染的差异表达基因；QTL检测到26个与柑橘识别（防御）抗性相关的标记。</w:t>
      </w:r>
    </w:p>
    <w:p>
      <w:pPr>
        <w:spacing w:after="156" w:afterLines="50" w:line="400" w:lineRule="exact"/>
        <w:ind w:firstLine="560" w:firstLineChars="200"/>
        <w:rPr>
          <w:rFonts w:ascii="Times New Roman" w:hAnsi="宋体" w:eastAsia="方正仿宋_GBK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Times New Roman" w:hAnsi="宋体" w:eastAsia="方正仿宋_GBK"/>
          <w:bCs/>
          <w:color w:val="000000"/>
          <w:sz w:val="28"/>
          <w:szCs w:val="28"/>
          <w:shd w:val="clear" w:color="auto" w:fill="FFFFFF"/>
        </w:rPr>
        <w:t>2. 揭示了柑橘褐斑病的流行规律，建立了高效数字化监测预警系统和抗病性评价体系</w:t>
      </w:r>
    </w:p>
    <w:p>
      <w:pPr>
        <w:spacing w:after="156" w:afterLines="50" w:line="400" w:lineRule="exact"/>
        <w:ind w:firstLine="560" w:firstLineChars="200"/>
        <w:rPr>
          <w:rFonts w:ascii="Times New Roman" w:hAnsi="宋体" w:eastAsia="方正仿宋_GBK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Times New Roman" w:hAnsi="宋体" w:eastAsia="方正仿宋_GBK"/>
          <w:bCs/>
          <w:color w:val="000000"/>
          <w:sz w:val="28"/>
          <w:szCs w:val="28"/>
          <w:shd w:val="clear" w:color="auto" w:fill="FFFFFF"/>
        </w:rPr>
        <w:t>明确褐斑病菌主要侵染柑橘嫩叶、新梢及幼果，3-6月为发病高峰期；建立了柑橘褐斑病高效数字化监测预警系统，引进全国首套柑橘真菌病害预警设备至重庆，准确预测防控关键期；建立了柑橘褐斑病抗性评价方法，鉴定出红橘、爱媛38、金秋砂糖橘等为易感品种，指导全国感病品种更换和防控。</w:t>
      </w:r>
    </w:p>
    <w:p>
      <w:pPr>
        <w:spacing w:after="156" w:afterLines="50" w:line="400" w:lineRule="exact"/>
        <w:ind w:firstLine="560" w:firstLineChars="200"/>
        <w:rPr>
          <w:rFonts w:ascii="Times New Roman" w:hAnsi="宋体" w:eastAsia="方正仿宋_GBK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Times New Roman" w:hAnsi="宋体" w:eastAsia="方正仿宋_GBK"/>
          <w:bCs/>
          <w:color w:val="000000"/>
          <w:sz w:val="28"/>
          <w:szCs w:val="28"/>
          <w:shd w:val="clear" w:color="auto" w:fill="FFFFFF"/>
        </w:rPr>
        <w:t>3. 系统构建了柑橘褐斑病综合防控技术体系</w:t>
      </w:r>
    </w:p>
    <w:p>
      <w:pPr>
        <w:spacing w:after="156" w:afterLines="50" w:line="400" w:lineRule="exact"/>
        <w:ind w:firstLine="560" w:firstLineChars="200"/>
        <w:rPr>
          <w:rFonts w:ascii="Times New Roman" w:hAnsi="宋体" w:eastAsia="方正仿宋_GBK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Times New Roman" w:hAnsi="宋体" w:eastAsia="方正仿宋_GBK"/>
          <w:bCs/>
          <w:color w:val="000000"/>
          <w:sz w:val="28"/>
          <w:szCs w:val="28"/>
          <w:shd w:val="clear" w:color="auto" w:fill="FFFFFF"/>
        </w:rPr>
        <w:t>筛选出吡唑醚菌酯、咪鲜胺、代森锰锌等有效药剂；研发出植物源农药、氟喹诺酮类胺基衍生物和头孢类衍生物TM1s等3类新型柑橘褐斑病防治药物；建立柑橘褐斑病数字化监测预警系统；创新研发了间伐开天窗、冬春清园、春秋季化防和配方施肥的“一剪两清两药平衡肥”的防病减损技术；创新建立柑橘褐斑病防控技术高效落地机制，迅速规模化遏制400余万亩柑橘褐斑病爆发成灾。</w:t>
      </w:r>
    </w:p>
    <w:p>
      <w:pPr>
        <w:spacing w:after="156" w:afterLines="50" w:line="400" w:lineRule="exact"/>
        <w:ind w:firstLine="560" w:firstLineChars="200"/>
        <w:rPr>
          <w:rFonts w:ascii="Times New Roman" w:hAnsi="宋体" w:eastAsia="方正仿宋_GBK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Times New Roman" w:hAnsi="宋体" w:eastAsia="方正仿宋_GBK"/>
          <w:bCs/>
          <w:color w:val="000000"/>
          <w:sz w:val="28"/>
          <w:szCs w:val="28"/>
          <w:shd w:val="clear" w:color="auto" w:fill="FFFFFF"/>
        </w:rPr>
        <w:t>项目组发表论文62篇，授权发明专利3项，制定技术标准3项，培养研究生16名。2014-2020年，该成果聚焦重庆、辐射西南、服务全国。推广应用445.4万亩，经济效益132.6亿元。成果的大面积推广应用有效遏制我国柑橘褐斑病的流行危害，对保障我国柑橘安全生产、巩固脱贫成效和助力乡村振兴具有重要意义。成果总体达到国内领先水平，部分研究成果达到国际先进水平。</w:t>
      </w:r>
    </w:p>
    <w:p>
      <w:pPr>
        <w:widowControl/>
        <w:jc w:val="left"/>
        <w:rPr>
          <w:rFonts w:ascii="Times New Roman" w:hAnsi="宋体" w:eastAsia="方正仿宋_GBK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Times New Roman" w:hAnsi="宋体" w:eastAsia="方正仿宋_GBK"/>
          <w:b/>
          <w:color w:val="000000"/>
          <w:sz w:val="28"/>
          <w:szCs w:val="28"/>
          <w:shd w:val="clear" w:color="auto" w:fill="FFFFFF"/>
        </w:rPr>
        <w:t>三、主要知识产权和标准规范等目录</w:t>
      </w:r>
    </w:p>
    <w:p>
      <w:pPr>
        <w:rPr>
          <w:rFonts w:ascii="宋体" w:hAnsi="宋体"/>
          <w:sz w:val="24"/>
          <w:szCs w:val="32"/>
        </w:rPr>
      </w:pPr>
    </w:p>
    <w:tbl>
      <w:tblPr>
        <w:tblStyle w:val="7"/>
        <w:tblW w:w="103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40"/>
        <w:gridCol w:w="2048"/>
        <w:gridCol w:w="851"/>
        <w:gridCol w:w="1198"/>
        <w:gridCol w:w="763"/>
        <w:gridCol w:w="754"/>
        <w:gridCol w:w="1458"/>
        <w:gridCol w:w="1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知识产权类别</w:t>
            </w:r>
          </w:p>
        </w:tc>
        <w:tc>
          <w:tcPr>
            <w:tcW w:w="20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知识产权具体名称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国家</w:t>
            </w:r>
            <w:r>
              <w:rPr>
                <w:rFonts w:hint="eastAsia"/>
                <w:b/>
              </w:rPr>
              <w:t>(</w:t>
            </w:r>
          </w:p>
          <w:p>
            <w:pPr>
              <w:rPr>
                <w:b/>
              </w:rPr>
            </w:pPr>
            <w:r>
              <w:rPr>
                <w:b/>
              </w:rPr>
              <w:t>地区）</w:t>
            </w:r>
          </w:p>
        </w:tc>
        <w:tc>
          <w:tcPr>
            <w:tcW w:w="11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授权号</w:t>
            </w:r>
          </w:p>
        </w:tc>
        <w:tc>
          <w:tcPr>
            <w:tcW w:w="7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授权日期</w:t>
            </w:r>
          </w:p>
        </w:tc>
        <w:tc>
          <w:tcPr>
            <w:tcW w:w="7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证书编号</w:t>
            </w:r>
          </w:p>
        </w:tc>
        <w:tc>
          <w:tcPr>
            <w:tcW w:w="14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权利人</w:t>
            </w:r>
          </w:p>
        </w:tc>
        <w:tc>
          <w:tcPr>
            <w:tcW w:w="19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发明人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</w:t>
            </w:r>
          </w:p>
        </w:tc>
        <w:tc>
          <w:tcPr>
            <w:tcW w:w="20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Verdana-Bold"/>
                <w:kern w:val="0"/>
                <w:szCs w:val="21"/>
                <w:lang w:bidi="ar"/>
              </w:rPr>
            </w:pPr>
            <w:r>
              <w:rPr>
                <w:rFonts w:eastAsia="Verdana-Bold"/>
                <w:kern w:val="0"/>
                <w:szCs w:val="21"/>
                <w:lang w:bidi="ar"/>
              </w:rPr>
              <w:t>First Report of Alternaria Brown Spot of Citrus Caused by Alternaria alternata in Yunnan Province, China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中国</w:t>
            </w:r>
          </w:p>
        </w:tc>
        <w:tc>
          <w:tcPr>
            <w:tcW w:w="11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ind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无</w:t>
            </w:r>
          </w:p>
        </w:tc>
        <w:tc>
          <w:tcPr>
            <w:tcW w:w="7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</w:t>
            </w:r>
            <w:r>
              <w:rPr>
                <w:rFonts w:hint="eastAsia"/>
                <w:kern w:val="0"/>
                <w:szCs w:val="21"/>
              </w:rPr>
              <w:t>-</w:t>
            </w:r>
            <w:r>
              <w:rPr>
                <w:kern w:val="0"/>
                <w:szCs w:val="21"/>
              </w:rPr>
              <w:t>03</w:t>
            </w:r>
            <w:r>
              <w:rPr>
                <w:rFonts w:hint="eastAsia"/>
                <w:kern w:val="0"/>
                <w:szCs w:val="21"/>
              </w:rPr>
              <w:t>-</w:t>
            </w:r>
            <w:r>
              <w:rPr>
                <w:kern w:val="0"/>
                <w:szCs w:val="21"/>
              </w:rPr>
              <w:t>08</w:t>
            </w:r>
          </w:p>
        </w:tc>
        <w:tc>
          <w:tcPr>
            <w:tcW w:w="7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无</w:t>
            </w:r>
          </w:p>
        </w:tc>
        <w:tc>
          <w:tcPr>
            <w:tcW w:w="14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西南大学</w:t>
            </w:r>
          </w:p>
        </w:tc>
        <w:tc>
          <w:tcPr>
            <w:tcW w:w="19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F5"/>
                <w:kern w:val="0"/>
                <w:szCs w:val="21"/>
                <w:lang w:bidi="ar"/>
              </w:rPr>
            </w:pPr>
            <w:r>
              <w:rPr>
                <w:rFonts w:eastAsia="F5"/>
                <w:kern w:val="0"/>
                <w:szCs w:val="21"/>
                <w:lang w:bidi="ar"/>
              </w:rPr>
              <w:t>X. F. Wang,</w:t>
            </w:r>
          </w:p>
          <w:p>
            <w:pPr>
              <w:widowControl/>
              <w:snapToGrid w:val="0"/>
              <w:jc w:val="left"/>
              <w:rPr>
                <w:rFonts w:eastAsia="F5"/>
                <w:kern w:val="0"/>
                <w:szCs w:val="21"/>
                <w:lang w:bidi="ar"/>
              </w:rPr>
            </w:pPr>
            <w:r>
              <w:rPr>
                <w:rFonts w:eastAsia="F5"/>
                <w:kern w:val="0"/>
                <w:szCs w:val="21"/>
                <w:lang w:bidi="ar"/>
              </w:rPr>
              <w:t>Z. A. Li, K. Z. Tang,  C. Y. Zhou.</w:t>
            </w:r>
          </w:p>
          <w:p>
            <w:pPr>
              <w:widowControl/>
              <w:snapToGrid w:val="0"/>
              <w:ind w:firstLine="42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</w:t>
            </w:r>
          </w:p>
        </w:tc>
        <w:tc>
          <w:tcPr>
            <w:tcW w:w="20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Verdana-Bold"/>
                <w:kern w:val="0"/>
                <w:szCs w:val="21"/>
                <w:lang w:bidi="ar"/>
              </w:rPr>
            </w:pPr>
            <w:r>
              <w:rPr>
                <w:rFonts w:eastAsia="Verdana-Bold"/>
                <w:kern w:val="0"/>
                <w:szCs w:val="21"/>
                <w:lang w:bidi="ar"/>
              </w:rPr>
              <w:t>红橘褐斑病病原鉴定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中国</w:t>
            </w:r>
          </w:p>
        </w:tc>
        <w:tc>
          <w:tcPr>
            <w:tcW w:w="11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ind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无</w:t>
            </w:r>
          </w:p>
        </w:tc>
        <w:tc>
          <w:tcPr>
            <w:tcW w:w="7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Cs w:val="21"/>
              </w:rPr>
            </w:pPr>
            <w:r>
              <w:rPr>
                <w:rFonts w:eastAsia="E-BZ"/>
                <w:kern w:val="0"/>
                <w:szCs w:val="21"/>
                <w:lang w:bidi="ar"/>
              </w:rPr>
              <w:t xml:space="preserve">2011-08-07 </w:t>
            </w:r>
          </w:p>
          <w:p>
            <w:pPr>
              <w:widowControl/>
              <w:snapToGrid w:val="0"/>
              <w:ind w:firstLine="420"/>
              <w:jc w:val="center"/>
              <w:rPr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无</w:t>
            </w:r>
          </w:p>
        </w:tc>
        <w:tc>
          <w:tcPr>
            <w:tcW w:w="14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浙江大学</w:t>
            </w:r>
          </w:p>
        </w:tc>
        <w:tc>
          <w:tcPr>
            <w:tcW w:w="19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陈昌胜</w:t>
            </w:r>
            <w:r>
              <w:rPr>
                <w:rFonts w:eastAsia="F5"/>
                <w:kern w:val="0"/>
                <w:szCs w:val="21"/>
                <w:lang w:bidi="ar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黄峰,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程兰,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冯春刚,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黄涛江,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李红叶</w:t>
            </w:r>
            <w:r>
              <w:rPr>
                <w:rFonts w:hint="eastAsia" w:eastAsia="F5"/>
                <w:kern w:val="0"/>
                <w:szCs w:val="21"/>
                <w:lang w:bidi="ar"/>
              </w:rPr>
              <w:t>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地方标准</w:t>
            </w:r>
          </w:p>
        </w:tc>
        <w:tc>
          <w:tcPr>
            <w:tcW w:w="20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Verdana-Bold"/>
                <w:kern w:val="0"/>
                <w:szCs w:val="21"/>
                <w:lang w:bidi="ar"/>
              </w:rPr>
            </w:pPr>
            <w:r>
              <w:rPr>
                <w:rFonts w:eastAsia="Verdana-Bold"/>
                <w:kern w:val="0"/>
                <w:szCs w:val="21"/>
                <w:lang w:bidi="ar"/>
              </w:rPr>
              <w:t>红桔褐斑病防控技术规程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</w:t>
            </w:r>
          </w:p>
        </w:tc>
        <w:tc>
          <w:tcPr>
            <w:tcW w:w="11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  <w:lang w:bidi="ar"/>
              </w:rPr>
              <w:t>DB 500101/T 012</w:t>
            </w:r>
            <w:r>
              <w:rPr>
                <w:kern w:val="0"/>
                <w:szCs w:val="21"/>
                <w:lang w:bidi="ar"/>
              </w:rPr>
              <w:t>—</w:t>
            </w:r>
            <w:r>
              <w:rPr>
                <w:rFonts w:eastAsia="黑体"/>
                <w:kern w:val="0"/>
                <w:szCs w:val="21"/>
                <w:lang w:bidi="ar"/>
              </w:rPr>
              <w:t>2016</w:t>
            </w:r>
          </w:p>
        </w:tc>
        <w:tc>
          <w:tcPr>
            <w:tcW w:w="7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Cs w:val="21"/>
              </w:rPr>
            </w:pPr>
            <w:r>
              <w:rPr>
                <w:rFonts w:eastAsia="F5"/>
                <w:kern w:val="0"/>
                <w:szCs w:val="21"/>
                <w:lang w:bidi="ar"/>
              </w:rPr>
              <w:t>2016-04-18</w:t>
            </w:r>
          </w:p>
          <w:p>
            <w:pPr>
              <w:widowControl/>
              <w:snapToGrid w:val="0"/>
              <w:ind w:firstLine="420"/>
              <w:jc w:val="center"/>
              <w:rPr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无</w:t>
            </w:r>
          </w:p>
        </w:tc>
        <w:tc>
          <w:tcPr>
            <w:tcW w:w="14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eastAsia="F5"/>
                <w:kern w:val="0"/>
                <w:szCs w:val="21"/>
                <w:lang w:bidi="ar"/>
              </w:rPr>
              <w:t>重庆市万州区果树技术推广站</w:t>
            </w:r>
          </w:p>
        </w:tc>
        <w:tc>
          <w:tcPr>
            <w:tcW w:w="19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程兰</w:t>
            </w:r>
            <w:r>
              <w:rPr>
                <w:rFonts w:hint="eastAsia" w:eastAsia="宋体"/>
                <w:kern w:val="0"/>
                <w:szCs w:val="21"/>
                <w:lang w:bidi="ar"/>
              </w:rPr>
              <w:t>,</w:t>
            </w:r>
            <w:r>
              <w:rPr>
                <w:rFonts w:eastAsia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汪小伟</w:t>
            </w:r>
            <w:r>
              <w:rPr>
                <w:rFonts w:hint="eastAsia" w:eastAsia="宋体"/>
                <w:kern w:val="0"/>
                <w:szCs w:val="21"/>
                <w:lang w:bidi="ar"/>
              </w:rPr>
              <w:t>,</w:t>
            </w:r>
            <w:r>
              <w:rPr>
                <w:rFonts w:eastAsia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eastAsia="宋体"/>
                <w:kern w:val="0"/>
                <w:szCs w:val="21"/>
                <w:lang w:bidi="ar"/>
              </w:rPr>
              <w:t>许兴权,</w:t>
            </w:r>
            <w:r>
              <w:rPr>
                <w:rFonts w:eastAsia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eastAsia="宋体"/>
                <w:kern w:val="0"/>
                <w:szCs w:val="21"/>
                <w:lang w:bidi="ar"/>
              </w:rPr>
              <w:t>汪明昌,</w:t>
            </w:r>
            <w:r>
              <w:rPr>
                <w:rFonts w:eastAsia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eastAsia="宋体"/>
                <w:kern w:val="0"/>
                <w:szCs w:val="21"/>
                <w:lang w:bidi="ar"/>
              </w:rPr>
              <w:t>刘兴凡,</w:t>
            </w:r>
            <w:r>
              <w:rPr>
                <w:rFonts w:eastAsia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eastAsia="宋体"/>
                <w:kern w:val="0"/>
                <w:szCs w:val="21"/>
                <w:lang w:bidi="ar"/>
              </w:rPr>
              <w:t>陈克富,</w:t>
            </w:r>
            <w:r>
              <w:rPr>
                <w:rFonts w:eastAsia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eastAsia="宋体"/>
                <w:kern w:val="0"/>
                <w:szCs w:val="21"/>
                <w:lang w:bidi="ar"/>
              </w:rPr>
              <w:t>邵黎敏,</w:t>
            </w:r>
            <w:r>
              <w:rPr>
                <w:rFonts w:eastAsia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eastAsia="宋体"/>
                <w:kern w:val="0"/>
                <w:szCs w:val="21"/>
                <w:lang w:bidi="ar"/>
              </w:rPr>
              <w:t>冉从文,</w:t>
            </w:r>
            <w:r>
              <w:rPr>
                <w:rFonts w:eastAsia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eastAsia="宋体"/>
                <w:kern w:val="0"/>
                <w:szCs w:val="21"/>
                <w:lang w:bidi="ar"/>
              </w:rPr>
              <w:t>周伟,</w:t>
            </w:r>
            <w:r>
              <w:rPr>
                <w:rFonts w:eastAsia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eastAsia="宋体"/>
                <w:kern w:val="0"/>
                <w:szCs w:val="21"/>
                <w:lang w:bidi="ar"/>
              </w:rPr>
              <w:t>张洪伟.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其他</w:t>
            </w:r>
          </w:p>
        </w:tc>
        <w:tc>
          <w:tcPr>
            <w:tcW w:w="20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Verdana-Bold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重庆万州区红桔褐斑病防控实践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</w:t>
            </w:r>
          </w:p>
        </w:tc>
        <w:tc>
          <w:tcPr>
            <w:tcW w:w="11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ind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无</w:t>
            </w:r>
          </w:p>
        </w:tc>
        <w:tc>
          <w:tcPr>
            <w:tcW w:w="7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017-09</w:t>
            </w:r>
            <w:r>
              <w:rPr>
                <w:rFonts w:hint="eastAsia"/>
                <w:kern w:val="0"/>
                <w:szCs w:val="21"/>
              </w:rPr>
              <w:t>-</w:t>
            </w:r>
            <w:r>
              <w:rPr>
                <w:kern w:val="0"/>
                <w:szCs w:val="21"/>
              </w:rPr>
              <w:t>08</w:t>
            </w:r>
          </w:p>
        </w:tc>
        <w:tc>
          <w:tcPr>
            <w:tcW w:w="7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无</w:t>
            </w:r>
          </w:p>
        </w:tc>
        <w:tc>
          <w:tcPr>
            <w:tcW w:w="14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重庆市万州区果树技术推广站</w:t>
            </w:r>
          </w:p>
        </w:tc>
        <w:tc>
          <w:tcPr>
            <w:tcW w:w="19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程</w:t>
            </w:r>
            <w:r>
              <w:rPr>
                <w:rFonts w:hint="eastAsia" w:eastAsia="宋体"/>
                <w:kern w:val="0"/>
                <w:szCs w:val="21"/>
                <w:lang w:bidi="ar"/>
              </w:rPr>
              <w:t>兰,</w:t>
            </w:r>
            <w:r>
              <w:rPr>
                <w:rFonts w:eastAsia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eastAsia="宋体"/>
                <w:kern w:val="0"/>
                <w:szCs w:val="21"/>
                <w:lang w:bidi="ar"/>
              </w:rPr>
              <w:t>胡军华,</w:t>
            </w:r>
            <w:r>
              <w:rPr>
                <w:rFonts w:eastAsia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eastAsia="宋体"/>
                <w:kern w:val="0"/>
                <w:szCs w:val="21"/>
                <w:lang w:bidi="ar"/>
              </w:rPr>
              <w:t>唐科志,</w:t>
            </w:r>
            <w:r>
              <w:rPr>
                <w:rFonts w:eastAsia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eastAsia="宋体"/>
                <w:kern w:val="0"/>
                <w:szCs w:val="21"/>
                <w:lang w:bidi="ar"/>
              </w:rPr>
              <w:t>周常勇,</w:t>
            </w:r>
            <w:r>
              <w:rPr>
                <w:rFonts w:eastAsia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eastAsia="宋体"/>
                <w:kern w:val="0"/>
                <w:szCs w:val="21"/>
                <w:lang w:bidi="ar"/>
              </w:rPr>
              <w:t>汪小伟,</w:t>
            </w:r>
            <w:r>
              <w:rPr>
                <w:rFonts w:eastAsia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eastAsia="宋体"/>
                <w:kern w:val="0"/>
                <w:szCs w:val="21"/>
                <w:lang w:bidi="ar"/>
              </w:rPr>
              <w:t>许兴</w:t>
            </w:r>
            <w:r>
              <w:rPr>
                <w:rFonts w:hint="eastAsia"/>
                <w:kern w:val="0"/>
                <w:szCs w:val="21"/>
              </w:rPr>
              <w:t>权.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发明专利权</w:t>
            </w:r>
          </w:p>
        </w:tc>
        <w:tc>
          <w:tcPr>
            <w:tcW w:w="20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一种抑菌农药组合物及其用途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-107" w:leftChars="-51" w:right="-107" w:rightChars="-51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</w:t>
            </w:r>
          </w:p>
        </w:tc>
        <w:tc>
          <w:tcPr>
            <w:tcW w:w="11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-107" w:leftChars="-51" w:right="-107" w:rightChars="-51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ZL 201510680855.8</w:t>
            </w:r>
          </w:p>
        </w:tc>
        <w:tc>
          <w:tcPr>
            <w:tcW w:w="7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-103" w:leftChars="-49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2017-10-17</w:t>
            </w:r>
          </w:p>
        </w:tc>
        <w:tc>
          <w:tcPr>
            <w:tcW w:w="7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2658188</w:t>
            </w:r>
          </w:p>
        </w:tc>
        <w:tc>
          <w:tcPr>
            <w:tcW w:w="14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-103" w:leftChars="-49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kern w:val="0"/>
                <w:szCs w:val="21"/>
              </w:rPr>
              <w:t>西南大学</w:t>
            </w:r>
          </w:p>
        </w:tc>
        <w:tc>
          <w:tcPr>
            <w:tcW w:w="19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胡军华,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姚廷山,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刘浩强,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李鸿筠,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冉春.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发明专利权</w:t>
            </w:r>
          </w:p>
        </w:tc>
        <w:tc>
          <w:tcPr>
            <w:tcW w:w="20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Verdana-Bold"/>
                <w:kern w:val="0"/>
                <w:szCs w:val="21"/>
                <w:lang w:bidi="ar"/>
              </w:rPr>
            </w:pPr>
            <w:r>
              <w:rPr>
                <w:rFonts w:eastAsia="Verdana-Bold"/>
                <w:kern w:val="0"/>
                <w:szCs w:val="21"/>
                <w:lang w:bidi="ar"/>
              </w:rPr>
              <w:t>氟喹诺酮类氨基衍生物及其防治柑橘病害的用途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</w:t>
            </w:r>
          </w:p>
        </w:tc>
        <w:tc>
          <w:tcPr>
            <w:tcW w:w="11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ZL201711102891.1</w:t>
            </w:r>
          </w:p>
        </w:tc>
        <w:tc>
          <w:tcPr>
            <w:tcW w:w="7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2021-08-03</w:t>
            </w:r>
          </w:p>
        </w:tc>
        <w:tc>
          <w:tcPr>
            <w:tcW w:w="7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4594732</w:t>
            </w:r>
          </w:p>
        </w:tc>
        <w:tc>
          <w:tcPr>
            <w:tcW w:w="14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西南大学</w:t>
            </w:r>
          </w:p>
        </w:tc>
        <w:tc>
          <w:tcPr>
            <w:tcW w:w="19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胡军华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kern w:val="0"/>
                <w:szCs w:val="21"/>
              </w:rPr>
              <w:t xml:space="preserve"> 杨大成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kern w:val="0"/>
                <w:szCs w:val="21"/>
              </w:rPr>
              <w:t xml:space="preserve"> 范莉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kern w:val="0"/>
                <w:szCs w:val="21"/>
              </w:rPr>
              <w:t xml:space="preserve"> 龙艳玲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kern w:val="0"/>
                <w:szCs w:val="21"/>
              </w:rPr>
              <w:t xml:space="preserve"> 冯计周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黄敏王帆,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刘文,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刘洁,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陈菲菲,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刘晋宇,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张泽朝,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杨真,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张金坤,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谌阳,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陈思雅.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</w:t>
            </w:r>
          </w:p>
        </w:tc>
        <w:tc>
          <w:tcPr>
            <w:tcW w:w="20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Verdana-Bold"/>
                <w:kern w:val="0"/>
                <w:szCs w:val="21"/>
                <w:lang w:bidi="ar"/>
              </w:rPr>
            </w:pPr>
            <w:r>
              <w:rPr>
                <w:rFonts w:eastAsia="Verdana-Bold"/>
                <w:kern w:val="0"/>
                <w:szCs w:val="21"/>
                <w:lang w:bidi="ar"/>
              </w:rPr>
              <w:t>Genomic and ranscriptomic analyses of the tangerine pathotype of Alternaria alternata in response to oxidative stress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</w:t>
            </w:r>
          </w:p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ind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无</w:t>
            </w:r>
          </w:p>
        </w:tc>
        <w:tc>
          <w:tcPr>
            <w:tcW w:w="7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2016</w:t>
            </w:r>
            <w:r>
              <w:rPr>
                <w:rFonts w:hint="eastAsia"/>
                <w:kern w:val="0"/>
                <w:szCs w:val="21"/>
              </w:rPr>
              <w:t>-</w:t>
            </w:r>
            <w:r>
              <w:rPr>
                <w:kern w:val="0"/>
                <w:szCs w:val="21"/>
              </w:rPr>
              <w:t>09</w:t>
            </w:r>
            <w:r>
              <w:rPr>
                <w:rFonts w:hint="eastAsia"/>
                <w:kern w:val="0"/>
                <w:szCs w:val="21"/>
              </w:rPr>
              <w:t>-</w:t>
            </w:r>
            <w:r>
              <w:rPr>
                <w:kern w:val="0"/>
                <w:szCs w:val="21"/>
              </w:rPr>
              <w:t>01</w:t>
            </w:r>
          </w:p>
        </w:tc>
        <w:tc>
          <w:tcPr>
            <w:tcW w:w="7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无</w:t>
            </w:r>
          </w:p>
        </w:tc>
        <w:tc>
          <w:tcPr>
            <w:tcW w:w="14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浙江大学</w:t>
            </w:r>
          </w:p>
        </w:tc>
        <w:tc>
          <w:tcPr>
            <w:tcW w:w="19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F5"/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</w:rPr>
              <w:t>Mingshuang Wang</w:t>
            </w:r>
            <w:r>
              <w:rPr>
                <w:rFonts w:eastAsia="F5"/>
                <w:kern w:val="0"/>
                <w:szCs w:val="21"/>
                <w:lang w:bidi="ar"/>
              </w:rPr>
              <w:t>, Xuepeng Sun, Dongliang Yu, Jianping Xu, Kuangren Chung，</w:t>
            </w:r>
          </w:p>
          <w:p>
            <w:pPr>
              <w:widowControl/>
              <w:snapToGrid w:val="0"/>
              <w:jc w:val="left"/>
              <w:rPr>
                <w:rFonts w:eastAsia="F5"/>
                <w:kern w:val="0"/>
                <w:szCs w:val="21"/>
                <w:lang w:bidi="ar"/>
              </w:rPr>
            </w:pPr>
            <w:r>
              <w:rPr>
                <w:rFonts w:eastAsia="F5"/>
                <w:kern w:val="0"/>
                <w:szCs w:val="21"/>
                <w:lang w:bidi="ar"/>
              </w:rPr>
              <w:t>Hongye Li.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</w:t>
            </w:r>
          </w:p>
        </w:tc>
        <w:tc>
          <w:tcPr>
            <w:tcW w:w="20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Verdana-Bold"/>
                <w:kern w:val="0"/>
                <w:szCs w:val="21"/>
                <w:lang w:bidi="ar"/>
              </w:rPr>
            </w:pPr>
            <w:r>
              <w:rPr>
                <w:rFonts w:eastAsia="Verdana-Bold"/>
                <w:kern w:val="0"/>
                <w:szCs w:val="21"/>
                <w:lang w:bidi="ar"/>
              </w:rPr>
              <w:t>Genomic features and evolution of the conditionally dispensable</w:t>
            </w:r>
          </w:p>
          <w:p>
            <w:pPr>
              <w:widowControl/>
              <w:snapToGrid w:val="0"/>
              <w:jc w:val="center"/>
              <w:rPr>
                <w:rFonts w:eastAsia="Verdana-Bold"/>
                <w:kern w:val="0"/>
                <w:szCs w:val="21"/>
                <w:lang w:bidi="ar"/>
              </w:rPr>
            </w:pPr>
            <w:r>
              <w:rPr>
                <w:rFonts w:eastAsia="Verdana-Bold"/>
                <w:kern w:val="0"/>
                <w:szCs w:val="21"/>
                <w:lang w:bidi="ar"/>
              </w:rPr>
              <w:t>chromosome in the tangerine pathotype of Alternaria alternata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</w:t>
            </w:r>
          </w:p>
        </w:tc>
        <w:tc>
          <w:tcPr>
            <w:tcW w:w="11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ind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无</w:t>
            </w:r>
          </w:p>
        </w:tc>
        <w:tc>
          <w:tcPr>
            <w:tcW w:w="7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2019-10-20</w:t>
            </w:r>
          </w:p>
        </w:tc>
        <w:tc>
          <w:tcPr>
            <w:tcW w:w="7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无</w:t>
            </w:r>
          </w:p>
        </w:tc>
        <w:tc>
          <w:tcPr>
            <w:tcW w:w="14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浙江大学</w:t>
            </w:r>
          </w:p>
        </w:tc>
        <w:tc>
          <w:tcPr>
            <w:tcW w:w="19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Mingshuang Wang, Huilan Fu, Xing-xing Shen, Ruoxin Ruan,</w:t>
            </w:r>
          </w:p>
          <w:p>
            <w:pPr>
              <w:widowControl/>
              <w:snapToGrid w:val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Antonis Rokas and Hongye Li.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</w:t>
            </w:r>
          </w:p>
        </w:tc>
        <w:tc>
          <w:tcPr>
            <w:tcW w:w="20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Verdana-Bold"/>
                <w:kern w:val="0"/>
                <w:szCs w:val="21"/>
                <w:lang w:bidi="ar"/>
              </w:rPr>
            </w:pPr>
            <w:r>
              <w:rPr>
                <w:rFonts w:eastAsia="Verdana-Bold"/>
                <w:kern w:val="0"/>
                <w:szCs w:val="21"/>
                <w:lang w:bidi="ar"/>
              </w:rPr>
              <w:t xml:space="preserve">Csn5 </w:t>
            </w:r>
            <w:r>
              <w:rPr>
                <w:rFonts w:hint="eastAsia" w:eastAsia="宋体"/>
                <w:kern w:val="0"/>
                <w:szCs w:val="21"/>
                <w:lang w:bidi="ar"/>
              </w:rPr>
              <w:t>i</w:t>
            </w:r>
            <w:r>
              <w:rPr>
                <w:rFonts w:eastAsia="Verdana-Bold"/>
                <w:kern w:val="0"/>
                <w:szCs w:val="21"/>
                <w:lang w:bidi="ar"/>
              </w:rPr>
              <w:t>s Required for the</w:t>
            </w:r>
          </w:p>
          <w:p>
            <w:pPr>
              <w:widowControl/>
              <w:snapToGrid w:val="0"/>
              <w:jc w:val="center"/>
              <w:rPr>
                <w:rFonts w:eastAsia="Verdana-Bold"/>
                <w:kern w:val="0"/>
                <w:szCs w:val="21"/>
                <w:lang w:bidi="ar"/>
              </w:rPr>
            </w:pPr>
            <w:r>
              <w:rPr>
                <w:rFonts w:eastAsia="Verdana-Bold"/>
                <w:kern w:val="0"/>
                <w:szCs w:val="21"/>
                <w:lang w:bidi="ar"/>
              </w:rPr>
              <w:t>Conidiogenesis and Pathogenesis of</w:t>
            </w:r>
          </w:p>
          <w:p>
            <w:pPr>
              <w:widowControl/>
              <w:snapToGrid w:val="0"/>
              <w:jc w:val="center"/>
              <w:rPr>
                <w:rFonts w:eastAsia="Verdana-Bold"/>
                <w:kern w:val="0"/>
                <w:szCs w:val="21"/>
                <w:lang w:bidi="ar"/>
              </w:rPr>
            </w:pPr>
            <w:r>
              <w:rPr>
                <w:rFonts w:eastAsia="Verdana-Bold"/>
                <w:kern w:val="0"/>
                <w:szCs w:val="21"/>
                <w:lang w:bidi="ar"/>
              </w:rPr>
              <w:t>the Alternaria alternata Tangerine</w:t>
            </w:r>
          </w:p>
          <w:p>
            <w:pPr>
              <w:widowControl/>
              <w:snapToGrid w:val="0"/>
              <w:jc w:val="center"/>
              <w:rPr>
                <w:rFonts w:eastAsia="Verdana-Bold"/>
                <w:kern w:val="0"/>
                <w:szCs w:val="21"/>
                <w:lang w:bidi="ar"/>
              </w:rPr>
            </w:pPr>
            <w:r>
              <w:rPr>
                <w:rFonts w:eastAsia="Verdana-Bold"/>
                <w:kern w:val="0"/>
                <w:szCs w:val="21"/>
                <w:lang w:bidi="ar"/>
              </w:rPr>
              <w:t>Pathotype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</w:t>
            </w:r>
          </w:p>
        </w:tc>
        <w:tc>
          <w:tcPr>
            <w:tcW w:w="11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ind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无</w:t>
            </w:r>
          </w:p>
        </w:tc>
        <w:tc>
          <w:tcPr>
            <w:tcW w:w="7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2018-3-20</w:t>
            </w:r>
          </w:p>
        </w:tc>
        <w:tc>
          <w:tcPr>
            <w:tcW w:w="7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无</w:t>
            </w:r>
          </w:p>
        </w:tc>
        <w:tc>
          <w:tcPr>
            <w:tcW w:w="14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浙江大学</w:t>
            </w:r>
          </w:p>
        </w:tc>
        <w:tc>
          <w:tcPr>
            <w:tcW w:w="19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Mingshuang Wang, Xiao Yang, Ruoxin Ruan, Huilan Fu and Hongye Li.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</w:pPr>
            <w:r>
              <w:rPr>
                <w:kern w:val="0"/>
                <w:szCs w:val="21"/>
              </w:rPr>
              <w:t>其他</w:t>
            </w:r>
          </w:p>
        </w:tc>
        <w:tc>
          <w:tcPr>
            <w:tcW w:w="20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Verdana-Bold"/>
                <w:kern w:val="0"/>
                <w:szCs w:val="21"/>
                <w:lang w:bidi="ar"/>
              </w:rPr>
            </w:pPr>
            <w:r>
              <w:rPr>
                <w:rFonts w:eastAsia="Verdana-Bold"/>
                <w:kern w:val="0"/>
                <w:szCs w:val="21"/>
                <w:lang w:bidi="ar"/>
              </w:rPr>
              <w:t>Pdel, Encoding a Low-Affinity cAMP Phosphodiesterase, Regulates Conidiation and Pathogenesis in Alternaria alternata Tangerine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中国</w:t>
            </w:r>
          </w:p>
        </w:tc>
        <w:tc>
          <w:tcPr>
            <w:tcW w:w="11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ind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无</w:t>
            </w:r>
          </w:p>
        </w:tc>
        <w:tc>
          <w:tcPr>
            <w:tcW w:w="7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</w:t>
            </w:r>
            <w:r>
              <w:rPr>
                <w:rFonts w:hint="eastAsia"/>
                <w:kern w:val="0"/>
                <w:szCs w:val="21"/>
              </w:rPr>
              <w:t>-</w:t>
            </w:r>
            <w:r>
              <w:rPr>
                <w:kern w:val="0"/>
                <w:szCs w:val="21"/>
              </w:rPr>
              <w:t>11</w:t>
            </w:r>
            <w:r>
              <w:rPr>
                <w:rFonts w:hint="eastAsia"/>
                <w:kern w:val="0"/>
                <w:szCs w:val="21"/>
              </w:rPr>
              <w:t>-</w:t>
            </w:r>
            <w:r>
              <w:rPr>
                <w:kern w:val="0"/>
                <w:szCs w:val="21"/>
              </w:rPr>
              <w:t>16</w:t>
            </w:r>
          </w:p>
        </w:tc>
        <w:tc>
          <w:tcPr>
            <w:tcW w:w="7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无</w:t>
            </w:r>
          </w:p>
        </w:tc>
        <w:tc>
          <w:tcPr>
            <w:tcW w:w="14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西南大学</w:t>
            </w:r>
          </w:p>
        </w:tc>
        <w:tc>
          <w:tcPr>
            <w:tcW w:w="19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Weiwei Lv, Xiangwen Kong, Changyong Zhou, Kezhi Tang.</w:t>
            </w:r>
          </w:p>
        </w:tc>
      </w:tr>
    </w:tbl>
    <w:p/>
    <w:sectPr>
      <w:head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-Bol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5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mYTIxNWFhY2VhNWJkM2NkMmVhNzk5MWY0MGRiMTUifQ=="/>
  </w:docVars>
  <w:rsids>
    <w:rsidRoot w:val="002A259D"/>
    <w:rsid w:val="000D115A"/>
    <w:rsid w:val="00293AE5"/>
    <w:rsid w:val="002A259D"/>
    <w:rsid w:val="00301A8C"/>
    <w:rsid w:val="003123E4"/>
    <w:rsid w:val="0039315A"/>
    <w:rsid w:val="00426DAC"/>
    <w:rsid w:val="004B5A2F"/>
    <w:rsid w:val="004E070F"/>
    <w:rsid w:val="005348DB"/>
    <w:rsid w:val="005B3FB2"/>
    <w:rsid w:val="0061037A"/>
    <w:rsid w:val="00626C4B"/>
    <w:rsid w:val="00653A80"/>
    <w:rsid w:val="006F2472"/>
    <w:rsid w:val="007058D8"/>
    <w:rsid w:val="00791D3E"/>
    <w:rsid w:val="00834C63"/>
    <w:rsid w:val="009C43D6"/>
    <w:rsid w:val="00A16049"/>
    <w:rsid w:val="00A26C24"/>
    <w:rsid w:val="00A62A97"/>
    <w:rsid w:val="00B641CF"/>
    <w:rsid w:val="00B90607"/>
    <w:rsid w:val="00BA7E5E"/>
    <w:rsid w:val="00C05B43"/>
    <w:rsid w:val="00C162D2"/>
    <w:rsid w:val="00C47F87"/>
    <w:rsid w:val="00CA3AAF"/>
    <w:rsid w:val="00D11809"/>
    <w:rsid w:val="00E12736"/>
    <w:rsid w:val="00EC336D"/>
    <w:rsid w:val="00EC7324"/>
    <w:rsid w:val="00F10E13"/>
    <w:rsid w:val="00F66412"/>
    <w:rsid w:val="00F77080"/>
    <w:rsid w:val="00F95A4F"/>
    <w:rsid w:val="038C1A15"/>
    <w:rsid w:val="05EA6938"/>
    <w:rsid w:val="0D850B19"/>
    <w:rsid w:val="0E4177ED"/>
    <w:rsid w:val="0FB322DF"/>
    <w:rsid w:val="107E1073"/>
    <w:rsid w:val="1F0D1B99"/>
    <w:rsid w:val="2C430FDC"/>
    <w:rsid w:val="363E2205"/>
    <w:rsid w:val="40AF212E"/>
    <w:rsid w:val="4558177E"/>
    <w:rsid w:val="4B8360EB"/>
    <w:rsid w:val="51A11458"/>
    <w:rsid w:val="53AF1FB8"/>
    <w:rsid w:val="5E604B5F"/>
    <w:rsid w:val="5EAF12D8"/>
    <w:rsid w:val="66D6770D"/>
    <w:rsid w:val="70152F41"/>
    <w:rsid w:val="79EA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1705</Words>
  <Characters>2592</Characters>
  <Lines>20</Lines>
  <Paragraphs>5</Paragraphs>
  <TotalTime>75</TotalTime>
  <ScaleCrop>false</ScaleCrop>
  <LinksUpToDate>false</LinksUpToDate>
  <CharactersWithSpaces>2755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2023-03-21T03:52:00Z</dcterms:created>
  <dc:creator>张莲</dc:creator>
  <cp:lastModifiedBy>林良夫</cp:lastModifiedBy>
  <dcterms:modified xsi:type="dcterms:W3CDTF">2023-03-26T07:53:02Z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A82E4BEF6D654D40A18D053A201BA6CD</vt:lpwstr>
  </property>
</Properties>
</file>