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7034">
      <w:pPr>
        <w:jc w:val="center"/>
        <w:rPr>
          <w:rFonts w:hint="eastAsia" w:ascii="方正公文小标宋" w:hAnsi="方正公文小标宋" w:eastAsia="方正公文小标宋" w:cs="方正公文小标宋"/>
          <w:sz w:val="32"/>
          <w:szCs w:val="40"/>
        </w:rPr>
      </w:pPr>
      <w:r>
        <w:rPr>
          <w:rFonts w:hint="eastAsia" w:ascii="方正公文小标宋" w:hAnsi="方正公文小标宋" w:eastAsia="方正公文小标宋" w:cs="方正公文小标宋"/>
          <w:sz w:val="32"/>
          <w:szCs w:val="40"/>
        </w:rPr>
        <w:t>2026年度中国商业联合会科学技术奖拟提名项目公示材料</w:t>
      </w:r>
    </w:p>
    <w:p w14:paraId="38127035">
      <w:pPr>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一、项目名称</w:t>
      </w:r>
    </w:p>
    <w:p w14:paraId="38127036">
      <w:pPr>
        <w:snapToGrid w:val="0"/>
        <w:spacing w:line="480" w:lineRule="auto"/>
        <w:rPr>
          <w:rFonts w:ascii="Times New Roman" w:hAnsi="Times New Roman" w:eastAsia="仿宋_GB2312"/>
          <w:sz w:val="24"/>
          <w:szCs w:val="21"/>
        </w:rPr>
      </w:pPr>
      <w:r>
        <w:rPr>
          <w:rFonts w:hint="eastAsia" w:ascii="Times New Roman" w:hAnsi="Times New Roman" w:eastAsia="仿宋_GB2312"/>
          <w:sz w:val="24"/>
          <w:szCs w:val="21"/>
        </w:rPr>
        <w:t>垃圾焚烧飞灰解毒与利用关键技术及应用</w:t>
      </w:r>
    </w:p>
    <w:p w14:paraId="38127037">
      <w:pPr>
        <w:snapToGrid w:val="0"/>
        <w:spacing w:line="300" w:lineRule="auto"/>
        <w:rPr>
          <w:rFonts w:ascii="Times New Roman" w:hAnsi="Times New Roman" w:eastAsia="仿宋_GB2312"/>
          <w:sz w:val="24"/>
          <w:szCs w:val="21"/>
        </w:rPr>
      </w:pPr>
    </w:p>
    <w:p w14:paraId="38127038">
      <w:pPr>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二、提名单位</w:t>
      </w:r>
    </w:p>
    <w:p w14:paraId="38127039">
      <w:pPr>
        <w:snapToGrid w:val="0"/>
        <w:spacing w:line="480" w:lineRule="auto"/>
        <w:rPr>
          <w:rFonts w:ascii="Times New Roman" w:hAnsi="Times New Roman" w:eastAsia="仿宋_GB2312"/>
          <w:sz w:val="24"/>
          <w:szCs w:val="21"/>
        </w:rPr>
      </w:pPr>
      <w:r>
        <w:rPr>
          <w:rFonts w:hint="eastAsia" w:ascii="Times New Roman" w:hAnsi="Times New Roman" w:eastAsia="仿宋_GB2312"/>
          <w:sz w:val="24"/>
          <w:szCs w:val="21"/>
        </w:rPr>
        <w:t>浙江大学</w:t>
      </w:r>
    </w:p>
    <w:p w14:paraId="3812703A">
      <w:pPr>
        <w:snapToGrid w:val="0"/>
        <w:spacing w:line="300" w:lineRule="auto"/>
        <w:rPr>
          <w:rFonts w:ascii="Times New Roman" w:hAnsi="Times New Roman" w:eastAsia="仿宋_GB2312"/>
          <w:sz w:val="24"/>
          <w:szCs w:val="21"/>
        </w:rPr>
      </w:pPr>
    </w:p>
    <w:p w14:paraId="3812703B">
      <w:pPr>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三、提名奖项</w:t>
      </w:r>
    </w:p>
    <w:p w14:paraId="3812703C">
      <w:pPr>
        <w:snapToGrid w:val="0"/>
        <w:spacing w:line="480" w:lineRule="auto"/>
        <w:rPr>
          <w:rFonts w:ascii="Times New Roman" w:hAnsi="Times New Roman" w:eastAsia="仿宋_GB2312"/>
          <w:sz w:val="24"/>
          <w:szCs w:val="21"/>
        </w:rPr>
      </w:pPr>
      <w:r>
        <w:rPr>
          <w:rFonts w:hint="eastAsia" w:ascii="Times New Roman" w:hAnsi="Times New Roman" w:eastAsia="仿宋_GB2312"/>
          <w:sz w:val="24"/>
          <w:szCs w:val="21"/>
        </w:rPr>
        <w:t>技术发明奖</w:t>
      </w:r>
    </w:p>
    <w:p w14:paraId="3812703D">
      <w:pPr>
        <w:snapToGrid w:val="0"/>
        <w:spacing w:line="300" w:lineRule="auto"/>
        <w:rPr>
          <w:rFonts w:ascii="Times New Roman" w:hAnsi="Times New Roman" w:eastAsia="仿宋_GB2312"/>
          <w:sz w:val="24"/>
          <w:szCs w:val="21"/>
        </w:rPr>
      </w:pPr>
    </w:p>
    <w:p w14:paraId="3812703E">
      <w:pPr>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四、主要完成人（完成单位）</w:t>
      </w:r>
    </w:p>
    <w:p w14:paraId="3812703F">
      <w:pPr>
        <w:snapToGrid w:val="0"/>
        <w:spacing w:line="480" w:lineRule="auto"/>
        <w:rPr>
          <w:rFonts w:ascii="Times New Roman" w:hAnsi="Times New Roman" w:eastAsia="仿宋_GB2312"/>
          <w:sz w:val="24"/>
          <w:szCs w:val="21"/>
        </w:rPr>
      </w:pPr>
      <w:r>
        <w:rPr>
          <w:rFonts w:hint="eastAsia" w:ascii="Times New Roman" w:hAnsi="Times New Roman" w:eastAsia="仿宋_GB2312"/>
          <w:sz w:val="24"/>
          <w:szCs w:val="21"/>
        </w:rPr>
        <w:t>王</w:t>
      </w:r>
      <w:r>
        <w:rPr>
          <w:rFonts w:hint="eastAsia" w:ascii="Times New Roman" w:hAnsi="Times New Roman" w:eastAsia="仿宋_GB2312"/>
          <w:sz w:val="24"/>
          <w:szCs w:val="21"/>
          <w:lang w:val="en-US" w:eastAsia="zh-CN"/>
        </w:rPr>
        <w:t xml:space="preserve">  </w:t>
      </w:r>
      <w:r>
        <w:rPr>
          <w:rFonts w:hint="eastAsia" w:ascii="Times New Roman" w:hAnsi="Times New Roman" w:eastAsia="仿宋_GB2312"/>
          <w:sz w:val="24"/>
          <w:szCs w:val="21"/>
        </w:rPr>
        <w:t>磊（浙江大学）</w:t>
      </w:r>
    </w:p>
    <w:p w14:paraId="38127040">
      <w:pPr>
        <w:snapToGrid w:val="0"/>
        <w:spacing w:line="480" w:lineRule="auto"/>
        <w:rPr>
          <w:rFonts w:ascii="Times New Roman" w:hAnsi="Times New Roman" w:eastAsia="仿宋_GB2312"/>
          <w:sz w:val="24"/>
          <w:szCs w:val="21"/>
        </w:rPr>
      </w:pPr>
      <w:r>
        <w:rPr>
          <w:rFonts w:hint="eastAsia" w:ascii="Times New Roman" w:hAnsi="Times New Roman" w:eastAsia="仿宋_GB2312"/>
          <w:sz w:val="24"/>
          <w:szCs w:val="21"/>
        </w:rPr>
        <w:t>彭亚旗（浙江大学）</w:t>
      </w:r>
    </w:p>
    <w:p w14:paraId="38127041">
      <w:pPr>
        <w:snapToGrid w:val="0"/>
        <w:spacing w:line="480" w:lineRule="auto"/>
        <w:rPr>
          <w:rFonts w:ascii="Times New Roman" w:hAnsi="Times New Roman" w:eastAsia="仿宋_GB2312"/>
          <w:sz w:val="24"/>
          <w:szCs w:val="21"/>
        </w:rPr>
      </w:pPr>
      <w:r>
        <w:rPr>
          <w:rFonts w:hint="eastAsia" w:ascii="Times New Roman" w:hAnsi="Times New Roman" w:eastAsia="仿宋_GB2312"/>
          <w:sz w:val="24"/>
          <w:szCs w:val="21"/>
        </w:rPr>
        <w:t>赵科铭（浙江京兰环保科技有限公司）</w:t>
      </w:r>
    </w:p>
    <w:p w14:paraId="38127042">
      <w:pPr>
        <w:snapToGrid w:val="0"/>
        <w:spacing w:line="480" w:lineRule="auto"/>
        <w:rPr>
          <w:rFonts w:ascii="Times New Roman" w:hAnsi="Times New Roman" w:eastAsia="仿宋_GB2312"/>
          <w:sz w:val="24"/>
          <w:szCs w:val="21"/>
        </w:rPr>
      </w:pPr>
      <w:r>
        <w:rPr>
          <w:rFonts w:hint="eastAsia" w:ascii="Times New Roman" w:hAnsi="Times New Roman" w:eastAsia="仿宋_GB2312"/>
          <w:sz w:val="24"/>
          <w:szCs w:val="21"/>
        </w:rPr>
        <w:t>杨</w:t>
      </w:r>
      <w:r>
        <w:rPr>
          <w:rFonts w:hint="eastAsia" w:ascii="Times New Roman" w:hAnsi="Times New Roman" w:eastAsia="仿宋_GB2312"/>
          <w:sz w:val="24"/>
          <w:szCs w:val="21"/>
          <w:lang w:val="en-US" w:eastAsia="zh-CN"/>
        </w:rPr>
        <w:t xml:space="preserve">  </w:t>
      </w:r>
      <w:r>
        <w:rPr>
          <w:rFonts w:hint="eastAsia" w:ascii="Times New Roman" w:hAnsi="Times New Roman" w:eastAsia="仿宋_GB2312"/>
          <w:sz w:val="24"/>
          <w:szCs w:val="21"/>
        </w:rPr>
        <w:t>杰（浙江方远新材料股份有限公司）</w:t>
      </w:r>
    </w:p>
    <w:p w14:paraId="38127043">
      <w:pPr>
        <w:snapToGrid w:val="0"/>
        <w:spacing w:line="480" w:lineRule="auto"/>
        <w:rPr>
          <w:rFonts w:ascii="Times New Roman" w:hAnsi="Times New Roman" w:eastAsia="仿宋_GB2312"/>
          <w:sz w:val="24"/>
          <w:szCs w:val="21"/>
        </w:rPr>
      </w:pPr>
      <w:r>
        <w:rPr>
          <w:rFonts w:hint="eastAsia" w:ascii="Times New Roman" w:hAnsi="Times New Roman" w:eastAsia="仿宋_GB2312"/>
          <w:sz w:val="24"/>
          <w:szCs w:val="21"/>
        </w:rPr>
        <w:t>夏</w:t>
      </w:r>
      <w:r>
        <w:rPr>
          <w:rFonts w:hint="eastAsia" w:ascii="Times New Roman" w:hAnsi="Times New Roman" w:eastAsia="仿宋_GB2312"/>
          <w:sz w:val="24"/>
          <w:szCs w:val="21"/>
          <w:lang w:val="en-US" w:eastAsia="zh-CN"/>
        </w:rPr>
        <w:t xml:space="preserve">  </w:t>
      </w:r>
      <w:r>
        <w:rPr>
          <w:rFonts w:hint="eastAsia" w:ascii="Times New Roman" w:hAnsi="Times New Roman" w:eastAsia="仿宋_GB2312"/>
          <w:sz w:val="24"/>
          <w:szCs w:val="21"/>
        </w:rPr>
        <w:t>岩</w:t>
      </w:r>
      <w:bookmarkStart w:id="0" w:name="OLE_LINK34"/>
      <w:r>
        <w:rPr>
          <w:rFonts w:hint="eastAsia" w:ascii="Times New Roman" w:hAnsi="Times New Roman" w:eastAsia="仿宋_GB2312"/>
          <w:sz w:val="24"/>
          <w:szCs w:val="21"/>
        </w:rPr>
        <w:t>（浙江大学）</w:t>
      </w:r>
      <w:bookmarkEnd w:id="0"/>
      <w:bookmarkStart w:id="25" w:name="_GoBack"/>
      <w:bookmarkEnd w:id="25"/>
    </w:p>
    <w:p w14:paraId="38127044">
      <w:pPr>
        <w:snapToGrid w:val="0"/>
        <w:spacing w:line="480" w:lineRule="auto"/>
        <w:rPr>
          <w:rFonts w:ascii="Times New Roman" w:hAnsi="Times New Roman" w:eastAsia="仿宋_GB2312"/>
          <w:sz w:val="24"/>
          <w:szCs w:val="21"/>
        </w:rPr>
      </w:pPr>
      <w:r>
        <w:rPr>
          <w:rFonts w:hint="eastAsia" w:ascii="Times New Roman" w:hAnsi="Times New Roman" w:eastAsia="仿宋_GB2312"/>
          <w:sz w:val="24"/>
          <w:szCs w:val="21"/>
        </w:rPr>
        <w:t>严建华（浙江大学）</w:t>
      </w:r>
    </w:p>
    <w:p w14:paraId="38127045">
      <w:pPr>
        <w:rPr>
          <w:rFonts w:hint="eastAsia" w:ascii="宋体" w:hAnsi="宋体" w:eastAsia="宋体" w:cs="方正仿宋_GB18030"/>
          <w:sz w:val="24"/>
        </w:rPr>
      </w:pPr>
    </w:p>
    <w:p w14:paraId="38127046">
      <w:pPr>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五、主要知识产权目录</w:t>
      </w:r>
    </w:p>
    <w:tbl>
      <w:tblPr>
        <w:tblStyle w:val="2"/>
        <w:tblW w:w="10056"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537"/>
        <w:gridCol w:w="1526"/>
        <w:gridCol w:w="1017"/>
        <w:gridCol w:w="1403"/>
        <w:gridCol w:w="1747"/>
        <w:gridCol w:w="1134"/>
        <w:gridCol w:w="1692"/>
      </w:tblGrid>
      <w:tr w14:paraId="3812704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blHeader/>
          <w:jc w:val="center"/>
        </w:trPr>
        <w:tc>
          <w:tcPr>
            <w:tcW w:w="1537" w:type="dxa"/>
            <w:tcBorders>
              <w:top w:val="single" w:color="auto" w:sz="12" w:space="0"/>
              <w:left w:val="nil"/>
              <w:bottom w:val="nil"/>
              <w:right w:val="nil"/>
            </w:tcBorders>
            <w:tcMar>
              <w:top w:w="-1" w:type="dxa"/>
              <w:left w:w="-1" w:type="dxa"/>
              <w:bottom w:w="-1" w:type="dxa"/>
              <w:right w:w="-1" w:type="dxa"/>
            </w:tcMar>
            <w:vAlign w:val="center"/>
          </w:tcPr>
          <w:p w14:paraId="38127047">
            <w:pPr>
              <w:keepNext/>
              <w:snapToGrid w:val="0"/>
              <w:jc w:val="center"/>
              <w:rPr>
                <w:rFonts w:ascii="Times New Roman" w:hAnsi="Times New Roman" w:eastAsia="仿宋_GB2312"/>
                <w:b/>
                <w:sz w:val="24"/>
                <w:szCs w:val="21"/>
              </w:rPr>
            </w:pPr>
            <w:r>
              <w:rPr>
                <w:rFonts w:ascii="Times New Roman" w:hAnsi="Times New Roman" w:eastAsia="仿宋_GB2312"/>
                <w:b/>
                <w:sz w:val="24"/>
                <w:szCs w:val="21"/>
              </w:rPr>
              <w:t>知识产权类别</w:t>
            </w:r>
          </w:p>
        </w:tc>
        <w:tc>
          <w:tcPr>
            <w:tcW w:w="1526" w:type="dxa"/>
            <w:tcBorders>
              <w:top w:val="single" w:color="auto" w:sz="12" w:space="0"/>
              <w:left w:val="nil"/>
              <w:bottom w:val="nil"/>
              <w:right w:val="nil"/>
            </w:tcBorders>
            <w:tcMar>
              <w:top w:w="-1" w:type="dxa"/>
              <w:left w:w="-1" w:type="dxa"/>
              <w:bottom w:w="-1" w:type="dxa"/>
              <w:right w:w="-1" w:type="dxa"/>
            </w:tcMar>
            <w:vAlign w:val="center"/>
          </w:tcPr>
          <w:p w14:paraId="38127048">
            <w:pPr>
              <w:keepNext/>
              <w:snapToGrid w:val="0"/>
              <w:jc w:val="center"/>
              <w:rPr>
                <w:rFonts w:ascii="Times New Roman" w:hAnsi="Times New Roman" w:eastAsia="仿宋_GB2312"/>
                <w:b/>
                <w:sz w:val="24"/>
                <w:szCs w:val="21"/>
              </w:rPr>
            </w:pPr>
            <w:r>
              <w:rPr>
                <w:rFonts w:ascii="Times New Roman" w:hAnsi="Times New Roman" w:eastAsia="仿宋_GB2312"/>
                <w:b/>
                <w:sz w:val="24"/>
                <w:szCs w:val="21"/>
              </w:rPr>
              <w:t>知识产权</w:t>
            </w:r>
          </w:p>
          <w:p w14:paraId="38127049">
            <w:pPr>
              <w:keepNext/>
              <w:snapToGrid w:val="0"/>
              <w:jc w:val="center"/>
              <w:rPr>
                <w:rFonts w:ascii="Times New Roman" w:hAnsi="Times New Roman" w:eastAsia="仿宋_GB2312"/>
                <w:b/>
                <w:sz w:val="24"/>
                <w:szCs w:val="21"/>
              </w:rPr>
            </w:pPr>
            <w:r>
              <w:rPr>
                <w:rFonts w:ascii="Times New Roman" w:hAnsi="Times New Roman" w:eastAsia="仿宋_GB2312"/>
                <w:b/>
                <w:sz w:val="24"/>
                <w:szCs w:val="21"/>
              </w:rPr>
              <w:t>具体名称</w:t>
            </w:r>
          </w:p>
        </w:tc>
        <w:tc>
          <w:tcPr>
            <w:tcW w:w="1017" w:type="dxa"/>
            <w:tcBorders>
              <w:top w:val="single" w:color="auto" w:sz="12" w:space="0"/>
              <w:left w:val="nil"/>
              <w:bottom w:val="nil"/>
              <w:right w:val="nil"/>
            </w:tcBorders>
            <w:tcMar>
              <w:top w:w="-1" w:type="dxa"/>
              <w:left w:w="-1" w:type="dxa"/>
              <w:bottom w:w="-1" w:type="dxa"/>
              <w:right w:w="-1" w:type="dxa"/>
            </w:tcMar>
            <w:vAlign w:val="center"/>
          </w:tcPr>
          <w:p w14:paraId="3812704A">
            <w:pPr>
              <w:keepNext/>
              <w:snapToGrid w:val="0"/>
              <w:jc w:val="center"/>
              <w:rPr>
                <w:rFonts w:ascii="Times New Roman" w:hAnsi="Times New Roman" w:eastAsia="仿宋_GB2312"/>
                <w:b/>
                <w:sz w:val="24"/>
                <w:szCs w:val="21"/>
              </w:rPr>
            </w:pPr>
            <w:r>
              <w:rPr>
                <w:rFonts w:ascii="Times New Roman" w:hAnsi="Times New Roman" w:eastAsia="仿宋_GB2312"/>
                <w:b/>
                <w:sz w:val="24"/>
                <w:szCs w:val="21"/>
              </w:rPr>
              <w:t>国家</w:t>
            </w:r>
          </w:p>
        </w:tc>
        <w:tc>
          <w:tcPr>
            <w:tcW w:w="1403" w:type="dxa"/>
            <w:tcBorders>
              <w:top w:val="single" w:color="auto" w:sz="12" w:space="0"/>
              <w:left w:val="nil"/>
              <w:bottom w:val="nil"/>
              <w:right w:val="nil"/>
            </w:tcBorders>
            <w:tcMar>
              <w:top w:w="-1" w:type="dxa"/>
              <w:left w:w="-1" w:type="dxa"/>
              <w:bottom w:w="-1" w:type="dxa"/>
              <w:right w:w="-1" w:type="dxa"/>
            </w:tcMar>
            <w:vAlign w:val="center"/>
          </w:tcPr>
          <w:p w14:paraId="3812704B">
            <w:pPr>
              <w:keepNext/>
              <w:snapToGrid w:val="0"/>
              <w:jc w:val="center"/>
              <w:rPr>
                <w:rFonts w:ascii="Times New Roman" w:hAnsi="Times New Roman" w:eastAsia="仿宋_GB2312"/>
                <w:b/>
                <w:sz w:val="24"/>
                <w:szCs w:val="21"/>
              </w:rPr>
            </w:pPr>
            <w:r>
              <w:rPr>
                <w:rFonts w:hint="eastAsia" w:ascii="Times New Roman" w:hAnsi="Times New Roman" w:eastAsia="仿宋_GB2312"/>
                <w:b/>
                <w:sz w:val="24"/>
                <w:szCs w:val="21"/>
              </w:rPr>
              <w:t>专利</w:t>
            </w:r>
            <w:r>
              <w:rPr>
                <w:rFonts w:ascii="Times New Roman" w:hAnsi="Times New Roman" w:eastAsia="仿宋_GB2312"/>
                <w:b/>
                <w:sz w:val="24"/>
                <w:szCs w:val="21"/>
              </w:rPr>
              <w:t>号</w:t>
            </w:r>
          </w:p>
        </w:tc>
        <w:tc>
          <w:tcPr>
            <w:tcW w:w="1747" w:type="dxa"/>
            <w:tcBorders>
              <w:top w:val="single" w:color="auto" w:sz="12" w:space="0"/>
              <w:left w:val="nil"/>
              <w:bottom w:val="nil"/>
              <w:right w:val="nil"/>
            </w:tcBorders>
            <w:tcMar>
              <w:top w:w="-1" w:type="dxa"/>
              <w:left w:w="-1" w:type="dxa"/>
              <w:bottom w:w="-1" w:type="dxa"/>
              <w:right w:w="-1" w:type="dxa"/>
            </w:tcMar>
            <w:vAlign w:val="center"/>
          </w:tcPr>
          <w:p w14:paraId="3812704C">
            <w:pPr>
              <w:keepNext/>
              <w:snapToGrid w:val="0"/>
              <w:jc w:val="center"/>
              <w:rPr>
                <w:rFonts w:ascii="Times New Roman" w:hAnsi="Times New Roman" w:eastAsia="仿宋_GB2312"/>
                <w:b/>
                <w:sz w:val="24"/>
                <w:szCs w:val="21"/>
              </w:rPr>
            </w:pPr>
            <w:r>
              <w:rPr>
                <w:rFonts w:ascii="Times New Roman" w:hAnsi="Times New Roman" w:eastAsia="仿宋_GB2312"/>
                <w:b/>
                <w:sz w:val="24"/>
                <w:szCs w:val="21"/>
              </w:rPr>
              <w:t>授权日期</w:t>
            </w:r>
          </w:p>
        </w:tc>
        <w:tc>
          <w:tcPr>
            <w:tcW w:w="1134" w:type="dxa"/>
            <w:tcBorders>
              <w:top w:val="single" w:color="auto" w:sz="12" w:space="0"/>
              <w:left w:val="nil"/>
              <w:bottom w:val="nil"/>
              <w:right w:val="nil"/>
            </w:tcBorders>
            <w:tcMar>
              <w:top w:w="-1" w:type="dxa"/>
              <w:left w:w="-1" w:type="dxa"/>
              <w:bottom w:w="-1" w:type="dxa"/>
              <w:right w:w="-1" w:type="dxa"/>
            </w:tcMar>
            <w:vAlign w:val="center"/>
          </w:tcPr>
          <w:p w14:paraId="3812704D">
            <w:pPr>
              <w:keepNext/>
              <w:snapToGrid w:val="0"/>
              <w:jc w:val="center"/>
              <w:rPr>
                <w:rFonts w:ascii="Times New Roman" w:hAnsi="Times New Roman" w:eastAsia="仿宋_GB2312"/>
                <w:b/>
                <w:sz w:val="24"/>
                <w:szCs w:val="21"/>
              </w:rPr>
            </w:pPr>
            <w:r>
              <w:rPr>
                <w:rFonts w:ascii="Times New Roman" w:hAnsi="Times New Roman" w:eastAsia="仿宋_GB2312"/>
                <w:b/>
                <w:sz w:val="24"/>
                <w:szCs w:val="21"/>
              </w:rPr>
              <w:t>权利人</w:t>
            </w:r>
          </w:p>
        </w:tc>
        <w:tc>
          <w:tcPr>
            <w:tcW w:w="1692" w:type="dxa"/>
            <w:tcBorders>
              <w:top w:val="single" w:color="auto" w:sz="12" w:space="0"/>
              <w:left w:val="nil"/>
              <w:bottom w:val="nil"/>
              <w:right w:val="nil"/>
            </w:tcBorders>
            <w:tcMar>
              <w:top w:w="-1" w:type="dxa"/>
              <w:left w:w="-1" w:type="dxa"/>
              <w:bottom w:w="-1" w:type="dxa"/>
              <w:right w:w="-1" w:type="dxa"/>
            </w:tcMar>
            <w:vAlign w:val="center"/>
          </w:tcPr>
          <w:p w14:paraId="3812704E">
            <w:pPr>
              <w:keepNext/>
              <w:snapToGrid w:val="0"/>
              <w:jc w:val="center"/>
              <w:rPr>
                <w:rFonts w:ascii="Times New Roman" w:hAnsi="Times New Roman" w:eastAsia="仿宋_GB2312"/>
                <w:b/>
                <w:sz w:val="24"/>
                <w:szCs w:val="21"/>
              </w:rPr>
            </w:pPr>
            <w:r>
              <w:rPr>
                <w:rFonts w:ascii="Times New Roman" w:hAnsi="Times New Roman" w:eastAsia="仿宋_GB2312"/>
                <w:b/>
                <w:sz w:val="24"/>
                <w:szCs w:val="21"/>
              </w:rPr>
              <w:t>发明人</w:t>
            </w:r>
          </w:p>
        </w:tc>
      </w:tr>
      <w:tr w14:paraId="3812705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537" w:type="dxa"/>
            <w:tcBorders>
              <w:top w:val="single" w:color="auto" w:sz="4" w:space="0"/>
              <w:left w:val="nil"/>
              <w:bottom w:val="nil"/>
              <w:right w:val="nil"/>
            </w:tcBorders>
            <w:tcMar>
              <w:top w:w="-1" w:type="dxa"/>
              <w:left w:w="-1" w:type="dxa"/>
              <w:bottom w:w="-1" w:type="dxa"/>
              <w:right w:w="-1" w:type="dxa"/>
            </w:tcMar>
            <w:vAlign w:val="center"/>
          </w:tcPr>
          <w:p w14:paraId="38127050">
            <w:pPr>
              <w:keepNext/>
              <w:snapToGrid w:val="0"/>
              <w:jc w:val="center"/>
              <w:rPr>
                <w:rFonts w:ascii="Times New Roman" w:hAnsi="Times New Roman" w:eastAsia="仿宋_GB2312"/>
                <w:sz w:val="24"/>
                <w:szCs w:val="21"/>
              </w:rPr>
            </w:pPr>
            <w:bookmarkStart w:id="1" w:name="OLE_LINK13"/>
            <w:r>
              <w:rPr>
                <w:rFonts w:ascii="Times New Roman" w:hAnsi="Times New Roman" w:eastAsia="仿宋_GB2312"/>
                <w:sz w:val="24"/>
                <w:szCs w:val="21"/>
              </w:rPr>
              <w:t>发明专利</w:t>
            </w:r>
            <w:bookmarkEnd w:id="1"/>
          </w:p>
        </w:tc>
        <w:tc>
          <w:tcPr>
            <w:tcW w:w="1526" w:type="dxa"/>
            <w:tcBorders>
              <w:top w:val="single" w:color="auto" w:sz="4" w:space="0"/>
              <w:left w:val="nil"/>
              <w:bottom w:val="nil"/>
              <w:right w:val="nil"/>
            </w:tcBorders>
            <w:tcMar>
              <w:top w:w="-1" w:type="dxa"/>
              <w:left w:w="-1" w:type="dxa"/>
              <w:bottom w:w="-1" w:type="dxa"/>
              <w:right w:w="-1" w:type="dxa"/>
            </w:tcMar>
            <w:vAlign w:val="center"/>
          </w:tcPr>
          <w:p w14:paraId="38127051">
            <w:pPr>
              <w:keepNext/>
              <w:snapToGrid w:val="0"/>
              <w:jc w:val="center"/>
              <w:rPr>
                <w:rFonts w:ascii="Times New Roman" w:hAnsi="Times New Roman" w:eastAsia="仿宋_GB2312"/>
                <w:sz w:val="24"/>
                <w:szCs w:val="21"/>
              </w:rPr>
            </w:pPr>
            <w:r>
              <w:rPr>
                <w:rFonts w:ascii="Times New Roman" w:hAnsi="Times New Roman" w:eastAsia="仿宋_GB2312"/>
                <w:sz w:val="24"/>
                <w:szCs w:val="21"/>
              </w:rPr>
              <w:t>一种飞灰中重金属及二噁英的低温处理系统和方法</w:t>
            </w:r>
          </w:p>
        </w:tc>
        <w:tc>
          <w:tcPr>
            <w:tcW w:w="1017" w:type="dxa"/>
            <w:tcBorders>
              <w:top w:val="single" w:color="auto" w:sz="4" w:space="0"/>
              <w:left w:val="nil"/>
              <w:bottom w:val="nil"/>
              <w:right w:val="nil"/>
            </w:tcBorders>
            <w:tcMar>
              <w:top w:w="-1" w:type="dxa"/>
              <w:left w:w="-1" w:type="dxa"/>
              <w:bottom w:w="-1" w:type="dxa"/>
              <w:right w:w="-1" w:type="dxa"/>
            </w:tcMar>
            <w:vAlign w:val="center"/>
          </w:tcPr>
          <w:p w14:paraId="38127052">
            <w:pPr>
              <w:keepNext/>
              <w:snapToGrid w:val="0"/>
              <w:jc w:val="center"/>
              <w:rPr>
                <w:rFonts w:ascii="Times New Roman" w:hAnsi="Times New Roman" w:eastAsia="仿宋_GB2312"/>
                <w:sz w:val="24"/>
                <w:szCs w:val="21"/>
              </w:rPr>
            </w:pPr>
            <w:bookmarkStart w:id="2" w:name="OLE_LINK14"/>
            <w:r>
              <w:rPr>
                <w:rFonts w:ascii="Times New Roman" w:hAnsi="Times New Roman" w:eastAsia="仿宋_GB2312"/>
                <w:sz w:val="24"/>
                <w:szCs w:val="21"/>
              </w:rPr>
              <w:t>中国</w:t>
            </w:r>
            <w:bookmarkEnd w:id="2"/>
          </w:p>
        </w:tc>
        <w:tc>
          <w:tcPr>
            <w:tcW w:w="1403" w:type="dxa"/>
            <w:tcBorders>
              <w:top w:val="single" w:color="auto" w:sz="4" w:space="0"/>
              <w:left w:val="nil"/>
              <w:bottom w:val="nil"/>
              <w:right w:val="nil"/>
            </w:tcBorders>
            <w:tcMar>
              <w:top w:w="-1" w:type="dxa"/>
              <w:left w:w="-1" w:type="dxa"/>
              <w:bottom w:w="-1" w:type="dxa"/>
              <w:right w:w="-1" w:type="dxa"/>
            </w:tcMar>
            <w:vAlign w:val="center"/>
          </w:tcPr>
          <w:p w14:paraId="38127053">
            <w:pPr>
              <w:keepNext/>
              <w:snapToGrid w:val="0"/>
              <w:jc w:val="center"/>
              <w:rPr>
                <w:rFonts w:ascii="Times New Roman" w:hAnsi="Times New Roman" w:eastAsia="仿宋_GB2312"/>
                <w:sz w:val="24"/>
                <w:szCs w:val="21"/>
              </w:rPr>
            </w:pPr>
            <w:r>
              <w:rPr>
                <w:rFonts w:ascii="Times New Roman" w:hAnsi="Times New Roman" w:eastAsia="仿宋_GB2312"/>
                <w:sz w:val="24"/>
                <w:szCs w:val="21"/>
              </w:rPr>
              <w:t>ZL202210667099.5</w:t>
            </w:r>
          </w:p>
        </w:tc>
        <w:tc>
          <w:tcPr>
            <w:tcW w:w="1747" w:type="dxa"/>
            <w:tcBorders>
              <w:top w:val="single" w:color="auto" w:sz="4" w:space="0"/>
              <w:left w:val="nil"/>
              <w:bottom w:val="nil"/>
              <w:right w:val="nil"/>
            </w:tcBorders>
            <w:tcMar>
              <w:top w:w="-1" w:type="dxa"/>
              <w:left w:w="-1" w:type="dxa"/>
              <w:bottom w:w="-1" w:type="dxa"/>
              <w:right w:w="-1" w:type="dxa"/>
            </w:tcMar>
            <w:vAlign w:val="center"/>
          </w:tcPr>
          <w:p w14:paraId="38127054">
            <w:pPr>
              <w:keepNext/>
              <w:snapToGrid w:val="0"/>
              <w:jc w:val="center"/>
              <w:rPr>
                <w:rFonts w:ascii="Times New Roman" w:hAnsi="Times New Roman" w:eastAsia="仿宋_GB2312"/>
                <w:sz w:val="24"/>
                <w:szCs w:val="21"/>
              </w:rPr>
            </w:pPr>
            <w:r>
              <w:rPr>
                <w:rFonts w:ascii="Times New Roman" w:hAnsi="Times New Roman" w:eastAsia="仿宋_GB2312"/>
                <w:sz w:val="24"/>
                <w:szCs w:val="21"/>
              </w:rPr>
              <w:t>2023年03月24日</w:t>
            </w:r>
          </w:p>
        </w:tc>
        <w:tc>
          <w:tcPr>
            <w:tcW w:w="1134" w:type="dxa"/>
            <w:tcBorders>
              <w:top w:val="single" w:color="auto" w:sz="4" w:space="0"/>
              <w:left w:val="nil"/>
              <w:bottom w:val="nil"/>
              <w:right w:val="nil"/>
            </w:tcBorders>
            <w:tcMar>
              <w:top w:w="-1" w:type="dxa"/>
              <w:left w:w="-1" w:type="dxa"/>
              <w:bottom w:w="-1" w:type="dxa"/>
              <w:right w:w="-1" w:type="dxa"/>
            </w:tcMar>
            <w:vAlign w:val="center"/>
          </w:tcPr>
          <w:p w14:paraId="38127055">
            <w:pPr>
              <w:keepNext/>
              <w:snapToGrid w:val="0"/>
              <w:jc w:val="center"/>
              <w:rPr>
                <w:rFonts w:ascii="Times New Roman" w:hAnsi="Times New Roman" w:eastAsia="仿宋_GB2312"/>
                <w:sz w:val="24"/>
                <w:szCs w:val="21"/>
              </w:rPr>
            </w:pPr>
            <w:r>
              <w:rPr>
                <w:rFonts w:ascii="Times New Roman" w:hAnsi="Times New Roman" w:eastAsia="仿宋_GB2312"/>
                <w:sz w:val="24"/>
                <w:szCs w:val="21"/>
              </w:rPr>
              <w:t>浙江大学</w:t>
            </w:r>
          </w:p>
        </w:tc>
        <w:tc>
          <w:tcPr>
            <w:tcW w:w="1692" w:type="dxa"/>
            <w:tcBorders>
              <w:top w:val="single" w:color="auto" w:sz="4" w:space="0"/>
              <w:left w:val="nil"/>
              <w:bottom w:val="nil"/>
              <w:right w:val="nil"/>
            </w:tcBorders>
            <w:tcMar>
              <w:top w:w="-1" w:type="dxa"/>
              <w:left w:w="-1" w:type="dxa"/>
              <w:bottom w:w="-1" w:type="dxa"/>
              <w:right w:w="-1" w:type="dxa"/>
            </w:tcMar>
            <w:vAlign w:val="center"/>
          </w:tcPr>
          <w:p w14:paraId="38127056">
            <w:pPr>
              <w:keepNext/>
              <w:snapToGrid w:val="0"/>
              <w:jc w:val="left"/>
              <w:rPr>
                <w:rFonts w:ascii="Times New Roman" w:hAnsi="Times New Roman" w:eastAsia="仿宋_GB2312"/>
                <w:sz w:val="24"/>
                <w:szCs w:val="21"/>
              </w:rPr>
            </w:pPr>
            <w:bookmarkStart w:id="3" w:name="OLE_LINK24"/>
            <w:r>
              <w:rPr>
                <w:rFonts w:ascii="Times New Roman" w:hAnsi="Times New Roman" w:eastAsia="仿宋_GB2312"/>
                <w:sz w:val="24"/>
                <w:szCs w:val="21"/>
              </w:rPr>
              <w:t>彭亚旗</w:t>
            </w:r>
            <w:bookmarkStart w:id="4" w:name="OLE_LINK15"/>
            <w:r>
              <w:rPr>
                <w:rFonts w:ascii="Times New Roman" w:hAnsi="Times New Roman" w:eastAsia="仿宋_GB2312"/>
                <w:sz w:val="24"/>
                <w:szCs w:val="21"/>
              </w:rPr>
              <w:t>、</w:t>
            </w:r>
            <w:bookmarkEnd w:id="4"/>
            <w:r>
              <w:rPr>
                <w:rFonts w:ascii="Times New Roman" w:hAnsi="Times New Roman" w:eastAsia="仿宋_GB2312"/>
                <w:sz w:val="24"/>
                <w:szCs w:val="21"/>
              </w:rPr>
              <w:t>陆胜勇、张成博、王帅、金立正、丁佳敏、</w:t>
            </w:r>
            <w:bookmarkStart w:id="5" w:name="OLE_LINK17"/>
            <w:r>
              <w:rPr>
                <w:rFonts w:ascii="Times New Roman" w:hAnsi="Times New Roman" w:eastAsia="仿宋_GB2312"/>
                <w:sz w:val="24"/>
                <w:szCs w:val="21"/>
              </w:rPr>
              <w:t>李晓东、严建华</w:t>
            </w:r>
            <w:bookmarkEnd w:id="3"/>
            <w:bookmarkEnd w:id="5"/>
          </w:p>
        </w:tc>
      </w:tr>
      <w:tr w14:paraId="3812705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537" w:type="dxa"/>
            <w:tcBorders>
              <w:top w:val="nil"/>
              <w:left w:val="nil"/>
              <w:bottom w:val="nil"/>
              <w:right w:val="nil"/>
            </w:tcBorders>
            <w:tcMar>
              <w:top w:w="-1" w:type="dxa"/>
              <w:left w:w="-1" w:type="dxa"/>
              <w:bottom w:w="-1" w:type="dxa"/>
              <w:right w:w="-1" w:type="dxa"/>
            </w:tcMar>
            <w:vAlign w:val="center"/>
          </w:tcPr>
          <w:p w14:paraId="38127058">
            <w:pPr>
              <w:keepNext/>
              <w:snapToGrid w:val="0"/>
              <w:jc w:val="center"/>
              <w:rPr>
                <w:rFonts w:ascii="Times New Roman" w:hAnsi="Times New Roman" w:eastAsia="仿宋_GB2312"/>
                <w:sz w:val="24"/>
                <w:szCs w:val="21"/>
              </w:rPr>
            </w:pPr>
            <w:bookmarkStart w:id="6" w:name="_Hlk229493163"/>
            <w:r>
              <w:rPr>
                <w:rFonts w:ascii="Times New Roman" w:hAnsi="Times New Roman" w:eastAsia="仿宋_GB2312"/>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38127059">
            <w:pPr>
              <w:keepNext/>
              <w:snapToGrid w:val="0"/>
              <w:jc w:val="center"/>
              <w:rPr>
                <w:rFonts w:ascii="Times New Roman" w:hAnsi="Times New Roman" w:eastAsia="仿宋_GB2312"/>
                <w:sz w:val="24"/>
                <w:szCs w:val="21"/>
              </w:rPr>
            </w:pPr>
            <w:r>
              <w:rPr>
                <w:rFonts w:ascii="Times New Roman" w:hAnsi="Times New Roman" w:eastAsia="仿宋_GB2312"/>
                <w:sz w:val="24"/>
                <w:szCs w:val="21"/>
              </w:rPr>
              <w:t>一种垃圾焚烧飞灰中二噁英的低温降解装置和方法</w:t>
            </w:r>
          </w:p>
        </w:tc>
        <w:tc>
          <w:tcPr>
            <w:tcW w:w="1017" w:type="dxa"/>
            <w:tcBorders>
              <w:top w:val="nil"/>
              <w:left w:val="nil"/>
              <w:bottom w:val="nil"/>
              <w:right w:val="nil"/>
            </w:tcBorders>
            <w:tcMar>
              <w:top w:w="-1" w:type="dxa"/>
              <w:left w:w="-1" w:type="dxa"/>
              <w:bottom w:w="-1" w:type="dxa"/>
              <w:right w:w="-1" w:type="dxa"/>
            </w:tcMar>
            <w:vAlign w:val="center"/>
          </w:tcPr>
          <w:p w14:paraId="3812705A">
            <w:pPr>
              <w:keepNext/>
              <w:snapToGrid w:val="0"/>
              <w:jc w:val="center"/>
              <w:rPr>
                <w:rFonts w:ascii="Times New Roman" w:hAnsi="Times New Roman" w:eastAsia="仿宋_GB2312"/>
                <w:sz w:val="24"/>
                <w:szCs w:val="21"/>
              </w:rPr>
            </w:pPr>
            <w:bookmarkStart w:id="7" w:name="OLE_LINK16"/>
            <w:r>
              <w:rPr>
                <w:rFonts w:ascii="Times New Roman" w:hAnsi="Times New Roman" w:eastAsia="仿宋_GB2312"/>
                <w:sz w:val="24"/>
                <w:szCs w:val="21"/>
              </w:rPr>
              <w:t>中国</w:t>
            </w:r>
            <w:bookmarkEnd w:id="7"/>
          </w:p>
        </w:tc>
        <w:tc>
          <w:tcPr>
            <w:tcW w:w="1403" w:type="dxa"/>
            <w:tcBorders>
              <w:top w:val="nil"/>
              <w:left w:val="nil"/>
              <w:bottom w:val="nil"/>
              <w:right w:val="nil"/>
            </w:tcBorders>
            <w:tcMar>
              <w:top w:w="-1" w:type="dxa"/>
              <w:left w:w="-1" w:type="dxa"/>
              <w:bottom w:w="-1" w:type="dxa"/>
              <w:right w:w="-1" w:type="dxa"/>
            </w:tcMar>
            <w:vAlign w:val="center"/>
          </w:tcPr>
          <w:p w14:paraId="3812705B">
            <w:pPr>
              <w:keepNext/>
              <w:snapToGrid w:val="0"/>
              <w:jc w:val="center"/>
              <w:rPr>
                <w:rFonts w:ascii="Times New Roman" w:hAnsi="Times New Roman" w:eastAsia="仿宋_GB2312"/>
                <w:sz w:val="24"/>
                <w:szCs w:val="21"/>
              </w:rPr>
            </w:pPr>
            <w:r>
              <w:rPr>
                <w:rFonts w:ascii="Times New Roman" w:hAnsi="Times New Roman" w:eastAsia="仿宋_GB2312"/>
                <w:sz w:val="24"/>
                <w:szCs w:val="21"/>
              </w:rPr>
              <w:t>ZL202111138209.0</w:t>
            </w:r>
          </w:p>
        </w:tc>
        <w:tc>
          <w:tcPr>
            <w:tcW w:w="1747" w:type="dxa"/>
            <w:tcBorders>
              <w:top w:val="nil"/>
              <w:left w:val="nil"/>
              <w:bottom w:val="nil"/>
              <w:right w:val="nil"/>
            </w:tcBorders>
            <w:tcMar>
              <w:top w:w="-1" w:type="dxa"/>
              <w:left w:w="-1" w:type="dxa"/>
              <w:bottom w:w="-1" w:type="dxa"/>
              <w:right w:w="-1" w:type="dxa"/>
            </w:tcMar>
            <w:vAlign w:val="center"/>
          </w:tcPr>
          <w:p w14:paraId="3812705C">
            <w:pPr>
              <w:keepNext/>
              <w:snapToGrid w:val="0"/>
              <w:jc w:val="center"/>
              <w:rPr>
                <w:rFonts w:ascii="Times New Roman" w:hAnsi="Times New Roman" w:eastAsia="仿宋_GB2312"/>
                <w:sz w:val="24"/>
                <w:szCs w:val="21"/>
              </w:rPr>
            </w:pPr>
            <w:r>
              <w:rPr>
                <w:rFonts w:ascii="Times New Roman" w:hAnsi="Times New Roman" w:eastAsia="仿宋_GB2312"/>
                <w:sz w:val="24"/>
                <w:szCs w:val="21"/>
              </w:rPr>
              <w:t>2023年09月29日</w:t>
            </w:r>
          </w:p>
        </w:tc>
        <w:tc>
          <w:tcPr>
            <w:tcW w:w="1134" w:type="dxa"/>
            <w:tcBorders>
              <w:top w:val="nil"/>
              <w:left w:val="nil"/>
              <w:bottom w:val="nil"/>
              <w:right w:val="nil"/>
            </w:tcBorders>
            <w:tcMar>
              <w:top w:w="-1" w:type="dxa"/>
              <w:left w:w="-1" w:type="dxa"/>
              <w:bottom w:w="-1" w:type="dxa"/>
              <w:right w:w="-1" w:type="dxa"/>
            </w:tcMar>
            <w:vAlign w:val="center"/>
          </w:tcPr>
          <w:p w14:paraId="3812705D">
            <w:pPr>
              <w:keepNext/>
              <w:snapToGrid w:val="0"/>
              <w:jc w:val="center"/>
              <w:rPr>
                <w:rFonts w:ascii="Times New Roman" w:hAnsi="Times New Roman" w:eastAsia="仿宋_GB2312"/>
                <w:sz w:val="24"/>
                <w:szCs w:val="21"/>
              </w:rPr>
            </w:pPr>
            <w:r>
              <w:rPr>
                <w:rFonts w:ascii="Times New Roman" w:hAnsi="Times New Roman" w:eastAsia="仿宋_GB2312"/>
                <w:sz w:val="24"/>
                <w:szCs w:val="21"/>
              </w:rPr>
              <w:t>浙江京兰低碳技术有限公司</w:t>
            </w:r>
          </w:p>
        </w:tc>
        <w:tc>
          <w:tcPr>
            <w:tcW w:w="1692" w:type="dxa"/>
            <w:tcBorders>
              <w:top w:val="nil"/>
              <w:left w:val="nil"/>
              <w:bottom w:val="nil"/>
              <w:right w:val="nil"/>
            </w:tcBorders>
            <w:tcMar>
              <w:top w:w="-1" w:type="dxa"/>
              <w:left w:w="-1" w:type="dxa"/>
              <w:bottom w:w="-1" w:type="dxa"/>
              <w:right w:w="-1" w:type="dxa"/>
            </w:tcMar>
            <w:vAlign w:val="center"/>
          </w:tcPr>
          <w:p w14:paraId="3812705E">
            <w:pPr>
              <w:keepNext/>
              <w:snapToGrid w:val="0"/>
              <w:jc w:val="left"/>
              <w:rPr>
                <w:rFonts w:ascii="Times New Roman" w:hAnsi="Times New Roman" w:eastAsia="仿宋_GB2312"/>
                <w:sz w:val="24"/>
                <w:szCs w:val="21"/>
              </w:rPr>
            </w:pPr>
            <w:r>
              <w:rPr>
                <w:rFonts w:ascii="Times New Roman" w:hAnsi="Times New Roman" w:eastAsia="仿宋_GB2312"/>
                <w:sz w:val="24"/>
                <w:szCs w:val="21"/>
              </w:rPr>
              <w:t>赵星磊、陆胜勇、彭亚旗、张成博、李晓东、丁佳敏、李斌、陆懿铭</w:t>
            </w:r>
          </w:p>
        </w:tc>
      </w:tr>
      <w:bookmarkEnd w:id="6"/>
      <w:tr w14:paraId="3812706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537" w:type="dxa"/>
            <w:tcBorders>
              <w:top w:val="nil"/>
              <w:left w:val="nil"/>
              <w:bottom w:val="nil"/>
              <w:right w:val="nil"/>
            </w:tcBorders>
            <w:tcMar>
              <w:top w:w="-1" w:type="dxa"/>
              <w:left w:w="-1" w:type="dxa"/>
              <w:bottom w:w="-1" w:type="dxa"/>
              <w:right w:w="-1" w:type="dxa"/>
            </w:tcMar>
            <w:vAlign w:val="center"/>
          </w:tcPr>
          <w:p w14:paraId="38127060">
            <w:pPr>
              <w:keepNext/>
              <w:snapToGrid w:val="0"/>
              <w:jc w:val="center"/>
              <w:rPr>
                <w:rFonts w:ascii="Times New Roman" w:hAnsi="Times New Roman" w:eastAsia="仿宋_GB2312"/>
                <w:sz w:val="24"/>
                <w:szCs w:val="21"/>
              </w:rPr>
            </w:pPr>
            <w:r>
              <w:rPr>
                <w:rFonts w:ascii="Times New Roman" w:hAnsi="Times New Roman" w:eastAsia="仿宋_GB2312"/>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38127061">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一种垃圾焚烧烟气净化联合飞灰脱盐的系统和方法</w:t>
            </w:r>
          </w:p>
        </w:tc>
        <w:tc>
          <w:tcPr>
            <w:tcW w:w="1017" w:type="dxa"/>
            <w:tcBorders>
              <w:top w:val="nil"/>
              <w:left w:val="nil"/>
              <w:bottom w:val="nil"/>
              <w:right w:val="nil"/>
            </w:tcBorders>
            <w:tcMar>
              <w:top w:w="-1" w:type="dxa"/>
              <w:left w:w="-1" w:type="dxa"/>
              <w:bottom w:w="-1" w:type="dxa"/>
              <w:right w:w="-1" w:type="dxa"/>
            </w:tcMar>
            <w:vAlign w:val="center"/>
          </w:tcPr>
          <w:p w14:paraId="38127062">
            <w:pPr>
              <w:keepNext/>
              <w:snapToGrid w:val="0"/>
              <w:jc w:val="center"/>
              <w:rPr>
                <w:rFonts w:ascii="Times New Roman" w:hAnsi="Times New Roman" w:eastAsia="仿宋_GB2312"/>
                <w:sz w:val="24"/>
                <w:szCs w:val="21"/>
              </w:rPr>
            </w:pPr>
            <w:r>
              <w:rPr>
                <w:rFonts w:ascii="Times New Roman" w:hAnsi="Times New Roman" w:eastAsia="仿宋_GB2312"/>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38127063">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ZL202110839075.9</w:t>
            </w:r>
          </w:p>
        </w:tc>
        <w:tc>
          <w:tcPr>
            <w:tcW w:w="1747" w:type="dxa"/>
            <w:tcBorders>
              <w:top w:val="nil"/>
              <w:left w:val="nil"/>
              <w:bottom w:val="nil"/>
              <w:right w:val="nil"/>
            </w:tcBorders>
            <w:tcMar>
              <w:top w:w="-1" w:type="dxa"/>
              <w:left w:w="-1" w:type="dxa"/>
              <w:bottom w:w="-1" w:type="dxa"/>
              <w:right w:w="-1" w:type="dxa"/>
            </w:tcMar>
            <w:vAlign w:val="center"/>
          </w:tcPr>
          <w:p w14:paraId="38127064">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2022年08月19日</w:t>
            </w:r>
          </w:p>
        </w:tc>
        <w:tc>
          <w:tcPr>
            <w:tcW w:w="1134" w:type="dxa"/>
            <w:tcBorders>
              <w:top w:val="nil"/>
              <w:left w:val="nil"/>
              <w:bottom w:val="nil"/>
              <w:right w:val="nil"/>
            </w:tcBorders>
            <w:tcMar>
              <w:top w:w="-1" w:type="dxa"/>
              <w:left w:w="-1" w:type="dxa"/>
              <w:bottom w:w="-1" w:type="dxa"/>
              <w:right w:w="-1" w:type="dxa"/>
            </w:tcMar>
            <w:vAlign w:val="center"/>
          </w:tcPr>
          <w:p w14:paraId="38127065">
            <w:pPr>
              <w:keepNext/>
              <w:snapToGrid w:val="0"/>
              <w:jc w:val="center"/>
              <w:rPr>
                <w:rFonts w:ascii="Times New Roman" w:hAnsi="Times New Roman" w:eastAsia="仿宋_GB2312"/>
                <w:sz w:val="24"/>
                <w:szCs w:val="21"/>
              </w:rPr>
            </w:pPr>
            <w:bookmarkStart w:id="8" w:name="OLE_LINK19"/>
            <w:r>
              <w:rPr>
                <w:rFonts w:ascii="Times New Roman" w:hAnsi="Times New Roman" w:eastAsia="仿宋_GB2312"/>
                <w:sz w:val="24"/>
                <w:szCs w:val="21"/>
              </w:rPr>
              <w:t>浙江大学</w:t>
            </w:r>
            <w:bookmarkEnd w:id="8"/>
          </w:p>
        </w:tc>
        <w:tc>
          <w:tcPr>
            <w:tcW w:w="1692" w:type="dxa"/>
            <w:tcBorders>
              <w:top w:val="nil"/>
              <w:left w:val="nil"/>
              <w:bottom w:val="nil"/>
              <w:right w:val="nil"/>
            </w:tcBorders>
            <w:tcMar>
              <w:top w:w="-1" w:type="dxa"/>
              <w:left w:w="-1" w:type="dxa"/>
              <w:bottom w:w="-1" w:type="dxa"/>
              <w:right w:w="-1" w:type="dxa"/>
            </w:tcMar>
            <w:vAlign w:val="center"/>
          </w:tcPr>
          <w:p w14:paraId="38127066">
            <w:pPr>
              <w:keepNext/>
              <w:snapToGrid w:val="0"/>
              <w:jc w:val="left"/>
              <w:rPr>
                <w:rFonts w:ascii="Times New Roman" w:hAnsi="Times New Roman" w:eastAsia="仿宋_GB2312"/>
                <w:sz w:val="24"/>
                <w:szCs w:val="21"/>
              </w:rPr>
            </w:pPr>
            <w:bookmarkStart w:id="9" w:name="OLE_LINK27"/>
            <w:r>
              <w:rPr>
                <w:rFonts w:hint="eastAsia" w:ascii="Times New Roman" w:hAnsi="Times New Roman" w:eastAsia="仿宋_GB2312"/>
                <w:sz w:val="24"/>
                <w:szCs w:val="21"/>
              </w:rPr>
              <w:t>汤明慧</w:t>
            </w:r>
            <w:bookmarkStart w:id="10" w:name="OLE_LINK20"/>
            <w:r>
              <w:rPr>
                <w:rFonts w:ascii="Times New Roman" w:hAnsi="Times New Roman" w:eastAsia="仿宋_GB2312"/>
                <w:sz w:val="24"/>
                <w:szCs w:val="21"/>
              </w:rPr>
              <w:t>、</w:t>
            </w:r>
            <w:bookmarkEnd w:id="10"/>
            <w:r>
              <w:rPr>
                <w:rFonts w:ascii="Times New Roman" w:hAnsi="Times New Roman" w:eastAsia="仿宋_GB2312"/>
                <w:sz w:val="24"/>
                <w:szCs w:val="21"/>
              </w:rPr>
              <w:t>陆胜勇、张成博</w:t>
            </w:r>
            <w:bookmarkStart w:id="11" w:name="OLE_LINK18"/>
            <w:r>
              <w:rPr>
                <w:rFonts w:ascii="Times New Roman" w:hAnsi="Times New Roman" w:eastAsia="仿宋_GB2312"/>
                <w:sz w:val="24"/>
                <w:szCs w:val="21"/>
              </w:rPr>
              <w:t>、</w:t>
            </w:r>
            <w:bookmarkEnd w:id="11"/>
            <w:r>
              <w:rPr>
                <w:rFonts w:ascii="Times New Roman" w:hAnsi="Times New Roman" w:eastAsia="仿宋_GB2312"/>
                <w:sz w:val="24"/>
                <w:szCs w:val="21"/>
              </w:rPr>
              <w:t>彭亚旗、李晓东、严建华</w:t>
            </w:r>
            <w:bookmarkEnd w:id="9"/>
          </w:p>
        </w:tc>
      </w:tr>
      <w:tr w14:paraId="3812706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537" w:type="dxa"/>
            <w:tcBorders>
              <w:top w:val="nil"/>
              <w:left w:val="nil"/>
              <w:bottom w:val="nil"/>
              <w:right w:val="nil"/>
            </w:tcBorders>
            <w:tcMar>
              <w:top w:w="-1" w:type="dxa"/>
              <w:left w:w="-1" w:type="dxa"/>
              <w:bottom w:w="-1" w:type="dxa"/>
              <w:right w:w="-1" w:type="dxa"/>
            </w:tcMar>
            <w:vAlign w:val="center"/>
          </w:tcPr>
          <w:p w14:paraId="38127068">
            <w:pPr>
              <w:keepNext/>
              <w:snapToGrid w:val="0"/>
              <w:jc w:val="center"/>
              <w:rPr>
                <w:rFonts w:ascii="Times New Roman" w:hAnsi="Times New Roman" w:eastAsia="仿宋_GB2312"/>
                <w:sz w:val="24"/>
                <w:szCs w:val="21"/>
              </w:rPr>
            </w:pPr>
            <w:r>
              <w:rPr>
                <w:rFonts w:ascii="Times New Roman" w:hAnsi="Times New Roman" w:eastAsia="仿宋_GB2312"/>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38127069">
            <w:pPr>
              <w:keepNext/>
              <w:snapToGrid w:val="0"/>
              <w:jc w:val="center"/>
              <w:rPr>
                <w:rFonts w:ascii="Times New Roman" w:hAnsi="Times New Roman" w:eastAsia="仿宋_GB2312"/>
                <w:sz w:val="24"/>
                <w:szCs w:val="21"/>
              </w:rPr>
            </w:pPr>
            <w:r>
              <w:rPr>
                <w:rFonts w:ascii="Times New Roman" w:hAnsi="Times New Roman" w:eastAsia="仿宋_GB2312"/>
                <w:sz w:val="24"/>
                <w:szCs w:val="21"/>
              </w:rPr>
              <w:t>一种垃圾焚烧飞灰解毒处理工艺</w:t>
            </w:r>
          </w:p>
        </w:tc>
        <w:tc>
          <w:tcPr>
            <w:tcW w:w="1017" w:type="dxa"/>
            <w:tcBorders>
              <w:top w:val="nil"/>
              <w:left w:val="nil"/>
              <w:bottom w:val="nil"/>
              <w:right w:val="nil"/>
            </w:tcBorders>
            <w:tcMar>
              <w:top w:w="-1" w:type="dxa"/>
              <w:left w:w="-1" w:type="dxa"/>
              <w:bottom w:w="-1" w:type="dxa"/>
              <w:right w:w="-1" w:type="dxa"/>
            </w:tcMar>
            <w:vAlign w:val="center"/>
          </w:tcPr>
          <w:p w14:paraId="3812706A">
            <w:pPr>
              <w:keepNext/>
              <w:snapToGrid w:val="0"/>
              <w:jc w:val="center"/>
              <w:rPr>
                <w:rFonts w:ascii="Times New Roman" w:hAnsi="Times New Roman" w:eastAsia="仿宋_GB2312"/>
                <w:sz w:val="24"/>
                <w:szCs w:val="21"/>
              </w:rPr>
            </w:pPr>
            <w:r>
              <w:rPr>
                <w:rFonts w:ascii="Times New Roman" w:hAnsi="Times New Roman" w:eastAsia="仿宋_GB2312"/>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3812706B">
            <w:pPr>
              <w:keepNext/>
              <w:snapToGrid w:val="0"/>
              <w:jc w:val="center"/>
              <w:rPr>
                <w:rFonts w:ascii="Times New Roman" w:hAnsi="Times New Roman" w:eastAsia="仿宋_GB2312"/>
                <w:sz w:val="24"/>
                <w:szCs w:val="21"/>
              </w:rPr>
            </w:pPr>
            <w:r>
              <w:rPr>
                <w:rFonts w:ascii="Times New Roman" w:hAnsi="Times New Roman" w:eastAsia="仿宋_GB2312"/>
                <w:sz w:val="24"/>
                <w:szCs w:val="21"/>
              </w:rPr>
              <w:t>ZL202410589432.4</w:t>
            </w:r>
          </w:p>
        </w:tc>
        <w:tc>
          <w:tcPr>
            <w:tcW w:w="1747" w:type="dxa"/>
            <w:tcBorders>
              <w:top w:val="nil"/>
              <w:left w:val="nil"/>
              <w:bottom w:val="nil"/>
              <w:right w:val="nil"/>
            </w:tcBorders>
            <w:tcMar>
              <w:top w:w="-1" w:type="dxa"/>
              <w:left w:w="-1" w:type="dxa"/>
              <w:bottom w:w="-1" w:type="dxa"/>
              <w:right w:w="-1" w:type="dxa"/>
            </w:tcMar>
            <w:vAlign w:val="center"/>
          </w:tcPr>
          <w:p w14:paraId="3812706C">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2024年11月01日</w:t>
            </w:r>
          </w:p>
        </w:tc>
        <w:tc>
          <w:tcPr>
            <w:tcW w:w="1134" w:type="dxa"/>
            <w:tcBorders>
              <w:top w:val="nil"/>
              <w:left w:val="nil"/>
              <w:bottom w:val="nil"/>
              <w:right w:val="nil"/>
            </w:tcBorders>
            <w:tcMar>
              <w:top w:w="-1" w:type="dxa"/>
              <w:left w:w="-1" w:type="dxa"/>
              <w:bottom w:w="-1" w:type="dxa"/>
              <w:right w:w="-1" w:type="dxa"/>
            </w:tcMar>
            <w:vAlign w:val="center"/>
          </w:tcPr>
          <w:p w14:paraId="3812706D">
            <w:pPr>
              <w:keepNext/>
              <w:snapToGrid w:val="0"/>
              <w:jc w:val="center"/>
              <w:rPr>
                <w:rFonts w:ascii="Times New Roman" w:hAnsi="Times New Roman" w:eastAsia="仿宋_GB2312"/>
                <w:sz w:val="24"/>
                <w:szCs w:val="21"/>
              </w:rPr>
            </w:pPr>
            <w:bookmarkStart w:id="12" w:name="OLE_LINK22"/>
            <w:r>
              <w:rPr>
                <w:rFonts w:ascii="Times New Roman" w:hAnsi="Times New Roman" w:eastAsia="仿宋_GB2312"/>
                <w:sz w:val="24"/>
                <w:szCs w:val="21"/>
              </w:rPr>
              <w:t>浙江大学</w:t>
            </w:r>
            <w:bookmarkEnd w:id="12"/>
          </w:p>
        </w:tc>
        <w:tc>
          <w:tcPr>
            <w:tcW w:w="1692" w:type="dxa"/>
            <w:tcBorders>
              <w:top w:val="nil"/>
              <w:left w:val="nil"/>
              <w:bottom w:val="nil"/>
              <w:right w:val="nil"/>
            </w:tcBorders>
            <w:tcMar>
              <w:top w:w="-1" w:type="dxa"/>
              <w:left w:w="-1" w:type="dxa"/>
              <w:bottom w:w="-1" w:type="dxa"/>
              <w:right w:w="-1" w:type="dxa"/>
            </w:tcMar>
            <w:vAlign w:val="center"/>
          </w:tcPr>
          <w:p w14:paraId="3812706E">
            <w:pPr>
              <w:keepNext/>
              <w:snapToGrid w:val="0"/>
              <w:jc w:val="left"/>
              <w:rPr>
                <w:rFonts w:ascii="Times New Roman" w:hAnsi="Times New Roman" w:eastAsia="仿宋_GB2312"/>
                <w:sz w:val="24"/>
                <w:szCs w:val="21"/>
              </w:rPr>
            </w:pPr>
            <w:r>
              <w:rPr>
                <w:rFonts w:ascii="Times New Roman" w:hAnsi="Times New Roman" w:eastAsia="仿宋_GB2312"/>
                <w:sz w:val="24"/>
                <w:szCs w:val="21"/>
              </w:rPr>
              <w:t>赵科铭</w:t>
            </w:r>
            <w:r>
              <w:rPr>
                <w:rFonts w:hint="eastAsia" w:ascii="Times New Roman" w:hAnsi="Times New Roman" w:eastAsia="仿宋_GB2312"/>
                <w:sz w:val="24"/>
                <w:szCs w:val="21"/>
              </w:rPr>
              <w:t>、</w:t>
            </w:r>
            <w:r>
              <w:rPr>
                <w:rFonts w:ascii="Times New Roman" w:hAnsi="Times New Roman" w:eastAsia="仿宋_GB2312"/>
                <w:sz w:val="24"/>
                <w:szCs w:val="21"/>
              </w:rPr>
              <w:t>朱占恒</w:t>
            </w:r>
            <w:r>
              <w:rPr>
                <w:rFonts w:hint="eastAsia" w:ascii="Times New Roman" w:hAnsi="Times New Roman" w:eastAsia="仿宋_GB2312"/>
                <w:sz w:val="24"/>
                <w:szCs w:val="21"/>
              </w:rPr>
              <w:t>、</w:t>
            </w:r>
            <w:r>
              <w:rPr>
                <w:rFonts w:ascii="Times New Roman" w:hAnsi="Times New Roman" w:eastAsia="仿宋_GB2312"/>
                <w:sz w:val="24"/>
                <w:szCs w:val="21"/>
              </w:rPr>
              <w:t>赵玉皓</w:t>
            </w:r>
            <w:r>
              <w:rPr>
                <w:rFonts w:hint="eastAsia" w:ascii="Times New Roman" w:hAnsi="Times New Roman" w:eastAsia="仿宋_GB2312"/>
                <w:sz w:val="24"/>
                <w:szCs w:val="21"/>
              </w:rPr>
              <w:t>、</w:t>
            </w:r>
            <w:r>
              <w:rPr>
                <w:rFonts w:ascii="Times New Roman" w:hAnsi="Times New Roman" w:eastAsia="仿宋_GB2312"/>
                <w:sz w:val="24"/>
                <w:szCs w:val="21"/>
              </w:rPr>
              <w:t>邵丁磊</w:t>
            </w:r>
            <w:r>
              <w:rPr>
                <w:rFonts w:hint="eastAsia" w:ascii="Times New Roman" w:hAnsi="Times New Roman" w:eastAsia="仿宋_GB2312"/>
                <w:sz w:val="24"/>
                <w:szCs w:val="21"/>
              </w:rPr>
              <w:t>、</w:t>
            </w:r>
            <w:r>
              <w:rPr>
                <w:rFonts w:ascii="Times New Roman" w:hAnsi="Times New Roman" w:eastAsia="仿宋_GB2312"/>
                <w:sz w:val="24"/>
                <w:szCs w:val="21"/>
              </w:rPr>
              <w:t>唐益敏</w:t>
            </w:r>
          </w:p>
        </w:tc>
      </w:tr>
      <w:tr w14:paraId="3812707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537" w:type="dxa"/>
            <w:tcBorders>
              <w:top w:val="nil"/>
              <w:left w:val="nil"/>
              <w:bottom w:val="nil"/>
              <w:right w:val="nil"/>
            </w:tcBorders>
            <w:tcMar>
              <w:top w:w="-1" w:type="dxa"/>
              <w:left w:w="-1" w:type="dxa"/>
              <w:bottom w:w="-1" w:type="dxa"/>
              <w:right w:w="-1" w:type="dxa"/>
            </w:tcMar>
            <w:vAlign w:val="center"/>
          </w:tcPr>
          <w:p w14:paraId="38127070">
            <w:pPr>
              <w:keepNext/>
              <w:snapToGrid w:val="0"/>
              <w:jc w:val="center"/>
              <w:rPr>
                <w:rFonts w:ascii="Times New Roman" w:hAnsi="Times New Roman" w:eastAsia="仿宋_GB2312"/>
                <w:sz w:val="24"/>
                <w:szCs w:val="21"/>
              </w:rPr>
            </w:pPr>
            <w:r>
              <w:rPr>
                <w:rFonts w:ascii="Times New Roman" w:hAnsi="Times New Roman" w:eastAsia="仿宋_GB2312"/>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38127071">
            <w:pPr>
              <w:keepNext/>
              <w:snapToGrid w:val="0"/>
              <w:jc w:val="center"/>
              <w:rPr>
                <w:rFonts w:ascii="Times New Roman" w:hAnsi="Times New Roman" w:eastAsia="仿宋_GB2312"/>
                <w:sz w:val="24"/>
                <w:szCs w:val="21"/>
              </w:rPr>
            </w:pPr>
            <w:r>
              <w:rPr>
                <w:rFonts w:ascii="Times New Roman" w:hAnsi="Times New Roman" w:eastAsia="仿宋_GB2312"/>
                <w:sz w:val="24"/>
                <w:szCs w:val="21"/>
              </w:rPr>
              <w:t>一种基于垃圾焚烧飞灰的沸石及其制备方法和应用</w:t>
            </w:r>
          </w:p>
        </w:tc>
        <w:tc>
          <w:tcPr>
            <w:tcW w:w="1017" w:type="dxa"/>
            <w:tcBorders>
              <w:top w:val="nil"/>
              <w:left w:val="nil"/>
              <w:bottom w:val="nil"/>
              <w:right w:val="nil"/>
            </w:tcBorders>
            <w:tcMar>
              <w:top w:w="-1" w:type="dxa"/>
              <w:left w:w="-1" w:type="dxa"/>
              <w:bottom w:w="-1" w:type="dxa"/>
              <w:right w:w="-1" w:type="dxa"/>
            </w:tcMar>
            <w:vAlign w:val="center"/>
          </w:tcPr>
          <w:p w14:paraId="38127072">
            <w:pPr>
              <w:keepNext/>
              <w:snapToGrid w:val="0"/>
              <w:jc w:val="center"/>
              <w:rPr>
                <w:rFonts w:ascii="Times New Roman" w:hAnsi="Times New Roman" w:eastAsia="仿宋_GB2312"/>
                <w:sz w:val="24"/>
                <w:szCs w:val="21"/>
              </w:rPr>
            </w:pPr>
            <w:r>
              <w:rPr>
                <w:rFonts w:ascii="Times New Roman" w:hAnsi="Times New Roman" w:eastAsia="仿宋_GB2312"/>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38127073">
            <w:pPr>
              <w:keepNext/>
              <w:snapToGrid w:val="0"/>
              <w:jc w:val="center"/>
              <w:rPr>
                <w:rFonts w:ascii="Times New Roman" w:hAnsi="Times New Roman" w:eastAsia="仿宋_GB2312"/>
                <w:sz w:val="24"/>
                <w:szCs w:val="21"/>
              </w:rPr>
            </w:pPr>
            <w:r>
              <w:rPr>
                <w:rFonts w:ascii="Times New Roman" w:hAnsi="Times New Roman" w:eastAsia="仿宋_GB2312"/>
                <w:sz w:val="24"/>
                <w:szCs w:val="21"/>
              </w:rPr>
              <w:t>ZL202410846702.5</w:t>
            </w:r>
          </w:p>
        </w:tc>
        <w:tc>
          <w:tcPr>
            <w:tcW w:w="1747" w:type="dxa"/>
            <w:tcBorders>
              <w:top w:val="nil"/>
              <w:left w:val="nil"/>
              <w:bottom w:val="nil"/>
              <w:right w:val="nil"/>
            </w:tcBorders>
            <w:tcMar>
              <w:top w:w="-1" w:type="dxa"/>
              <w:left w:w="-1" w:type="dxa"/>
              <w:bottom w:w="-1" w:type="dxa"/>
              <w:right w:w="-1" w:type="dxa"/>
            </w:tcMar>
            <w:vAlign w:val="center"/>
          </w:tcPr>
          <w:p w14:paraId="38127074">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2025年06月17日</w:t>
            </w:r>
          </w:p>
        </w:tc>
        <w:tc>
          <w:tcPr>
            <w:tcW w:w="1134" w:type="dxa"/>
            <w:tcBorders>
              <w:top w:val="nil"/>
              <w:left w:val="nil"/>
              <w:bottom w:val="nil"/>
              <w:right w:val="nil"/>
            </w:tcBorders>
            <w:tcMar>
              <w:top w:w="-1" w:type="dxa"/>
              <w:left w:w="-1" w:type="dxa"/>
              <w:bottom w:w="-1" w:type="dxa"/>
              <w:right w:w="-1" w:type="dxa"/>
            </w:tcMar>
            <w:vAlign w:val="center"/>
          </w:tcPr>
          <w:p w14:paraId="38127075">
            <w:pPr>
              <w:keepNext/>
              <w:snapToGrid w:val="0"/>
              <w:jc w:val="center"/>
              <w:rPr>
                <w:rFonts w:ascii="Times New Roman" w:hAnsi="Times New Roman" w:eastAsia="仿宋_GB2312"/>
                <w:sz w:val="24"/>
                <w:szCs w:val="21"/>
              </w:rPr>
            </w:pPr>
            <w:r>
              <w:rPr>
                <w:rFonts w:ascii="Times New Roman" w:hAnsi="Times New Roman" w:eastAsia="仿宋_GB2312"/>
                <w:sz w:val="24"/>
                <w:szCs w:val="21"/>
              </w:rPr>
              <w:t>浙江大学</w:t>
            </w:r>
          </w:p>
        </w:tc>
        <w:tc>
          <w:tcPr>
            <w:tcW w:w="1692" w:type="dxa"/>
            <w:tcBorders>
              <w:top w:val="nil"/>
              <w:left w:val="nil"/>
              <w:bottom w:val="nil"/>
              <w:right w:val="nil"/>
            </w:tcBorders>
            <w:tcMar>
              <w:top w:w="-1" w:type="dxa"/>
              <w:left w:w="-1" w:type="dxa"/>
              <w:bottom w:w="-1" w:type="dxa"/>
              <w:right w:w="-1" w:type="dxa"/>
            </w:tcMar>
            <w:vAlign w:val="center"/>
          </w:tcPr>
          <w:p w14:paraId="38127076">
            <w:pPr>
              <w:keepNext/>
              <w:snapToGrid w:val="0"/>
              <w:jc w:val="left"/>
              <w:rPr>
                <w:rFonts w:ascii="Times New Roman" w:hAnsi="Times New Roman" w:eastAsia="仿宋_GB2312"/>
                <w:sz w:val="24"/>
                <w:szCs w:val="21"/>
              </w:rPr>
            </w:pPr>
            <w:r>
              <w:rPr>
                <w:rFonts w:ascii="Times New Roman" w:hAnsi="Times New Roman" w:eastAsia="仿宋_GB2312"/>
                <w:sz w:val="24"/>
                <w:szCs w:val="21"/>
              </w:rPr>
              <w:t>彭亚旗</w:t>
            </w:r>
            <w:bookmarkStart w:id="13" w:name="OLE_LINK23"/>
            <w:r>
              <w:rPr>
                <w:rFonts w:ascii="Times New Roman" w:hAnsi="Times New Roman" w:eastAsia="仿宋_GB2312"/>
                <w:sz w:val="24"/>
                <w:szCs w:val="21"/>
              </w:rPr>
              <w:t>、</w:t>
            </w:r>
            <w:bookmarkEnd w:id="13"/>
            <w:r>
              <w:rPr>
                <w:rFonts w:ascii="Times New Roman" w:hAnsi="Times New Roman" w:eastAsia="仿宋_GB2312"/>
                <w:sz w:val="24"/>
                <w:szCs w:val="21"/>
              </w:rPr>
              <w:t>潘恒盛、陆胜勇、丁佳敏、孔维超、李海龙、严建华</w:t>
            </w:r>
          </w:p>
        </w:tc>
      </w:tr>
      <w:tr w14:paraId="3812707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537" w:type="dxa"/>
            <w:tcBorders>
              <w:top w:val="nil"/>
              <w:left w:val="nil"/>
              <w:bottom w:val="nil"/>
              <w:right w:val="nil"/>
            </w:tcBorders>
            <w:tcMar>
              <w:top w:w="-1" w:type="dxa"/>
              <w:left w:w="-1" w:type="dxa"/>
              <w:bottom w:w="-1" w:type="dxa"/>
              <w:right w:w="-1" w:type="dxa"/>
            </w:tcMar>
            <w:vAlign w:val="center"/>
          </w:tcPr>
          <w:p w14:paraId="38127078">
            <w:pPr>
              <w:keepNext/>
              <w:snapToGrid w:val="0"/>
              <w:jc w:val="center"/>
              <w:rPr>
                <w:rFonts w:ascii="Times New Roman" w:hAnsi="Times New Roman" w:eastAsia="仿宋_GB2312"/>
                <w:sz w:val="24"/>
                <w:szCs w:val="21"/>
              </w:rPr>
            </w:pPr>
            <w:r>
              <w:rPr>
                <w:rFonts w:ascii="Times New Roman" w:hAnsi="Times New Roman" w:eastAsia="仿宋_GB2312"/>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38127079">
            <w:pPr>
              <w:keepNext/>
              <w:snapToGrid w:val="0"/>
              <w:jc w:val="center"/>
              <w:rPr>
                <w:rFonts w:ascii="Times New Roman" w:hAnsi="Times New Roman" w:eastAsia="仿宋_GB2312"/>
                <w:sz w:val="24"/>
                <w:szCs w:val="21"/>
              </w:rPr>
            </w:pPr>
            <w:r>
              <w:rPr>
                <w:rFonts w:ascii="Times New Roman" w:hAnsi="Times New Roman" w:eastAsia="仿宋_GB2312"/>
                <w:sz w:val="24"/>
                <w:szCs w:val="21"/>
              </w:rPr>
              <w:t>一种钼硫化物插层改性制备飞灰基层状双金属氢氧化物的方法</w:t>
            </w:r>
          </w:p>
        </w:tc>
        <w:tc>
          <w:tcPr>
            <w:tcW w:w="1017" w:type="dxa"/>
            <w:tcBorders>
              <w:top w:val="nil"/>
              <w:left w:val="nil"/>
              <w:bottom w:val="nil"/>
              <w:right w:val="nil"/>
            </w:tcBorders>
            <w:tcMar>
              <w:top w:w="-1" w:type="dxa"/>
              <w:left w:w="-1" w:type="dxa"/>
              <w:bottom w:w="-1" w:type="dxa"/>
              <w:right w:w="-1" w:type="dxa"/>
            </w:tcMar>
            <w:vAlign w:val="center"/>
          </w:tcPr>
          <w:p w14:paraId="3812707A">
            <w:pPr>
              <w:keepNext/>
              <w:snapToGrid w:val="0"/>
              <w:jc w:val="center"/>
              <w:rPr>
                <w:rFonts w:ascii="Times New Roman" w:hAnsi="Times New Roman" w:eastAsia="仿宋_GB2312"/>
                <w:sz w:val="24"/>
                <w:szCs w:val="21"/>
              </w:rPr>
            </w:pPr>
            <w:r>
              <w:rPr>
                <w:rFonts w:ascii="Times New Roman" w:hAnsi="Times New Roman" w:eastAsia="仿宋_GB2312"/>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3812707B">
            <w:pPr>
              <w:keepNext/>
              <w:snapToGrid w:val="0"/>
              <w:jc w:val="center"/>
              <w:rPr>
                <w:rFonts w:ascii="Times New Roman" w:hAnsi="Times New Roman" w:eastAsia="仿宋_GB2312"/>
                <w:sz w:val="24"/>
                <w:szCs w:val="21"/>
              </w:rPr>
            </w:pPr>
            <w:r>
              <w:rPr>
                <w:rFonts w:ascii="Times New Roman" w:hAnsi="Times New Roman" w:eastAsia="仿宋_GB2312"/>
                <w:sz w:val="24"/>
                <w:szCs w:val="21"/>
              </w:rPr>
              <w:t>ZL202510087284.0</w:t>
            </w:r>
          </w:p>
        </w:tc>
        <w:tc>
          <w:tcPr>
            <w:tcW w:w="1747" w:type="dxa"/>
            <w:tcBorders>
              <w:top w:val="nil"/>
              <w:left w:val="nil"/>
              <w:bottom w:val="nil"/>
              <w:right w:val="nil"/>
            </w:tcBorders>
            <w:tcMar>
              <w:top w:w="-1" w:type="dxa"/>
              <w:left w:w="-1" w:type="dxa"/>
              <w:bottom w:w="-1" w:type="dxa"/>
              <w:right w:w="-1" w:type="dxa"/>
            </w:tcMar>
            <w:vAlign w:val="center"/>
          </w:tcPr>
          <w:p w14:paraId="3812707C">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2025年11月25日</w:t>
            </w:r>
          </w:p>
        </w:tc>
        <w:tc>
          <w:tcPr>
            <w:tcW w:w="1134" w:type="dxa"/>
            <w:tcBorders>
              <w:top w:val="nil"/>
              <w:left w:val="nil"/>
              <w:bottom w:val="nil"/>
              <w:right w:val="nil"/>
            </w:tcBorders>
            <w:tcMar>
              <w:top w:w="-1" w:type="dxa"/>
              <w:left w:w="-1" w:type="dxa"/>
              <w:bottom w:w="-1" w:type="dxa"/>
              <w:right w:w="-1" w:type="dxa"/>
            </w:tcMar>
            <w:vAlign w:val="center"/>
          </w:tcPr>
          <w:p w14:paraId="3812707D">
            <w:pPr>
              <w:keepNext/>
              <w:snapToGrid w:val="0"/>
              <w:jc w:val="center"/>
              <w:rPr>
                <w:rFonts w:ascii="Times New Roman" w:hAnsi="Times New Roman" w:eastAsia="仿宋_GB2312"/>
                <w:sz w:val="24"/>
                <w:szCs w:val="21"/>
              </w:rPr>
            </w:pPr>
            <w:r>
              <w:rPr>
                <w:rFonts w:ascii="Times New Roman" w:hAnsi="Times New Roman" w:eastAsia="仿宋_GB2312"/>
                <w:sz w:val="24"/>
                <w:szCs w:val="21"/>
              </w:rPr>
              <w:t>浙江大学</w:t>
            </w:r>
          </w:p>
        </w:tc>
        <w:tc>
          <w:tcPr>
            <w:tcW w:w="1692" w:type="dxa"/>
            <w:tcBorders>
              <w:top w:val="nil"/>
              <w:left w:val="nil"/>
              <w:bottom w:val="nil"/>
              <w:right w:val="nil"/>
            </w:tcBorders>
            <w:tcMar>
              <w:top w:w="-1" w:type="dxa"/>
              <w:left w:w="-1" w:type="dxa"/>
              <w:bottom w:w="-1" w:type="dxa"/>
              <w:right w:w="-1" w:type="dxa"/>
            </w:tcMar>
            <w:vAlign w:val="center"/>
          </w:tcPr>
          <w:p w14:paraId="3812707E">
            <w:pPr>
              <w:keepNext/>
              <w:snapToGrid w:val="0"/>
              <w:jc w:val="left"/>
              <w:rPr>
                <w:rFonts w:ascii="Times New Roman" w:hAnsi="Times New Roman" w:eastAsia="仿宋_GB2312"/>
                <w:sz w:val="24"/>
                <w:szCs w:val="21"/>
              </w:rPr>
            </w:pPr>
            <w:r>
              <w:rPr>
                <w:rFonts w:ascii="Times New Roman" w:hAnsi="Times New Roman" w:eastAsia="仿宋_GB2312"/>
                <w:sz w:val="24"/>
                <w:szCs w:val="21"/>
              </w:rPr>
              <w:t>彭亚旗、孔维超、陆胜勇、丁佳敏、潘恒盛、肖心、严建华</w:t>
            </w:r>
          </w:p>
        </w:tc>
      </w:tr>
      <w:tr w14:paraId="3812708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537" w:type="dxa"/>
            <w:tcBorders>
              <w:top w:val="nil"/>
              <w:left w:val="nil"/>
              <w:bottom w:val="nil"/>
              <w:right w:val="nil"/>
            </w:tcBorders>
            <w:tcMar>
              <w:top w:w="-1" w:type="dxa"/>
              <w:left w:w="-1" w:type="dxa"/>
              <w:bottom w:w="-1" w:type="dxa"/>
              <w:right w:w="-1" w:type="dxa"/>
            </w:tcMar>
            <w:vAlign w:val="center"/>
          </w:tcPr>
          <w:p w14:paraId="38127080">
            <w:pPr>
              <w:keepNext/>
              <w:snapToGrid w:val="0"/>
              <w:jc w:val="center"/>
              <w:rPr>
                <w:rFonts w:ascii="Times New Roman" w:hAnsi="Times New Roman" w:eastAsia="仿宋_GB2312"/>
                <w:sz w:val="24"/>
                <w:szCs w:val="21"/>
              </w:rPr>
            </w:pPr>
            <w:r>
              <w:rPr>
                <w:rFonts w:ascii="Times New Roman" w:hAnsi="Times New Roman" w:eastAsia="仿宋_GB2312"/>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38127081">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一种脱氯解毒飞灰-废玻璃粉-矿渣复合碱激发胶凝材料及其制备方法</w:t>
            </w:r>
          </w:p>
        </w:tc>
        <w:tc>
          <w:tcPr>
            <w:tcW w:w="1017" w:type="dxa"/>
            <w:tcBorders>
              <w:top w:val="nil"/>
              <w:left w:val="nil"/>
              <w:bottom w:val="nil"/>
              <w:right w:val="nil"/>
            </w:tcBorders>
            <w:tcMar>
              <w:top w:w="-1" w:type="dxa"/>
              <w:left w:w="-1" w:type="dxa"/>
              <w:bottom w:w="-1" w:type="dxa"/>
              <w:right w:w="-1" w:type="dxa"/>
            </w:tcMar>
            <w:vAlign w:val="center"/>
          </w:tcPr>
          <w:p w14:paraId="38127082">
            <w:pPr>
              <w:keepNext/>
              <w:snapToGrid w:val="0"/>
              <w:jc w:val="center"/>
              <w:rPr>
                <w:rFonts w:ascii="Times New Roman" w:hAnsi="Times New Roman" w:eastAsia="仿宋_GB2312"/>
                <w:sz w:val="24"/>
                <w:szCs w:val="21"/>
              </w:rPr>
            </w:pPr>
            <w:bookmarkStart w:id="14" w:name="OLE_LINK11"/>
            <w:r>
              <w:rPr>
                <w:rFonts w:ascii="Times New Roman" w:hAnsi="Times New Roman" w:eastAsia="仿宋_GB2312"/>
                <w:sz w:val="24"/>
                <w:szCs w:val="21"/>
              </w:rPr>
              <w:t>中国</w:t>
            </w:r>
            <w:bookmarkEnd w:id="14"/>
          </w:p>
        </w:tc>
        <w:tc>
          <w:tcPr>
            <w:tcW w:w="1403" w:type="dxa"/>
            <w:tcBorders>
              <w:top w:val="nil"/>
              <w:left w:val="nil"/>
              <w:bottom w:val="nil"/>
              <w:right w:val="nil"/>
            </w:tcBorders>
            <w:tcMar>
              <w:top w:w="-1" w:type="dxa"/>
              <w:left w:w="-1" w:type="dxa"/>
              <w:bottom w:w="-1" w:type="dxa"/>
              <w:right w:w="-1" w:type="dxa"/>
            </w:tcMar>
            <w:vAlign w:val="center"/>
          </w:tcPr>
          <w:p w14:paraId="38127083">
            <w:pPr>
              <w:keepNext/>
              <w:snapToGrid w:val="0"/>
              <w:jc w:val="center"/>
              <w:rPr>
                <w:rFonts w:ascii="Times New Roman" w:hAnsi="Times New Roman" w:eastAsia="仿宋_GB2312"/>
                <w:sz w:val="24"/>
                <w:szCs w:val="21"/>
              </w:rPr>
            </w:pPr>
            <w:r>
              <w:rPr>
                <w:rFonts w:ascii="Times New Roman" w:hAnsi="Times New Roman" w:eastAsia="仿宋_GB2312"/>
                <w:sz w:val="24"/>
                <w:szCs w:val="21"/>
              </w:rPr>
              <w:t>ZL</w:t>
            </w:r>
            <w:bookmarkStart w:id="15" w:name="OLE_LINK9"/>
            <w:r>
              <w:rPr>
                <w:rFonts w:ascii="Times New Roman" w:hAnsi="Times New Roman" w:eastAsia="仿宋_GB2312"/>
                <w:sz w:val="24"/>
                <w:szCs w:val="21"/>
              </w:rPr>
              <w:t>202510061906.2</w:t>
            </w:r>
            <w:bookmarkEnd w:id="15"/>
          </w:p>
        </w:tc>
        <w:tc>
          <w:tcPr>
            <w:tcW w:w="1747" w:type="dxa"/>
            <w:tcBorders>
              <w:top w:val="nil"/>
              <w:left w:val="nil"/>
              <w:bottom w:val="nil"/>
              <w:right w:val="nil"/>
            </w:tcBorders>
            <w:tcMar>
              <w:top w:w="-1" w:type="dxa"/>
              <w:left w:w="-1" w:type="dxa"/>
              <w:bottom w:w="-1" w:type="dxa"/>
              <w:right w:w="-1" w:type="dxa"/>
            </w:tcMar>
            <w:vAlign w:val="center"/>
          </w:tcPr>
          <w:p w14:paraId="38127084">
            <w:pPr>
              <w:keepNext/>
              <w:snapToGrid w:val="0"/>
              <w:jc w:val="center"/>
              <w:rPr>
                <w:rFonts w:ascii="Times New Roman" w:hAnsi="Times New Roman" w:eastAsia="仿宋_GB2312"/>
                <w:sz w:val="24"/>
                <w:szCs w:val="21"/>
              </w:rPr>
            </w:pPr>
            <w:r>
              <w:rPr>
                <w:rFonts w:ascii="Times New Roman" w:hAnsi="Times New Roman" w:eastAsia="仿宋_GB2312"/>
                <w:sz w:val="24"/>
                <w:szCs w:val="21"/>
              </w:rPr>
              <w:t>202</w:t>
            </w:r>
            <w:r>
              <w:rPr>
                <w:rFonts w:hint="eastAsia" w:ascii="Times New Roman" w:hAnsi="Times New Roman" w:eastAsia="仿宋_GB2312"/>
                <w:sz w:val="24"/>
                <w:szCs w:val="21"/>
              </w:rPr>
              <w:t>5</w:t>
            </w:r>
            <w:r>
              <w:rPr>
                <w:rFonts w:ascii="Times New Roman" w:hAnsi="Times New Roman" w:eastAsia="仿宋_GB2312"/>
                <w:sz w:val="24"/>
                <w:szCs w:val="21"/>
              </w:rPr>
              <w:t>年 0</w:t>
            </w:r>
            <w:r>
              <w:rPr>
                <w:rFonts w:hint="eastAsia" w:ascii="Times New Roman" w:hAnsi="Times New Roman" w:eastAsia="仿宋_GB2312"/>
                <w:sz w:val="24"/>
                <w:szCs w:val="21"/>
              </w:rPr>
              <w:t>5</w:t>
            </w:r>
            <w:r>
              <w:rPr>
                <w:rFonts w:ascii="Times New Roman" w:hAnsi="Times New Roman" w:eastAsia="仿宋_GB2312"/>
                <w:sz w:val="24"/>
                <w:szCs w:val="21"/>
              </w:rPr>
              <w:t>月</w:t>
            </w:r>
            <w:r>
              <w:rPr>
                <w:rFonts w:hint="eastAsia" w:ascii="Times New Roman" w:hAnsi="Times New Roman" w:eastAsia="仿宋_GB2312"/>
                <w:sz w:val="24"/>
                <w:szCs w:val="21"/>
              </w:rPr>
              <w:t>13</w:t>
            </w:r>
            <w:r>
              <w:rPr>
                <w:rFonts w:ascii="Times New Roman" w:hAnsi="Times New Roman" w:eastAsia="仿宋_GB2312"/>
                <w:sz w:val="24"/>
                <w:szCs w:val="21"/>
              </w:rPr>
              <w:t xml:space="preserve"> 日</w:t>
            </w:r>
          </w:p>
        </w:tc>
        <w:tc>
          <w:tcPr>
            <w:tcW w:w="1134" w:type="dxa"/>
            <w:tcBorders>
              <w:top w:val="nil"/>
              <w:left w:val="nil"/>
              <w:bottom w:val="nil"/>
              <w:right w:val="nil"/>
            </w:tcBorders>
            <w:tcMar>
              <w:top w:w="-1" w:type="dxa"/>
              <w:left w:w="-1" w:type="dxa"/>
              <w:bottom w:w="-1" w:type="dxa"/>
              <w:right w:w="-1" w:type="dxa"/>
            </w:tcMar>
            <w:vAlign w:val="center"/>
          </w:tcPr>
          <w:p w14:paraId="38127085">
            <w:pPr>
              <w:keepNext/>
              <w:snapToGrid w:val="0"/>
              <w:jc w:val="center"/>
              <w:rPr>
                <w:rFonts w:ascii="Times New Roman" w:hAnsi="Times New Roman" w:eastAsia="仿宋_GB2312"/>
                <w:sz w:val="24"/>
                <w:szCs w:val="21"/>
              </w:rPr>
            </w:pPr>
            <w:bookmarkStart w:id="16" w:name="OLE_LINK12"/>
            <w:r>
              <w:rPr>
                <w:rFonts w:ascii="Times New Roman" w:hAnsi="Times New Roman" w:eastAsia="仿宋_GB2312"/>
                <w:sz w:val="24"/>
                <w:szCs w:val="21"/>
              </w:rPr>
              <w:t>浙江大学</w:t>
            </w:r>
            <w:bookmarkEnd w:id="16"/>
          </w:p>
        </w:tc>
        <w:tc>
          <w:tcPr>
            <w:tcW w:w="1692" w:type="dxa"/>
            <w:tcBorders>
              <w:top w:val="nil"/>
              <w:left w:val="nil"/>
              <w:bottom w:val="nil"/>
              <w:right w:val="nil"/>
            </w:tcBorders>
            <w:tcMar>
              <w:top w:w="-1" w:type="dxa"/>
              <w:left w:w="-1" w:type="dxa"/>
              <w:bottom w:w="-1" w:type="dxa"/>
              <w:right w:w="-1" w:type="dxa"/>
            </w:tcMar>
            <w:vAlign w:val="center"/>
          </w:tcPr>
          <w:p w14:paraId="38127086">
            <w:pPr>
              <w:keepNext/>
              <w:snapToGrid w:val="0"/>
              <w:jc w:val="left"/>
              <w:rPr>
                <w:rFonts w:ascii="Times New Roman" w:hAnsi="Times New Roman" w:eastAsia="仿宋_GB2312"/>
                <w:sz w:val="24"/>
                <w:szCs w:val="21"/>
              </w:rPr>
            </w:pPr>
            <w:bookmarkStart w:id="17" w:name="OLE_LINK10"/>
            <w:r>
              <w:rPr>
                <w:rFonts w:ascii="Times New Roman" w:hAnsi="Times New Roman" w:eastAsia="仿宋_GB2312"/>
                <w:sz w:val="24"/>
                <w:szCs w:val="21"/>
              </w:rPr>
              <w:t>王磊</w:t>
            </w:r>
            <w:bookmarkStart w:id="18" w:name="OLE_LINK4"/>
            <w:r>
              <w:rPr>
                <w:rFonts w:ascii="Times New Roman" w:hAnsi="Times New Roman" w:eastAsia="仿宋_GB2312"/>
                <w:sz w:val="24"/>
                <w:szCs w:val="21"/>
              </w:rPr>
              <w:t>、</w:t>
            </w:r>
            <w:bookmarkEnd w:id="18"/>
            <w:r>
              <w:rPr>
                <w:rFonts w:ascii="Times New Roman" w:hAnsi="Times New Roman" w:eastAsia="仿宋_GB2312"/>
                <w:sz w:val="24"/>
                <w:szCs w:val="21"/>
              </w:rPr>
              <w:t>熊盈盈、刘振业、夏岩、严建华</w:t>
            </w:r>
            <w:bookmarkEnd w:id="17"/>
          </w:p>
        </w:tc>
      </w:tr>
      <w:tr w14:paraId="3812708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537" w:type="dxa"/>
            <w:tcBorders>
              <w:top w:val="nil"/>
              <w:left w:val="nil"/>
              <w:bottom w:val="nil"/>
              <w:right w:val="nil"/>
            </w:tcBorders>
            <w:tcMar>
              <w:top w:w="-1" w:type="dxa"/>
              <w:left w:w="-1" w:type="dxa"/>
              <w:bottom w:w="-1" w:type="dxa"/>
              <w:right w:w="-1" w:type="dxa"/>
            </w:tcMar>
            <w:vAlign w:val="center"/>
          </w:tcPr>
          <w:p w14:paraId="38127088">
            <w:pPr>
              <w:keepNext/>
              <w:snapToGrid w:val="0"/>
              <w:jc w:val="center"/>
              <w:rPr>
                <w:rFonts w:ascii="Times New Roman" w:hAnsi="Times New Roman" w:eastAsia="仿宋_GB2312"/>
                <w:sz w:val="24"/>
                <w:szCs w:val="21"/>
              </w:rPr>
            </w:pPr>
            <w:bookmarkStart w:id="19" w:name="OLE_LINK5"/>
            <w:r>
              <w:rPr>
                <w:rFonts w:ascii="Times New Roman" w:hAnsi="Times New Roman" w:eastAsia="仿宋_GB2312"/>
                <w:sz w:val="24"/>
                <w:szCs w:val="21"/>
              </w:rPr>
              <w:t>发明专利</w:t>
            </w:r>
            <w:bookmarkEnd w:id="19"/>
          </w:p>
        </w:tc>
        <w:tc>
          <w:tcPr>
            <w:tcW w:w="1526" w:type="dxa"/>
            <w:tcBorders>
              <w:top w:val="nil"/>
              <w:left w:val="nil"/>
              <w:bottom w:val="nil"/>
              <w:right w:val="nil"/>
            </w:tcBorders>
            <w:tcMar>
              <w:top w:w="-1" w:type="dxa"/>
              <w:left w:w="-1" w:type="dxa"/>
              <w:bottom w:w="-1" w:type="dxa"/>
              <w:right w:w="-1" w:type="dxa"/>
            </w:tcMar>
            <w:vAlign w:val="center"/>
          </w:tcPr>
          <w:p w14:paraId="38127089">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一种利用活性氧化镁诱导垃圾焚烧飞灰氯盐的全固废基胶凝材料及其制备方法</w:t>
            </w:r>
          </w:p>
        </w:tc>
        <w:tc>
          <w:tcPr>
            <w:tcW w:w="1017" w:type="dxa"/>
            <w:tcBorders>
              <w:top w:val="nil"/>
              <w:left w:val="nil"/>
              <w:bottom w:val="nil"/>
              <w:right w:val="nil"/>
            </w:tcBorders>
            <w:tcMar>
              <w:top w:w="-1" w:type="dxa"/>
              <w:left w:w="-1" w:type="dxa"/>
              <w:bottom w:w="-1" w:type="dxa"/>
              <w:right w:w="-1" w:type="dxa"/>
            </w:tcMar>
            <w:vAlign w:val="center"/>
          </w:tcPr>
          <w:p w14:paraId="3812708A">
            <w:pPr>
              <w:keepNext/>
              <w:snapToGrid w:val="0"/>
              <w:jc w:val="center"/>
              <w:rPr>
                <w:rFonts w:ascii="Times New Roman" w:hAnsi="Times New Roman" w:eastAsia="仿宋_GB2312"/>
                <w:sz w:val="24"/>
                <w:szCs w:val="21"/>
              </w:rPr>
            </w:pPr>
            <w:r>
              <w:rPr>
                <w:rFonts w:ascii="Times New Roman" w:hAnsi="Times New Roman" w:eastAsia="仿宋_GB2312"/>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3812708B">
            <w:pPr>
              <w:keepNext/>
              <w:snapToGrid w:val="0"/>
              <w:jc w:val="center"/>
              <w:rPr>
                <w:rFonts w:ascii="Times New Roman" w:hAnsi="Times New Roman" w:eastAsia="仿宋_GB2312"/>
                <w:sz w:val="24"/>
                <w:szCs w:val="21"/>
              </w:rPr>
            </w:pPr>
            <w:r>
              <w:rPr>
                <w:rFonts w:ascii="Times New Roman" w:hAnsi="Times New Roman" w:eastAsia="仿宋_GB2312"/>
                <w:sz w:val="24"/>
                <w:szCs w:val="21"/>
              </w:rPr>
              <w:t>ZL202510795229.7</w:t>
            </w:r>
          </w:p>
        </w:tc>
        <w:tc>
          <w:tcPr>
            <w:tcW w:w="1747" w:type="dxa"/>
            <w:tcBorders>
              <w:top w:val="nil"/>
              <w:left w:val="nil"/>
              <w:bottom w:val="nil"/>
              <w:right w:val="nil"/>
            </w:tcBorders>
            <w:tcMar>
              <w:top w:w="-1" w:type="dxa"/>
              <w:left w:w="-1" w:type="dxa"/>
              <w:bottom w:w="-1" w:type="dxa"/>
              <w:right w:w="-1" w:type="dxa"/>
            </w:tcMar>
            <w:vAlign w:val="center"/>
          </w:tcPr>
          <w:p w14:paraId="3812708C">
            <w:pPr>
              <w:keepNext/>
              <w:snapToGrid w:val="0"/>
              <w:jc w:val="center"/>
              <w:rPr>
                <w:rFonts w:ascii="Times New Roman" w:hAnsi="Times New Roman" w:eastAsia="仿宋_GB2312"/>
                <w:sz w:val="24"/>
                <w:szCs w:val="21"/>
              </w:rPr>
            </w:pPr>
            <w:r>
              <w:rPr>
                <w:rFonts w:ascii="Times New Roman" w:hAnsi="Times New Roman" w:eastAsia="仿宋_GB2312"/>
                <w:sz w:val="24"/>
                <w:szCs w:val="21"/>
              </w:rPr>
              <w:t>202</w:t>
            </w:r>
            <w:r>
              <w:rPr>
                <w:rFonts w:hint="eastAsia" w:ascii="Times New Roman" w:hAnsi="Times New Roman" w:eastAsia="仿宋_GB2312"/>
                <w:sz w:val="24"/>
                <w:szCs w:val="21"/>
              </w:rPr>
              <w:t>5</w:t>
            </w:r>
            <w:r>
              <w:rPr>
                <w:rFonts w:ascii="Times New Roman" w:hAnsi="Times New Roman" w:eastAsia="仿宋_GB2312"/>
                <w:sz w:val="24"/>
                <w:szCs w:val="21"/>
              </w:rPr>
              <w:t>年 0</w:t>
            </w:r>
            <w:r>
              <w:rPr>
                <w:rFonts w:hint="eastAsia" w:ascii="Times New Roman" w:hAnsi="Times New Roman" w:eastAsia="仿宋_GB2312"/>
                <w:sz w:val="24"/>
                <w:szCs w:val="21"/>
              </w:rPr>
              <w:t>9</w:t>
            </w:r>
            <w:r>
              <w:rPr>
                <w:rFonts w:ascii="Times New Roman" w:hAnsi="Times New Roman" w:eastAsia="仿宋_GB2312"/>
                <w:sz w:val="24"/>
                <w:szCs w:val="21"/>
              </w:rPr>
              <w:t>月2</w:t>
            </w:r>
            <w:r>
              <w:rPr>
                <w:rFonts w:hint="eastAsia" w:ascii="Times New Roman" w:hAnsi="Times New Roman" w:eastAsia="仿宋_GB2312"/>
                <w:sz w:val="24"/>
                <w:szCs w:val="21"/>
              </w:rPr>
              <w:t>6</w:t>
            </w:r>
            <w:r>
              <w:rPr>
                <w:rFonts w:ascii="Times New Roman" w:hAnsi="Times New Roman" w:eastAsia="仿宋_GB2312"/>
                <w:sz w:val="24"/>
                <w:szCs w:val="21"/>
              </w:rPr>
              <w:t xml:space="preserve"> 日</w:t>
            </w:r>
          </w:p>
        </w:tc>
        <w:tc>
          <w:tcPr>
            <w:tcW w:w="1134" w:type="dxa"/>
            <w:tcBorders>
              <w:top w:val="nil"/>
              <w:left w:val="nil"/>
              <w:bottom w:val="nil"/>
              <w:right w:val="nil"/>
            </w:tcBorders>
            <w:tcMar>
              <w:top w:w="-1" w:type="dxa"/>
              <w:left w:w="-1" w:type="dxa"/>
              <w:bottom w:w="-1" w:type="dxa"/>
              <w:right w:w="-1" w:type="dxa"/>
            </w:tcMar>
            <w:vAlign w:val="center"/>
          </w:tcPr>
          <w:p w14:paraId="3812708D">
            <w:pPr>
              <w:keepNext/>
              <w:snapToGrid w:val="0"/>
              <w:jc w:val="center"/>
              <w:rPr>
                <w:rFonts w:ascii="Times New Roman" w:hAnsi="Times New Roman" w:eastAsia="仿宋_GB2312"/>
                <w:sz w:val="24"/>
                <w:szCs w:val="21"/>
              </w:rPr>
            </w:pPr>
            <w:r>
              <w:rPr>
                <w:rFonts w:ascii="Times New Roman" w:hAnsi="Times New Roman" w:eastAsia="仿宋_GB2312"/>
                <w:sz w:val="24"/>
                <w:szCs w:val="21"/>
              </w:rPr>
              <w:t>浙江大学</w:t>
            </w:r>
          </w:p>
        </w:tc>
        <w:tc>
          <w:tcPr>
            <w:tcW w:w="1692" w:type="dxa"/>
            <w:tcBorders>
              <w:top w:val="nil"/>
              <w:left w:val="nil"/>
              <w:bottom w:val="nil"/>
              <w:right w:val="nil"/>
            </w:tcBorders>
            <w:tcMar>
              <w:top w:w="-1" w:type="dxa"/>
              <w:left w:w="-1" w:type="dxa"/>
              <w:bottom w:w="-1" w:type="dxa"/>
              <w:right w:w="-1" w:type="dxa"/>
            </w:tcMar>
            <w:vAlign w:val="center"/>
          </w:tcPr>
          <w:p w14:paraId="3812708E">
            <w:pPr>
              <w:keepNext/>
              <w:snapToGrid w:val="0"/>
              <w:jc w:val="left"/>
              <w:rPr>
                <w:rFonts w:ascii="Times New Roman" w:hAnsi="Times New Roman" w:eastAsia="仿宋_GB2312"/>
                <w:sz w:val="24"/>
                <w:szCs w:val="21"/>
              </w:rPr>
            </w:pPr>
            <w:r>
              <w:rPr>
                <w:rFonts w:ascii="Times New Roman" w:hAnsi="Times New Roman" w:eastAsia="仿宋_GB2312"/>
                <w:sz w:val="24"/>
                <w:szCs w:val="21"/>
              </w:rPr>
              <w:t>王磊</w:t>
            </w:r>
            <w:bookmarkStart w:id="20" w:name="OLE_LINK7"/>
            <w:r>
              <w:rPr>
                <w:rFonts w:ascii="Times New Roman" w:hAnsi="Times New Roman" w:eastAsia="仿宋_GB2312"/>
                <w:sz w:val="24"/>
                <w:szCs w:val="21"/>
              </w:rPr>
              <w:t>、</w:t>
            </w:r>
            <w:bookmarkEnd w:id="20"/>
            <w:r>
              <w:rPr>
                <w:rFonts w:ascii="Times New Roman" w:hAnsi="Times New Roman" w:eastAsia="仿宋_GB2312"/>
                <w:sz w:val="24"/>
                <w:szCs w:val="21"/>
              </w:rPr>
              <w:t>关渝珊、时雅倩、严建华</w:t>
            </w:r>
          </w:p>
        </w:tc>
      </w:tr>
      <w:tr w14:paraId="3812709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537" w:type="dxa"/>
            <w:tcBorders>
              <w:top w:val="nil"/>
              <w:left w:val="nil"/>
              <w:bottom w:val="nil"/>
              <w:right w:val="nil"/>
            </w:tcBorders>
            <w:tcMar>
              <w:top w:w="-1" w:type="dxa"/>
              <w:left w:w="-1" w:type="dxa"/>
              <w:bottom w:w="-1" w:type="dxa"/>
              <w:right w:w="-1" w:type="dxa"/>
            </w:tcMar>
            <w:vAlign w:val="center"/>
          </w:tcPr>
          <w:p w14:paraId="38127090">
            <w:pPr>
              <w:keepNext/>
              <w:snapToGrid w:val="0"/>
              <w:jc w:val="center"/>
              <w:rPr>
                <w:rFonts w:ascii="Times New Roman" w:hAnsi="Times New Roman" w:eastAsia="仿宋_GB2312"/>
                <w:sz w:val="24"/>
                <w:szCs w:val="21"/>
              </w:rPr>
            </w:pPr>
            <w:bookmarkStart w:id="21" w:name="_Hlk229494024"/>
            <w:r>
              <w:rPr>
                <w:rFonts w:ascii="Times New Roman" w:hAnsi="Times New Roman" w:eastAsia="仿宋_GB2312"/>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38127091">
            <w:pPr>
              <w:keepNext/>
              <w:snapToGrid w:val="0"/>
              <w:jc w:val="center"/>
              <w:rPr>
                <w:rFonts w:ascii="Times New Roman" w:hAnsi="Times New Roman" w:eastAsia="仿宋_GB2312"/>
                <w:sz w:val="24"/>
                <w:szCs w:val="21"/>
              </w:rPr>
            </w:pPr>
            <w:r>
              <w:rPr>
                <w:rFonts w:ascii="Times New Roman" w:hAnsi="Times New Roman" w:eastAsia="仿宋_GB2312"/>
                <w:sz w:val="24"/>
                <w:szCs w:val="21"/>
              </w:rPr>
              <w:t>一种生物炭改性的垃圾焚烧飞灰基固碳人造骨料及制备方法</w:t>
            </w:r>
          </w:p>
        </w:tc>
        <w:tc>
          <w:tcPr>
            <w:tcW w:w="1017" w:type="dxa"/>
            <w:tcBorders>
              <w:top w:val="nil"/>
              <w:left w:val="nil"/>
              <w:bottom w:val="nil"/>
              <w:right w:val="nil"/>
            </w:tcBorders>
            <w:tcMar>
              <w:top w:w="-1" w:type="dxa"/>
              <w:left w:w="-1" w:type="dxa"/>
              <w:bottom w:w="-1" w:type="dxa"/>
              <w:right w:w="-1" w:type="dxa"/>
            </w:tcMar>
            <w:vAlign w:val="center"/>
          </w:tcPr>
          <w:p w14:paraId="38127092">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38127093">
            <w:pPr>
              <w:keepNext/>
              <w:snapToGrid w:val="0"/>
              <w:jc w:val="center"/>
              <w:rPr>
                <w:rFonts w:ascii="Times New Roman" w:hAnsi="Times New Roman" w:eastAsia="仿宋_GB2312"/>
                <w:sz w:val="24"/>
                <w:szCs w:val="21"/>
              </w:rPr>
            </w:pPr>
            <w:r>
              <w:rPr>
                <w:rFonts w:ascii="Times New Roman" w:hAnsi="Times New Roman" w:eastAsia="仿宋_GB2312"/>
                <w:sz w:val="24"/>
                <w:szCs w:val="21"/>
              </w:rPr>
              <w:t>ZL202411830125.7</w:t>
            </w:r>
          </w:p>
        </w:tc>
        <w:tc>
          <w:tcPr>
            <w:tcW w:w="1747" w:type="dxa"/>
            <w:tcBorders>
              <w:top w:val="nil"/>
              <w:left w:val="nil"/>
              <w:bottom w:val="nil"/>
              <w:right w:val="nil"/>
            </w:tcBorders>
            <w:tcMar>
              <w:top w:w="-1" w:type="dxa"/>
              <w:left w:w="-1" w:type="dxa"/>
              <w:bottom w:w="-1" w:type="dxa"/>
              <w:right w:w="-1" w:type="dxa"/>
            </w:tcMar>
            <w:vAlign w:val="center"/>
          </w:tcPr>
          <w:p w14:paraId="38127094">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2025年05月27日</w:t>
            </w:r>
          </w:p>
        </w:tc>
        <w:tc>
          <w:tcPr>
            <w:tcW w:w="1134" w:type="dxa"/>
            <w:tcBorders>
              <w:top w:val="nil"/>
              <w:left w:val="nil"/>
              <w:bottom w:val="nil"/>
              <w:right w:val="nil"/>
            </w:tcBorders>
            <w:tcMar>
              <w:top w:w="-1" w:type="dxa"/>
              <w:left w:w="-1" w:type="dxa"/>
              <w:bottom w:w="-1" w:type="dxa"/>
              <w:right w:w="-1" w:type="dxa"/>
            </w:tcMar>
            <w:vAlign w:val="center"/>
          </w:tcPr>
          <w:p w14:paraId="38127095">
            <w:pPr>
              <w:keepNext/>
              <w:snapToGrid w:val="0"/>
              <w:jc w:val="center"/>
              <w:rPr>
                <w:rFonts w:ascii="Times New Roman" w:hAnsi="Times New Roman" w:eastAsia="仿宋_GB2312"/>
                <w:sz w:val="24"/>
                <w:szCs w:val="21"/>
              </w:rPr>
            </w:pPr>
            <w:r>
              <w:rPr>
                <w:rFonts w:ascii="Times New Roman" w:hAnsi="Times New Roman" w:eastAsia="仿宋_GB2312"/>
                <w:sz w:val="24"/>
                <w:szCs w:val="21"/>
              </w:rPr>
              <w:t>浙江大学</w:t>
            </w:r>
          </w:p>
        </w:tc>
        <w:tc>
          <w:tcPr>
            <w:tcW w:w="1692" w:type="dxa"/>
            <w:tcBorders>
              <w:top w:val="nil"/>
              <w:left w:val="nil"/>
              <w:bottom w:val="nil"/>
              <w:right w:val="nil"/>
            </w:tcBorders>
            <w:tcMar>
              <w:top w:w="-1" w:type="dxa"/>
              <w:left w:w="-1" w:type="dxa"/>
              <w:bottom w:w="-1" w:type="dxa"/>
              <w:right w:w="-1" w:type="dxa"/>
            </w:tcMar>
            <w:vAlign w:val="center"/>
          </w:tcPr>
          <w:p w14:paraId="38127096">
            <w:pPr>
              <w:keepNext/>
              <w:snapToGrid w:val="0"/>
              <w:jc w:val="left"/>
              <w:rPr>
                <w:rFonts w:ascii="Times New Roman" w:hAnsi="Times New Roman" w:eastAsia="仿宋_GB2312"/>
                <w:sz w:val="24"/>
                <w:szCs w:val="21"/>
              </w:rPr>
            </w:pPr>
            <w:r>
              <w:rPr>
                <w:rFonts w:ascii="Times New Roman" w:hAnsi="Times New Roman" w:eastAsia="仿宋_GB2312"/>
                <w:sz w:val="24"/>
                <w:szCs w:val="21"/>
              </w:rPr>
              <w:t>王磊、刘振业、赵星磊、夏岩、黄钢、宋振昊、严建华</w:t>
            </w:r>
          </w:p>
        </w:tc>
      </w:tr>
      <w:bookmarkEnd w:id="21"/>
      <w:tr w14:paraId="3812709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537" w:type="dxa"/>
            <w:tcBorders>
              <w:top w:val="nil"/>
              <w:left w:val="nil"/>
              <w:bottom w:val="single" w:color="auto" w:sz="12" w:space="0"/>
              <w:right w:val="nil"/>
            </w:tcBorders>
            <w:tcMar>
              <w:top w:w="-1" w:type="dxa"/>
              <w:left w:w="-1" w:type="dxa"/>
              <w:bottom w:w="-1" w:type="dxa"/>
              <w:right w:w="-1" w:type="dxa"/>
            </w:tcMar>
            <w:vAlign w:val="center"/>
          </w:tcPr>
          <w:p w14:paraId="38127098">
            <w:pPr>
              <w:keepNext/>
              <w:snapToGrid w:val="0"/>
              <w:jc w:val="center"/>
              <w:rPr>
                <w:rFonts w:ascii="Times New Roman" w:hAnsi="Times New Roman" w:eastAsia="仿宋_GB2312"/>
                <w:sz w:val="24"/>
                <w:szCs w:val="21"/>
              </w:rPr>
            </w:pPr>
            <w:r>
              <w:rPr>
                <w:rFonts w:ascii="Times New Roman" w:hAnsi="Times New Roman" w:eastAsia="仿宋_GB2312"/>
                <w:sz w:val="24"/>
                <w:szCs w:val="21"/>
              </w:rPr>
              <w:t>发明专利</w:t>
            </w:r>
          </w:p>
        </w:tc>
        <w:tc>
          <w:tcPr>
            <w:tcW w:w="1526" w:type="dxa"/>
            <w:tcBorders>
              <w:top w:val="nil"/>
              <w:left w:val="nil"/>
              <w:bottom w:val="single" w:color="auto" w:sz="12" w:space="0"/>
              <w:right w:val="nil"/>
            </w:tcBorders>
            <w:tcMar>
              <w:top w:w="-1" w:type="dxa"/>
              <w:left w:w="-1" w:type="dxa"/>
              <w:bottom w:w="-1" w:type="dxa"/>
              <w:right w:w="-1" w:type="dxa"/>
            </w:tcMar>
            <w:vAlign w:val="center"/>
          </w:tcPr>
          <w:p w14:paraId="38127099">
            <w:pPr>
              <w:keepNext/>
              <w:snapToGrid w:val="0"/>
              <w:jc w:val="center"/>
              <w:rPr>
                <w:rFonts w:ascii="Times New Roman" w:hAnsi="Times New Roman" w:eastAsia="仿宋_GB2312"/>
                <w:sz w:val="24"/>
                <w:szCs w:val="21"/>
              </w:rPr>
            </w:pPr>
            <w:r>
              <w:rPr>
                <w:rFonts w:ascii="Times New Roman" w:hAnsi="Times New Roman" w:eastAsia="仿宋_GB2312"/>
                <w:sz w:val="24"/>
                <w:szCs w:val="21"/>
              </w:rPr>
              <w:t>一种协同回收生活垃圾焚烧飞灰与污泥焚烧灰的人造骨料及制备方法</w:t>
            </w:r>
          </w:p>
        </w:tc>
        <w:tc>
          <w:tcPr>
            <w:tcW w:w="1017" w:type="dxa"/>
            <w:tcBorders>
              <w:top w:val="nil"/>
              <w:left w:val="nil"/>
              <w:bottom w:val="single" w:color="auto" w:sz="12" w:space="0"/>
              <w:right w:val="nil"/>
            </w:tcBorders>
            <w:tcMar>
              <w:top w:w="-1" w:type="dxa"/>
              <w:left w:w="-1" w:type="dxa"/>
              <w:bottom w:w="-1" w:type="dxa"/>
              <w:right w:w="-1" w:type="dxa"/>
            </w:tcMar>
            <w:vAlign w:val="center"/>
          </w:tcPr>
          <w:p w14:paraId="3812709A">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中国</w:t>
            </w:r>
          </w:p>
        </w:tc>
        <w:tc>
          <w:tcPr>
            <w:tcW w:w="1403" w:type="dxa"/>
            <w:tcBorders>
              <w:top w:val="nil"/>
              <w:left w:val="nil"/>
              <w:bottom w:val="single" w:color="auto" w:sz="12" w:space="0"/>
              <w:right w:val="nil"/>
            </w:tcBorders>
            <w:tcMar>
              <w:top w:w="-1" w:type="dxa"/>
              <w:left w:w="-1" w:type="dxa"/>
              <w:bottom w:w="-1" w:type="dxa"/>
              <w:right w:w="-1" w:type="dxa"/>
            </w:tcMar>
            <w:vAlign w:val="center"/>
          </w:tcPr>
          <w:p w14:paraId="3812709B">
            <w:pPr>
              <w:keepNext/>
              <w:snapToGrid w:val="0"/>
              <w:jc w:val="center"/>
              <w:rPr>
                <w:rFonts w:ascii="Times New Roman" w:hAnsi="Times New Roman" w:eastAsia="仿宋_GB2312"/>
                <w:sz w:val="24"/>
                <w:szCs w:val="21"/>
              </w:rPr>
            </w:pPr>
            <w:r>
              <w:rPr>
                <w:rFonts w:ascii="Times New Roman" w:hAnsi="Times New Roman" w:eastAsia="仿宋_GB2312"/>
                <w:sz w:val="24"/>
                <w:szCs w:val="21"/>
              </w:rPr>
              <w:t>ZL20241</w:t>
            </w:r>
            <w:r>
              <w:rPr>
                <w:rFonts w:hint="eastAsia" w:ascii="Times New Roman" w:hAnsi="Times New Roman" w:eastAsia="仿宋_GB2312"/>
                <w:sz w:val="24"/>
                <w:szCs w:val="21"/>
              </w:rPr>
              <w:t>0025905.8</w:t>
            </w:r>
          </w:p>
        </w:tc>
        <w:tc>
          <w:tcPr>
            <w:tcW w:w="1747" w:type="dxa"/>
            <w:tcBorders>
              <w:top w:val="nil"/>
              <w:left w:val="nil"/>
              <w:bottom w:val="single" w:color="auto" w:sz="12" w:space="0"/>
              <w:right w:val="nil"/>
            </w:tcBorders>
            <w:tcMar>
              <w:top w:w="-1" w:type="dxa"/>
              <w:left w:w="-1" w:type="dxa"/>
              <w:bottom w:w="-1" w:type="dxa"/>
              <w:right w:w="-1" w:type="dxa"/>
            </w:tcMar>
            <w:vAlign w:val="center"/>
          </w:tcPr>
          <w:p w14:paraId="3812709C">
            <w:pPr>
              <w:keepNext/>
              <w:snapToGrid w:val="0"/>
              <w:jc w:val="center"/>
              <w:rPr>
                <w:rFonts w:ascii="Times New Roman" w:hAnsi="Times New Roman" w:eastAsia="仿宋_GB2312"/>
                <w:sz w:val="24"/>
                <w:szCs w:val="21"/>
              </w:rPr>
            </w:pPr>
            <w:r>
              <w:rPr>
                <w:rFonts w:hint="eastAsia" w:ascii="Times New Roman" w:hAnsi="Times New Roman" w:eastAsia="仿宋_GB2312"/>
                <w:sz w:val="24"/>
                <w:szCs w:val="21"/>
              </w:rPr>
              <w:t>2024年07月26日</w:t>
            </w:r>
          </w:p>
        </w:tc>
        <w:tc>
          <w:tcPr>
            <w:tcW w:w="1134" w:type="dxa"/>
            <w:tcBorders>
              <w:top w:val="nil"/>
              <w:left w:val="nil"/>
              <w:bottom w:val="single" w:color="auto" w:sz="12" w:space="0"/>
              <w:right w:val="nil"/>
            </w:tcBorders>
            <w:tcMar>
              <w:top w:w="-1" w:type="dxa"/>
              <w:left w:w="-1" w:type="dxa"/>
              <w:bottom w:w="-1" w:type="dxa"/>
              <w:right w:w="-1" w:type="dxa"/>
            </w:tcMar>
            <w:vAlign w:val="center"/>
          </w:tcPr>
          <w:p w14:paraId="3812709D">
            <w:pPr>
              <w:keepNext/>
              <w:snapToGrid w:val="0"/>
              <w:jc w:val="center"/>
              <w:rPr>
                <w:rFonts w:ascii="Times New Roman" w:hAnsi="Times New Roman" w:eastAsia="仿宋_GB2312"/>
                <w:sz w:val="24"/>
                <w:szCs w:val="21"/>
              </w:rPr>
            </w:pPr>
            <w:r>
              <w:rPr>
                <w:rFonts w:ascii="Times New Roman" w:hAnsi="Times New Roman" w:eastAsia="仿宋_GB2312"/>
                <w:sz w:val="24"/>
                <w:szCs w:val="21"/>
              </w:rPr>
              <w:t>浙江大学</w:t>
            </w:r>
          </w:p>
        </w:tc>
        <w:tc>
          <w:tcPr>
            <w:tcW w:w="1692" w:type="dxa"/>
            <w:tcBorders>
              <w:top w:val="nil"/>
              <w:left w:val="nil"/>
              <w:bottom w:val="single" w:color="auto" w:sz="12" w:space="0"/>
              <w:right w:val="nil"/>
            </w:tcBorders>
            <w:tcMar>
              <w:top w:w="-1" w:type="dxa"/>
              <w:left w:w="-1" w:type="dxa"/>
              <w:bottom w:w="-1" w:type="dxa"/>
              <w:right w:w="-1" w:type="dxa"/>
            </w:tcMar>
            <w:vAlign w:val="center"/>
          </w:tcPr>
          <w:p w14:paraId="3812709E">
            <w:pPr>
              <w:keepNext/>
              <w:snapToGrid w:val="0"/>
              <w:jc w:val="left"/>
              <w:rPr>
                <w:rFonts w:ascii="Times New Roman" w:hAnsi="Times New Roman" w:eastAsia="仿宋_GB2312"/>
                <w:sz w:val="24"/>
                <w:szCs w:val="21"/>
              </w:rPr>
            </w:pPr>
            <w:r>
              <w:rPr>
                <w:rFonts w:ascii="Times New Roman" w:hAnsi="Times New Roman" w:eastAsia="仿宋_GB2312"/>
                <w:sz w:val="24"/>
                <w:szCs w:val="21"/>
              </w:rPr>
              <w:t>王磊、宋振昊、夏岩、严建华</w:t>
            </w:r>
          </w:p>
        </w:tc>
      </w:tr>
    </w:tbl>
    <w:p w14:paraId="381270A0">
      <w:pPr>
        <w:rPr>
          <w:rFonts w:hint="eastAsia" w:ascii="宋体" w:hAnsi="宋体" w:eastAsia="宋体" w:cs="方正仿宋_GB18030"/>
          <w:sz w:val="24"/>
        </w:rPr>
      </w:pPr>
    </w:p>
    <w:p w14:paraId="381270A1">
      <w:pPr>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六、专利名称</w:t>
      </w:r>
    </w:p>
    <w:p w14:paraId="381270A2">
      <w:pPr>
        <w:keepNext/>
        <w:adjustRightInd w:val="0"/>
        <w:snapToGrid w:val="0"/>
        <w:spacing w:line="300" w:lineRule="auto"/>
        <w:rPr>
          <w:rFonts w:ascii="Times New Roman" w:hAnsi="Times New Roman" w:eastAsia="仿宋_GB2312"/>
          <w:sz w:val="24"/>
          <w:szCs w:val="21"/>
        </w:rPr>
      </w:pPr>
      <w:r>
        <w:rPr>
          <w:rFonts w:hint="eastAsia" w:ascii="Times New Roman" w:hAnsi="Times New Roman" w:eastAsia="仿宋_GB2312"/>
          <w:color w:val="000000" w:themeColor="text1"/>
          <w:sz w:val="24"/>
          <w14:textFill>
            <w14:solidFill>
              <w14:schemeClr w14:val="tx1"/>
            </w14:solidFill>
          </w14:textFill>
        </w:rPr>
        <w:t>专利1</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题目： </w:t>
      </w:r>
      <w:r>
        <w:rPr>
          <w:rFonts w:ascii="Times New Roman" w:hAnsi="Times New Roman" w:eastAsia="仿宋_GB2312"/>
          <w:sz w:val="24"/>
          <w:szCs w:val="21"/>
        </w:rPr>
        <w:t>一种飞灰中重金属及二噁英的低温处理系统和方法</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专利号： </w:t>
      </w:r>
      <w:r>
        <w:rPr>
          <w:rFonts w:ascii="Times New Roman" w:hAnsi="Times New Roman" w:eastAsia="仿宋_GB2312"/>
          <w:sz w:val="24"/>
          <w:szCs w:val="21"/>
        </w:rPr>
        <w:t>202210667099.5</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发表时间： </w:t>
      </w:r>
      <w:r>
        <w:rPr>
          <w:rFonts w:ascii="Times New Roman" w:hAnsi="Times New Roman" w:eastAsia="仿宋_GB2312"/>
          <w:sz w:val="24"/>
          <w:szCs w:val="21"/>
        </w:rPr>
        <w:t>2023年03月24日</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作者： </w:t>
      </w:r>
      <w:r>
        <w:rPr>
          <w:rFonts w:ascii="Times New Roman" w:hAnsi="Times New Roman" w:eastAsia="仿宋_GB2312"/>
          <w:sz w:val="24"/>
          <w:szCs w:val="21"/>
        </w:rPr>
        <w:t>彭亚旗、陆胜勇、张成博、王帅、金立正、丁佳敏、李晓东、严建华</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专利内容： 本发明公开了一种飞灰中重金属及二噁英 的低温处理系统和方法，通过将飞灰三级水洗后利用板框式压滤机进行压滤分离，得到经过三级水洗后的飞灰，在搅拌反应釜中通过添加添加剂组合进行低温热处理。本发明通过三级水洗可以有效去除飞灰中的氯盐，避免了在低温热解处理中飞灰中的前驱物氯化形成二噁英，从而提高了飞灰中二噁英的热降效率，再者飞灰中氯含量的降低还能避免添加剂失活，提高重金属的固化效果；通过本系统的处理飞灰中可溶性氯、重金属及二噁英均达到《生活垃圾焚烧飞灰污染控制技 术规范》的要求。</w:t>
      </w:r>
    </w:p>
    <w:p w14:paraId="381270A3">
      <w:pPr>
        <w:widowControl/>
        <w:jc w:val="left"/>
        <w:rPr>
          <w:rFonts w:ascii="Times New Roman" w:hAnsi="Times New Roman" w:eastAsia="仿宋_GB2312"/>
          <w:color w:val="000000" w:themeColor="text1"/>
          <w:sz w:val="24"/>
          <w14:textFill>
            <w14:solidFill>
              <w14:schemeClr w14:val="tx1"/>
            </w14:solidFill>
          </w14:textFill>
        </w:rPr>
      </w:pPr>
    </w:p>
    <w:p w14:paraId="381270A4">
      <w:pPr>
        <w:keepNext/>
        <w:adjustRightInd w:val="0"/>
        <w:snapToGrid w:val="0"/>
        <w:spacing w:line="300" w:lineRule="auto"/>
        <w:rPr>
          <w:rFonts w:ascii="Times New Roman" w:hAnsi="Times New Roman" w:eastAsia="仿宋_GB2312"/>
          <w:sz w:val="24"/>
          <w:szCs w:val="21"/>
        </w:rPr>
      </w:pPr>
      <w:r>
        <w:rPr>
          <w:rFonts w:hint="eastAsia" w:ascii="Times New Roman" w:hAnsi="Times New Roman" w:eastAsia="仿宋_GB2312"/>
          <w:color w:val="000000" w:themeColor="text1"/>
          <w:sz w:val="24"/>
          <w14:textFill>
            <w14:solidFill>
              <w14:schemeClr w14:val="tx1"/>
            </w14:solidFill>
          </w14:textFill>
        </w:rPr>
        <w:t>专利2</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题目： </w:t>
      </w:r>
      <w:r>
        <w:rPr>
          <w:rFonts w:ascii="Times New Roman" w:hAnsi="Times New Roman" w:eastAsia="仿宋_GB2312"/>
          <w:sz w:val="24"/>
          <w:szCs w:val="21"/>
        </w:rPr>
        <w:t>一种垃圾焚烧飞灰中二噁英的低温降解装置和方法</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专利号： </w:t>
      </w:r>
      <w:r>
        <w:rPr>
          <w:rFonts w:ascii="Times New Roman" w:hAnsi="Times New Roman" w:eastAsia="仿宋_GB2312"/>
          <w:sz w:val="24"/>
          <w:szCs w:val="21"/>
        </w:rPr>
        <w:t>202111138209.0</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发表时间： </w:t>
      </w:r>
      <w:r>
        <w:rPr>
          <w:rFonts w:ascii="Times New Roman" w:hAnsi="Times New Roman" w:eastAsia="仿宋_GB2312"/>
          <w:sz w:val="24"/>
          <w:szCs w:val="21"/>
        </w:rPr>
        <w:t>2023年09月29日</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作者： </w:t>
      </w:r>
      <w:r>
        <w:rPr>
          <w:rFonts w:ascii="Times New Roman" w:hAnsi="Times New Roman" w:eastAsia="仿宋_GB2312"/>
          <w:sz w:val="24"/>
          <w:szCs w:val="21"/>
        </w:rPr>
        <w:t>赵星磊、陆胜勇、彭亚旗、张成博、李晓东、丁佳敏、李斌、陆懿铭</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专利内容：</w:t>
      </w:r>
      <w:r>
        <w:rPr>
          <w:rFonts w:hint="eastAsia" w:ascii="Times New Roman" w:hAnsi="Times New Roman" w:eastAsia="仿宋_GB2312"/>
          <w:color w:val="000000" w:themeColor="text1"/>
          <w:sz w:val="24"/>
          <w14:textFill>
            <w14:solidFill>
              <w14:schemeClr w14:val="tx1"/>
            </w14:solidFill>
          </w14:textFill>
        </w:rPr>
        <w:t>本发明公开了一种垃圾焚烧飞灰中二噁英的低温降解装置，垃圾焚烧飞灰二噁英处理领域。所述低温降解装置包括第一加热炉和第二加热炉，分别对飞灰进行第一热解和第二热解，并用所述第二热解的温度高于所述第一热解的温度。该装置结构简单，仅包括两级加热炉，且两级加热炉上下结构布置使得热量充分利用，成本低。本发明的垃圾焚烧飞灰中二噁英的低温降解方法，采用两级加热炉，既能保证飞灰固相中二噁英的降解，又能使气相脱附的二噁英及有机污染物气体在第二级螺旋加热炉中充分降解，效率高且操作简单，具有较高的经济性。</w:t>
      </w:r>
    </w:p>
    <w:p w14:paraId="381270A5">
      <w:pPr>
        <w:widowControl/>
        <w:jc w:val="left"/>
        <w:rPr>
          <w:rFonts w:ascii="Times New Roman" w:hAnsi="Times New Roman" w:eastAsia="仿宋_GB2312"/>
          <w:color w:val="000000" w:themeColor="text1"/>
          <w:sz w:val="24"/>
          <w14:textFill>
            <w14:solidFill>
              <w14:schemeClr w14:val="tx1"/>
            </w14:solidFill>
          </w14:textFill>
        </w:rPr>
      </w:pPr>
    </w:p>
    <w:p w14:paraId="381270A6">
      <w:pPr>
        <w:keepNext/>
        <w:adjustRightInd w:val="0"/>
        <w:snapToGrid w:val="0"/>
        <w:spacing w:line="300" w:lineRule="auto"/>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专利3</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题目： </w:t>
      </w:r>
      <w:r>
        <w:rPr>
          <w:rFonts w:hint="eastAsia" w:ascii="Times New Roman" w:hAnsi="Times New Roman" w:eastAsia="仿宋_GB2312"/>
          <w:sz w:val="24"/>
          <w:szCs w:val="21"/>
        </w:rPr>
        <w:t>一种垃圾焚烧烟气净化联合飞灰脱盐的系统和方法</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专利号： </w:t>
      </w:r>
      <w:r>
        <w:rPr>
          <w:rFonts w:hint="eastAsia" w:ascii="Times New Roman" w:hAnsi="Times New Roman" w:eastAsia="仿宋_GB2312"/>
          <w:sz w:val="24"/>
          <w:szCs w:val="21"/>
        </w:rPr>
        <w:t>202110839075.9</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发表时间： </w:t>
      </w:r>
      <w:r>
        <w:rPr>
          <w:rFonts w:hint="eastAsia" w:ascii="Times New Roman" w:hAnsi="Times New Roman" w:eastAsia="仿宋_GB2312"/>
          <w:sz w:val="24"/>
          <w:szCs w:val="21"/>
        </w:rPr>
        <w:t>2022年08月19日</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作者： </w:t>
      </w:r>
      <w:r>
        <w:rPr>
          <w:rFonts w:hint="eastAsia" w:ascii="Times New Roman" w:hAnsi="Times New Roman" w:eastAsia="仿宋_GB2312"/>
          <w:sz w:val="24"/>
          <w:szCs w:val="21"/>
        </w:rPr>
        <w:t>汤明慧</w:t>
      </w:r>
      <w:r>
        <w:rPr>
          <w:rFonts w:ascii="Times New Roman" w:hAnsi="Times New Roman" w:eastAsia="仿宋_GB2312"/>
          <w:sz w:val="24"/>
          <w:szCs w:val="21"/>
        </w:rPr>
        <w:t>、陆胜勇、张成博、彭亚旗、李晓东、严建华</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专利内容：</w:t>
      </w:r>
      <w:r>
        <w:rPr>
          <w:rFonts w:hint="eastAsia" w:ascii="Times New Roman" w:hAnsi="Times New Roman" w:eastAsia="仿宋_GB2312"/>
          <w:color w:val="000000" w:themeColor="text1"/>
          <w:sz w:val="24"/>
          <w14:textFill>
            <w14:solidFill>
              <w14:schemeClr w14:val="tx1"/>
            </w14:solidFill>
          </w14:textFill>
        </w:rPr>
        <w:t>本发明公开了一种垃圾焚烧烟气净化联合飞灰脱盐的系统和方法，属于环保技术领域。本发明的系统包括飞灰水洗系统和联合制碱系统两部分；飞灰首先经过飞灰水洗系统进行水洗，然后进行固液分离，对水洗处理后的高盐废水回收利用，并与电厂氨气和电厂烟气经过联合制碱系统，制备NaHCO</w:t>
      </w:r>
      <w:r>
        <w:rPr>
          <w:rFonts w:hint="eastAsia" w:ascii="Times New Roman" w:hAnsi="Times New Roman" w:eastAsia="仿宋_GB2312"/>
          <w:color w:val="000000" w:themeColor="text1"/>
          <w:sz w:val="24"/>
          <w:vertAlign w:val="subscript"/>
          <w14:textFill>
            <w14:solidFill>
              <w14:schemeClr w14:val="tx1"/>
            </w14:solidFill>
          </w14:textFill>
        </w:rPr>
        <w:t>3</w:t>
      </w:r>
      <w:r>
        <w:rPr>
          <w:rFonts w:hint="eastAsia" w:ascii="Times New Roman" w:hAnsi="Times New Roman" w:eastAsia="仿宋_GB2312"/>
          <w:color w:val="000000" w:themeColor="text1"/>
          <w:sz w:val="24"/>
          <w14:textFill>
            <w14:solidFill>
              <w14:schemeClr w14:val="tx1"/>
            </w14:solidFill>
          </w14:textFill>
        </w:rPr>
        <w:t>及副产物NH</w:t>
      </w:r>
      <w:r>
        <w:rPr>
          <w:rFonts w:hint="eastAsia" w:ascii="Times New Roman" w:hAnsi="Times New Roman" w:eastAsia="仿宋_GB2312"/>
          <w:color w:val="000000" w:themeColor="text1"/>
          <w:sz w:val="24"/>
          <w:vertAlign w:val="subscript"/>
          <w14:textFill>
            <w14:solidFill>
              <w14:schemeClr w14:val="tx1"/>
            </w14:solidFill>
          </w14:textFill>
        </w:rPr>
        <w:t>4</w:t>
      </w:r>
      <w:r>
        <w:rPr>
          <w:rFonts w:hint="eastAsia" w:ascii="Times New Roman" w:hAnsi="Times New Roman" w:eastAsia="仿宋_GB2312"/>
          <w:color w:val="000000" w:themeColor="text1"/>
          <w:sz w:val="24"/>
          <w14:textFill>
            <w14:solidFill>
              <w14:schemeClr w14:val="tx1"/>
            </w14:solidFill>
          </w14:textFill>
        </w:rPr>
        <w:t>Cl，降低了垃圾焚烧烟气净化的高额成本，产生了非常大的经济效益，并且减少了温室气体的排放。</w:t>
      </w:r>
    </w:p>
    <w:p w14:paraId="381270A7">
      <w:pPr>
        <w:widowControl/>
        <w:jc w:val="left"/>
        <w:rPr>
          <w:rFonts w:ascii="Times New Roman" w:hAnsi="Times New Roman" w:eastAsia="仿宋_GB2312"/>
          <w:color w:val="000000" w:themeColor="text1"/>
          <w:sz w:val="24"/>
          <w14:textFill>
            <w14:solidFill>
              <w14:schemeClr w14:val="tx1"/>
            </w14:solidFill>
          </w14:textFill>
        </w:rPr>
      </w:pPr>
    </w:p>
    <w:p w14:paraId="381270A8">
      <w:pPr>
        <w:keepNext/>
        <w:adjustRightInd w:val="0"/>
        <w:snapToGrid w:val="0"/>
        <w:spacing w:line="300" w:lineRule="auto"/>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专利4</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题目：</w:t>
      </w:r>
      <w:r>
        <w:rPr>
          <w:rFonts w:ascii="Times New Roman" w:hAnsi="Times New Roman" w:eastAsia="仿宋_GB2312"/>
          <w:sz w:val="24"/>
          <w:szCs w:val="21"/>
        </w:rPr>
        <w:t>一种垃圾焚烧飞灰解毒处理工艺</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专利号：</w:t>
      </w:r>
      <w:r>
        <w:rPr>
          <w:rFonts w:ascii="Times New Roman" w:hAnsi="Times New Roman" w:eastAsia="仿宋_GB2312"/>
          <w:sz w:val="24"/>
          <w:szCs w:val="21"/>
        </w:rPr>
        <w:t>202410589432.4</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发表时间：</w:t>
      </w:r>
      <w:r>
        <w:rPr>
          <w:rFonts w:ascii="Times New Roman" w:hAnsi="Times New Roman" w:eastAsia="仿宋_GB2312"/>
          <w:sz w:val="24"/>
          <w:szCs w:val="21"/>
        </w:rPr>
        <w:t>2024年</w:t>
      </w:r>
      <w:r>
        <w:rPr>
          <w:rFonts w:hint="eastAsia" w:ascii="Times New Roman" w:hAnsi="Times New Roman" w:eastAsia="仿宋_GB2312"/>
          <w:sz w:val="24"/>
          <w:szCs w:val="21"/>
          <w:lang w:val="en-US" w:eastAsia="zh-CN"/>
        </w:rPr>
        <w:t>11</w:t>
      </w:r>
      <w:r>
        <w:rPr>
          <w:rFonts w:ascii="Times New Roman" w:hAnsi="Times New Roman" w:eastAsia="仿宋_GB2312"/>
          <w:sz w:val="24"/>
          <w:szCs w:val="21"/>
        </w:rPr>
        <w:t>月</w:t>
      </w:r>
      <w:r>
        <w:rPr>
          <w:rFonts w:hint="eastAsia" w:ascii="Times New Roman" w:hAnsi="Times New Roman" w:eastAsia="仿宋_GB2312"/>
          <w:sz w:val="24"/>
          <w:szCs w:val="21"/>
          <w:lang w:val="en-US" w:eastAsia="zh-CN"/>
        </w:rPr>
        <w:t>01</w:t>
      </w:r>
      <w:r>
        <w:rPr>
          <w:rFonts w:ascii="Times New Roman" w:hAnsi="Times New Roman" w:eastAsia="仿宋_GB2312"/>
          <w:sz w:val="24"/>
          <w:szCs w:val="21"/>
        </w:rPr>
        <w:t>日</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作者：赵科铭</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朱占恒</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赵玉皓</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邵丁磊</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唐益敏</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highlight w:val="none"/>
          <w14:textFill>
            <w14:solidFill>
              <w14:schemeClr w14:val="tx1"/>
            </w14:solidFill>
          </w14:textFill>
        </w:rPr>
        <w:t>专利内容：</w:t>
      </w:r>
      <w:r>
        <w:rPr>
          <w:rFonts w:hint="eastAsia" w:ascii="Times New Roman" w:hAnsi="Times New Roman" w:eastAsia="仿宋_GB2312"/>
          <w:color w:val="000000" w:themeColor="text1"/>
          <w:sz w:val="24"/>
          <w:highlight w:val="none"/>
          <w14:textFill>
            <w14:solidFill>
              <w14:schemeClr w14:val="tx1"/>
            </w14:solidFill>
          </w14:textFill>
        </w:rPr>
        <w:t>本发明涉及一种垃圾焚烧飞灰解毒处理工艺，包括：对垃圾焚烧飞灰进行低温热分解去除二噁英，得到低温热分解后飞灰；将低温热分解后飞灰通过多级、变pH、常压变温浸洗，将飞灰中的重金属和可溶性盐去除，利用浸洗过程中的氯盐促进飞灰中的晶体形状重结晶，得到低碳胶凝材料和固液分离清液；一级水洗、二级浸洗通过固液分离后的清液混合精制后进入除重金属系统，通过添加药剂和精制工序将重金属离子沉淀和烘干后得到重金属硫化物污泥和中水，中水进入废水零排放系统，完成整个工艺处理；其中，低温热分解的余热用于重金属硫化物污泥的烘干。本发明有效去除垃圾焚烧飞灰的杂质及有害成分，提取有价值的成分，便于后续解毒后飞灰的资源化处置。</w:t>
      </w:r>
    </w:p>
    <w:p w14:paraId="381270A9">
      <w:pPr>
        <w:widowControl/>
        <w:jc w:val="left"/>
        <w:rPr>
          <w:rFonts w:ascii="Times New Roman" w:hAnsi="Times New Roman" w:eastAsia="仿宋_GB2312"/>
          <w:color w:val="000000" w:themeColor="text1"/>
          <w:sz w:val="24"/>
          <w14:textFill>
            <w14:solidFill>
              <w14:schemeClr w14:val="tx1"/>
            </w14:solidFill>
          </w14:textFill>
        </w:rPr>
      </w:pPr>
    </w:p>
    <w:p w14:paraId="381270AA">
      <w:pPr>
        <w:keepNext/>
        <w:adjustRightInd w:val="0"/>
        <w:snapToGrid w:val="0"/>
        <w:spacing w:line="300" w:lineRule="auto"/>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专利5</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题目： </w:t>
      </w:r>
      <w:r>
        <w:rPr>
          <w:rFonts w:ascii="Times New Roman" w:hAnsi="Times New Roman" w:eastAsia="仿宋_GB2312"/>
          <w:sz w:val="24"/>
          <w:szCs w:val="21"/>
        </w:rPr>
        <w:t>一种基于垃圾焚烧飞灰的沸石及其制备方法和应用</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专利号：</w:t>
      </w:r>
      <w:r>
        <w:rPr>
          <w:rFonts w:ascii="Times New Roman" w:hAnsi="Times New Roman" w:eastAsia="仿宋_GB2312"/>
          <w:sz w:val="24"/>
          <w:szCs w:val="21"/>
        </w:rPr>
        <w:t>202410846702.5</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发表时间： </w:t>
      </w:r>
      <w:r>
        <w:rPr>
          <w:rFonts w:ascii="Times New Roman" w:hAnsi="Times New Roman" w:eastAsia="仿宋_GB2312"/>
          <w:sz w:val="24"/>
          <w:szCs w:val="21"/>
        </w:rPr>
        <w:t>2025年06月17日</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作者： </w:t>
      </w:r>
      <w:r>
        <w:rPr>
          <w:rFonts w:ascii="Times New Roman" w:hAnsi="Times New Roman" w:eastAsia="仿宋_GB2312"/>
          <w:sz w:val="24"/>
          <w:szCs w:val="21"/>
        </w:rPr>
        <w:t>彭亚旗、潘恒盛、陆胜勇、丁佳敏、孔维超、李海龙、严建华</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专利内容：</w:t>
      </w:r>
      <w:r>
        <w:rPr>
          <w:rFonts w:hint="eastAsia" w:ascii="Times New Roman" w:hAnsi="Times New Roman" w:eastAsia="仿宋_GB2312"/>
          <w:color w:val="000000" w:themeColor="text1"/>
          <w:sz w:val="24"/>
          <w14:textFill>
            <w14:solidFill>
              <w14:schemeClr w14:val="tx1"/>
            </w14:solidFill>
          </w14:textFill>
        </w:rPr>
        <w:t>本发明公开了一种基于垃圾焚烧飞灰的沸石的制备方法，包括如下步骤：将垃圾焚烧飞灰进行酸洗除杂后再水洗；水洗烘干的垃圾焚烧飞灰中加入FeCl</w:t>
      </w:r>
      <w:r>
        <w:rPr>
          <w:rFonts w:hint="eastAsia" w:ascii="Times New Roman" w:hAnsi="Times New Roman" w:eastAsia="仿宋_GB2312"/>
          <w:color w:val="000000" w:themeColor="text1"/>
          <w:sz w:val="24"/>
          <w:vertAlign w:val="subscript"/>
          <w14:textFill>
            <w14:solidFill>
              <w14:schemeClr w14:val="tx1"/>
            </w14:solidFill>
          </w14:textFill>
        </w:rPr>
        <w:t>3</w:t>
      </w:r>
      <w:r>
        <w:rPr>
          <w:rFonts w:hint="eastAsia" w:ascii="Times New Roman" w:hAnsi="Times New Roman" w:eastAsia="仿宋_GB2312"/>
          <w:color w:val="000000" w:themeColor="text1"/>
          <w:sz w:val="24"/>
          <w14:textFill>
            <w14:solidFill>
              <w14:schemeClr w14:val="tx1"/>
            </w14:solidFill>
          </w14:textFill>
        </w:rPr>
        <w:t>与FeSO</w:t>
      </w:r>
      <w:r>
        <w:rPr>
          <w:rFonts w:hint="eastAsia" w:ascii="Times New Roman" w:hAnsi="Times New Roman" w:eastAsia="仿宋_GB2312"/>
          <w:color w:val="000000" w:themeColor="text1"/>
          <w:sz w:val="24"/>
          <w:vertAlign w:val="subscript"/>
          <w14:textFill>
            <w14:solidFill>
              <w14:schemeClr w14:val="tx1"/>
            </w14:solidFill>
          </w14:textFill>
        </w:rPr>
        <w:t>4</w:t>
      </w:r>
      <w:r>
        <w:rPr>
          <w:rFonts w:hint="eastAsia" w:ascii="Times New Roman" w:hAnsi="Times New Roman" w:eastAsia="仿宋_GB2312"/>
          <w:color w:val="000000" w:themeColor="text1"/>
          <w:sz w:val="24"/>
          <w14:textFill>
            <w14:solidFill>
              <w14:schemeClr w14:val="tx1"/>
            </w14:solidFill>
          </w14:textFill>
        </w:rPr>
        <w:t>的混合物，与碱液混合后和磨球一同放进球磨罐中进行机械化学反应，球磨的同时对反应物料加热，制备得到沸石；混合物中</w:t>
      </w:r>
      <w:r>
        <w:rPr>
          <w:rFonts w:ascii="Times New Roman" w:hAnsi="Times New Roman" w:eastAsia="仿宋_GB2312"/>
          <w:color w:val="000000" w:themeColor="text1"/>
          <w:sz w:val="24"/>
          <w14:textFill>
            <w14:solidFill>
              <w14:schemeClr w14:val="tx1"/>
            </w14:solidFill>
          </w14:textFill>
        </w:rPr>
        <w:t>FeSO</w:t>
      </w:r>
      <w:r>
        <w:rPr>
          <w:rFonts w:ascii="Times New Roman" w:hAnsi="Times New Roman" w:eastAsia="仿宋_GB2312"/>
          <w:color w:val="000000" w:themeColor="text1"/>
          <w:sz w:val="24"/>
          <w:vertAlign w:val="subscript"/>
          <w14:textFill>
            <w14:solidFill>
              <w14:schemeClr w14:val="tx1"/>
            </w14:solidFill>
          </w14:textFill>
        </w:rPr>
        <w:t>4</w:t>
      </w:r>
      <w:r>
        <w:rPr>
          <w:rFonts w:hint="eastAsia" w:ascii="Times New Roman" w:hAnsi="Times New Roman" w:eastAsia="仿宋_GB2312"/>
          <w:color w:val="000000" w:themeColor="text1"/>
          <w:sz w:val="24"/>
          <w14:textFill>
            <w14:solidFill>
              <w14:schemeClr w14:val="tx1"/>
            </w14:solidFill>
          </w14:textFill>
        </w:rPr>
        <w:t>与</w:t>
      </w:r>
      <w:r>
        <w:rPr>
          <w:rFonts w:ascii="Times New Roman" w:hAnsi="Times New Roman" w:eastAsia="仿宋_GB2312"/>
          <w:color w:val="000000" w:themeColor="text1"/>
          <w:sz w:val="24"/>
          <w14:textFill>
            <w14:solidFill>
              <w14:schemeClr w14:val="tx1"/>
            </w14:solidFill>
          </w14:textFill>
        </w:rPr>
        <w:t>FeCl</w:t>
      </w:r>
      <w:r>
        <w:rPr>
          <w:rFonts w:ascii="Times New Roman" w:hAnsi="Times New Roman" w:eastAsia="仿宋_GB2312"/>
          <w:color w:val="000000" w:themeColor="text1"/>
          <w:sz w:val="24"/>
          <w:vertAlign w:val="subscript"/>
          <w14:textFill>
            <w14:solidFill>
              <w14:schemeClr w14:val="tx1"/>
            </w14:solidFill>
          </w14:textFill>
        </w:rPr>
        <w:t>3</w:t>
      </w:r>
      <w:r>
        <w:rPr>
          <w:rFonts w:hint="eastAsia" w:ascii="Times New Roman" w:hAnsi="Times New Roman" w:eastAsia="仿宋_GB2312"/>
          <w:color w:val="000000" w:themeColor="text1"/>
          <w:sz w:val="24"/>
          <w14:textFill>
            <w14:solidFill>
              <w14:schemeClr w14:val="tx1"/>
            </w14:solidFill>
          </w14:textFill>
        </w:rPr>
        <w:t>质量比为</w:t>
      </w:r>
      <w:r>
        <w:rPr>
          <w:rFonts w:ascii="Times New Roman" w:hAnsi="Times New Roman" w:eastAsia="仿宋_GB2312"/>
          <w:color w:val="000000" w:themeColor="text1"/>
          <w:sz w:val="24"/>
          <w14:textFill>
            <w14:solidFill>
              <w14:schemeClr w14:val="tx1"/>
            </w14:solidFill>
          </w14:textFill>
        </w:rPr>
        <w:t>(5‑6)</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1</w:t>
      </w:r>
      <w:r>
        <w:rPr>
          <w:rFonts w:hint="eastAsia" w:ascii="Times New Roman" w:hAnsi="Times New Roman" w:eastAsia="仿宋_GB2312"/>
          <w:color w:val="000000" w:themeColor="text1"/>
          <w:sz w:val="24"/>
          <w14:textFill>
            <w14:solidFill>
              <w14:schemeClr w14:val="tx1"/>
            </w14:solidFill>
          </w14:textFill>
        </w:rPr>
        <w:t>，水洗所得飞灰与上述混合物质量比为</w:t>
      </w:r>
      <w:r>
        <w:rPr>
          <w:rFonts w:ascii="Times New Roman" w:hAnsi="Times New Roman" w:eastAsia="仿宋_GB2312"/>
          <w:color w:val="000000" w:themeColor="text1"/>
          <w:sz w:val="24"/>
          <w14:textFill>
            <w14:solidFill>
              <w14:schemeClr w14:val="tx1"/>
            </w14:solidFill>
          </w14:textFill>
        </w:rPr>
        <w:t>(5‑10)</w:t>
      </w:r>
      <w:r>
        <w:rPr>
          <w:rFonts w:hint="eastAsia" w:ascii="Times New Roman" w:hAnsi="Times New Roman" w:eastAsia="仿宋_GB2312"/>
          <w:color w:val="000000" w:themeColor="text1"/>
          <w:sz w:val="24"/>
          <w14:textFill>
            <w14:solidFill>
              <w14:schemeClr w14:val="tx1"/>
            </w14:solidFill>
          </w14:textFill>
        </w:rPr>
        <w:t>：</w:t>
      </w:r>
      <w:r>
        <w:rPr>
          <w:rFonts w:ascii="Times New Roman" w:hAnsi="Times New Roman" w:eastAsia="仿宋_GB2312"/>
          <w:color w:val="000000" w:themeColor="text1"/>
          <w:sz w:val="24"/>
          <w14:textFill>
            <w14:solidFill>
              <w14:schemeClr w14:val="tx1"/>
            </w14:solidFill>
          </w14:textFill>
        </w:rPr>
        <w:t>1</w:t>
      </w:r>
      <w:r>
        <w:rPr>
          <w:rFonts w:hint="eastAsia" w:ascii="Times New Roman" w:hAnsi="Times New Roman" w:eastAsia="仿宋_GB2312"/>
          <w:color w:val="000000" w:themeColor="text1"/>
          <w:sz w:val="24"/>
          <w14:textFill>
            <w14:solidFill>
              <w14:schemeClr w14:val="tx1"/>
            </w14:solidFill>
          </w14:textFill>
        </w:rPr>
        <w:t>。本方法通过酸洗去除飞灰中大部分杂质，提高了硅铝占比，提高合成沸石纯度，并且在机械化学合成过程中对沸石进行改性，不仅节省了大量制备时间，同时提高了沸石的吸附性能。</w:t>
      </w:r>
    </w:p>
    <w:p w14:paraId="381270AB">
      <w:pPr>
        <w:widowControl/>
        <w:jc w:val="left"/>
        <w:rPr>
          <w:rFonts w:ascii="Times New Roman" w:hAnsi="Times New Roman" w:eastAsia="仿宋_GB2312"/>
          <w:color w:val="000000" w:themeColor="text1"/>
          <w:sz w:val="24"/>
          <w14:textFill>
            <w14:solidFill>
              <w14:schemeClr w14:val="tx1"/>
            </w14:solidFill>
          </w14:textFill>
        </w:rPr>
      </w:pPr>
      <w:bookmarkStart w:id="22" w:name="OLE_LINK28"/>
    </w:p>
    <w:bookmarkEnd w:id="22"/>
    <w:p w14:paraId="381270AC">
      <w:pPr>
        <w:keepNext/>
        <w:adjustRightInd w:val="0"/>
        <w:snapToGrid w:val="0"/>
        <w:spacing w:line="300" w:lineRule="auto"/>
        <w:rPr>
          <w:rFonts w:ascii="Times New Roman" w:hAnsi="Times New Roman" w:eastAsia="仿宋_GB2312"/>
          <w:color w:val="000000" w:themeColor="text1"/>
          <w:sz w:val="24"/>
          <w14:textFill>
            <w14:solidFill>
              <w14:schemeClr w14:val="tx1"/>
            </w14:solidFill>
          </w14:textFill>
        </w:rPr>
      </w:pPr>
      <w:bookmarkStart w:id="23" w:name="OLE_LINK29"/>
      <w:r>
        <w:rPr>
          <w:rFonts w:hint="eastAsia" w:ascii="Times New Roman" w:hAnsi="Times New Roman" w:eastAsia="仿宋_GB2312"/>
          <w:color w:val="000000" w:themeColor="text1"/>
          <w:sz w:val="24"/>
          <w14:textFill>
            <w14:solidFill>
              <w14:schemeClr w14:val="tx1"/>
            </w14:solidFill>
          </w14:textFill>
        </w:rPr>
        <w:t>专利6</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题目： </w:t>
      </w:r>
      <w:r>
        <w:rPr>
          <w:rFonts w:ascii="Times New Roman" w:hAnsi="Times New Roman" w:eastAsia="仿宋_GB2312"/>
          <w:sz w:val="24"/>
          <w:szCs w:val="21"/>
        </w:rPr>
        <w:t>一种钼硫化物插层改性制备飞灰基层状双金属氢氧化物的方法</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专利号：</w:t>
      </w:r>
      <w:r>
        <w:rPr>
          <w:rFonts w:ascii="Times New Roman" w:hAnsi="Times New Roman" w:eastAsia="仿宋_GB2312"/>
          <w:sz w:val="24"/>
          <w:szCs w:val="21"/>
        </w:rPr>
        <w:t>202510087284.0</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发表时间： </w:t>
      </w:r>
      <w:r>
        <w:rPr>
          <w:rFonts w:ascii="Times New Roman" w:hAnsi="Times New Roman" w:eastAsia="仿宋_GB2312"/>
          <w:sz w:val="24"/>
          <w:szCs w:val="21"/>
        </w:rPr>
        <w:t>2025年11月25日</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作者： </w:t>
      </w:r>
      <w:r>
        <w:rPr>
          <w:rFonts w:ascii="Times New Roman" w:hAnsi="Times New Roman" w:eastAsia="仿宋_GB2312"/>
          <w:sz w:val="24"/>
          <w:szCs w:val="21"/>
        </w:rPr>
        <w:t>彭亚旗、孔维超、陆胜勇、丁佳敏、潘恒盛、肖心、严建华</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专利内容：</w:t>
      </w:r>
      <w:r>
        <w:rPr>
          <w:rFonts w:hint="eastAsia" w:ascii="Times New Roman" w:hAnsi="Times New Roman" w:eastAsia="仿宋_GB2312"/>
          <w:color w:val="000000" w:themeColor="text1"/>
          <w:sz w:val="24"/>
          <w14:textFill>
            <w14:solidFill>
              <w14:schemeClr w14:val="tx1"/>
            </w14:solidFill>
          </w14:textFill>
        </w:rPr>
        <w:t>本发明公开了一种钼硫化物插层改性制备飞灰基层状双金属氢氧化物的方法，通过水洗飞灰与AlCl</w:t>
      </w:r>
      <w:r>
        <w:rPr>
          <w:rFonts w:hint="eastAsia" w:ascii="Times New Roman" w:hAnsi="Times New Roman" w:eastAsia="仿宋_GB2312"/>
          <w:color w:val="000000" w:themeColor="text1"/>
          <w:sz w:val="24"/>
          <w:vertAlign w:val="subscript"/>
          <w14:textFill>
            <w14:solidFill>
              <w14:schemeClr w14:val="tx1"/>
            </w14:solidFill>
          </w14:textFill>
        </w:rPr>
        <w:t>3</w:t>
      </w:r>
      <w:r>
        <w:rPr>
          <w:rFonts w:hint="eastAsia" w:ascii="Times New Roman" w:hAnsi="Times New Roman" w:eastAsia="仿宋_GB2312"/>
          <w:color w:val="000000" w:themeColor="text1"/>
          <w:sz w:val="24"/>
          <w14:textFill>
            <w14:solidFill>
              <w14:schemeClr w14:val="tx1"/>
            </w14:solidFill>
          </w14:textFill>
        </w:rPr>
        <w:t>、盐酸进行混合并加NaOH调节pH制备飞灰基层状双金属氢氧化物；在此基础上以机械化学法耦合MoS</w:t>
      </w:r>
      <w:r>
        <w:rPr>
          <w:rFonts w:hint="eastAsia" w:ascii="Times New Roman" w:hAnsi="Times New Roman" w:eastAsia="仿宋_GB2312"/>
          <w:color w:val="000000" w:themeColor="text1"/>
          <w:sz w:val="24"/>
          <w:vertAlign w:val="subscript"/>
          <w14:textFill>
            <w14:solidFill>
              <w14:schemeClr w14:val="tx1"/>
            </w14:solidFill>
          </w14:textFill>
        </w:rPr>
        <w:t>4</w:t>
      </w:r>
      <w:r>
        <w:rPr>
          <w:rFonts w:ascii="Times New Roman" w:hAnsi="Times New Roman" w:eastAsia="仿宋_GB2312"/>
          <w:color w:val="000000" w:themeColor="text1"/>
          <w:sz w:val="24"/>
          <w:vertAlign w:val="superscript"/>
          <w14:textFill>
            <w14:solidFill>
              <w14:schemeClr w14:val="tx1"/>
            </w14:solidFill>
          </w14:textFill>
        </w:rPr>
        <w:t>2‑</w:t>
      </w:r>
      <w:r>
        <w:rPr>
          <w:rFonts w:hint="eastAsia" w:ascii="Times New Roman" w:hAnsi="Times New Roman" w:eastAsia="仿宋_GB2312"/>
          <w:color w:val="000000" w:themeColor="text1"/>
          <w:sz w:val="24"/>
          <w14:textFill>
            <w14:solidFill>
              <w14:schemeClr w14:val="tx1"/>
            </w14:solidFill>
          </w14:textFill>
        </w:rPr>
        <w:t>，制备单相材料钼硫化物插层改性飞灰基层状双金属氢氧化物。该方法不仅能显著提升飞灰制LDHs对重金属Pb</w:t>
      </w:r>
      <w:r>
        <w:rPr>
          <w:rFonts w:hint="eastAsia" w:ascii="Times New Roman" w:hAnsi="Times New Roman" w:eastAsia="仿宋_GB2312"/>
          <w:color w:val="000000" w:themeColor="text1"/>
          <w:sz w:val="24"/>
          <w:vertAlign w:val="superscript"/>
          <w14:textFill>
            <w14:solidFill>
              <w14:schemeClr w14:val="tx1"/>
            </w14:solidFill>
          </w14:textFill>
        </w:rPr>
        <w:t>2+</w:t>
      </w:r>
      <w:r>
        <w:rPr>
          <w:rFonts w:hint="eastAsia" w:ascii="Times New Roman" w:hAnsi="Times New Roman" w:eastAsia="仿宋_GB2312"/>
          <w:color w:val="000000" w:themeColor="text1"/>
          <w:sz w:val="24"/>
          <w14:textFill>
            <w14:solidFill>
              <w14:schemeClr w14:val="tx1"/>
            </w14:solidFill>
          </w14:textFill>
        </w:rPr>
        <w:t>、Ag</w:t>
      </w:r>
      <w:r>
        <w:rPr>
          <w:rFonts w:hint="eastAsia" w:ascii="Times New Roman" w:hAnsi="Times New Roman" w:eastAsia="仿宋_GB2312"/>
          <w:color w:val="000000" w:themeColor="text1"/>
          <w:sz w:val="24"/>
          <w:vertAlign w:val="superscript"/>
          <w14:textFill>
            <w14:solidFill>
              <w14:schemeClr w14:val="tx1"/>
            </w14:solidFill>
          </w14:textFill>
        </w:rPr>
        <w:t>+</w:t>
      </w:r>
      <w:r>
        <w:rPr>
          <w:rFonts w:hint="eastAsia" w:ascii="Times New Roman" w:hAnsi="Times New Roman" w:eastAsia="仿宋_GB2312"/>
          <w:color w:val="000000" w:themeColor="text1"/>
          <w:sz w:val="24"/>
          <w14:textFill>
            <w14:solidFill>
              <w14:schemeClr w14:val="tx1"/>
            </w14:solidFill>
          </w14:textFill>
        </w:rPr>
        <w:t>、Hg</w:t>
      </w:r>
      <w:r>
        <w:rPr>
          <w:rFonts w:hint="eastAsia" w:ascii="Times New Roman" w:hAnsi="Times New Roman" w:eastAsia="仿宋_GB2312"/>
          <w:color w:val="000000" w:themeColor="text1"/>
          <w:sz w:val="24"/>
          <w:vertAlign w:val="superscript"/>
          <w14:textFill>
            <w14:solidFill>
              <w14:schemeClr w14:val="tx1"/>
            </w14:solidFill>
          </w14:textFill>
        </w:rPr>
        <w:t>2+</w:t>
      </w:r>
      <w:r>
        <w:rPr>
          <w:rFonts w:hint="eastAsia" w:ascii="Times New Roman" w:hAnsi="Times New Roman" w:eastAsia="仿宋_GB2312"/>
          <w:color w:val="000000" w:themeColor="text1"/>
          <w:sz w:val="24"/>
          <w14:textFill>
            <w14:solidFill>
              <w14:schemeClr w14:val="tx1"/>
            </w14:solidFill>
          </w14:textFill>
        </w:rPr>
        <w:t>、Cu</w:t>
      </w:r>
      <w:r>
        <w:rPr>
          <w:rFonts w:hint="eastAsia" w:ascii="Times New Roman" w:hAnsi="Times New Roman" w:eastAsia="仿宋_GB2312"/>
          <w:color w:val="000000" w:themeColor="text1"/>
          <w:sz w:val="24"/>
          <w:vertAlign w:val="superscript"/>
          <w14:textFill>
            <w14:solidFill>
              <w14:schemeClr w14:val="tx1"/>
            </w14:solidFill>
          </w14:textFill>
        </w:rPr>
        <w:t>2+</w:t>
      </w:r>
      <w:r>
        <w:rPr>
          <w:rFonts w:hint="eastAsia" w:ascii="Times New Roman" w:hAnsi="Times New Roman" w:eastAsia="仿宋_GB2312"/>
          <w:color w:val="000000" w:themeColor="text1"/>
          <w:sz w:val="24"/>
          <w14:textFill>
            <w14:solidFill>
              <w14:schemeClr w14:val="tx1"/>
            </w14:solidFill>
          </w14:textFill>
        </w:rPr>
        <w:t>的吸附容量，同时能为LDHs材料带来重金属吸附选择性，选择性依次Ag</w:t>
      </w:r>
      <w:r>
        <w:rPr>
          <w:rFonts w:hint="eastAsia" w:ascii="Times New Roman" w:hAnsi="Times New Roman" w:eastAsia="仿宋_GB2312"/>
          <w:color w:val="000000" w:themeColor="text1"/>
          <w:sz w:val="24"/>
          <w:vertAlign w:val="superscript"/>
          <w14:textFill>
            <w14:solidFill>
              <w14:schemeClr w14:val="tx1"/>
            </w14:solidFill>
          </w14:textFill>
        </w:rPr>
        <w:t>+</w:t>
      </w:r>
      <w:r>
        <w:rPr>
          <w:rFonts w:hint="eastAsia" w:ascii="Times New Roman" w:hAnsi="Times New Roman" w:eastAsia="仿宋_GB2312"/>
          <w:color w:val="000000" w:themeColor="text1"/>
          <w:sz w:val="24"/>
          <w14:textFill>
            <w14:solidFill>
              <w14:schemeClr w14:val="tx1"/>
            </w14:solidFill>
          </w14:textFill>
        </w:rPr>
        <w:t>＞Hg</w:t>
      </w:r>
      <w:r>
        <w:rPr>
          <w:rFonts w:hint="eastAsia" w:ascii="Times New Roman" w:hAnsi="Times New Roman" w:eastAsia="仿宋_GB2312"/>
          <w:color w:val="000000" w:themeColor="text1"/>
          <w:sz w:val="24"/>
          <w:vertAlign w:val="superscript"/>
          <w14:textFill>
            <w14:solidFill>
              <w14:schemeClr w14:val="tx1"/>
            </w14:solidFill>
          </w14:textFill>
        </w:rPr>
        <w:t>2+</w:t>
      </w:r>
      <w:r>
        <w:rPr>
          <w:rFonts w:hint="eastAsia" w:ascii="Times New Roman" w:hAnsi="Times New Roman" w:eastAsia="仿宋_GB2312"/>
          <w:color w:val="000000" w:themeColor="text1"/>
          <w:sz w:val="24"/>
          <w14:textFill>
            <w14:solidFill>
              <w14:schemeClr w14:val="tx1"/>
            </w14:solidFill>
          </w14:textFill>
        </w:rPr>
        <w:t>＞Cu</w:t>
      </w:r>
      <w:r>
        <w:rPr>
          <w:rFonts w:hint="eastAsia" w:ascii="Times New Roman" w:hAnsi="Times New Roman" w:eastAsia="仿宋_GB2312"/>
          <w:color w:val="000000" w:themeColor="text1"/>
          <w:sz w:val="24"/>
          <w:vertAlign w:val="superscript"/>
          <w14:textFill>
            <w14:solidFill>
              <w14:schemeClr w14:val="tx1"/>
            </w14:solidFill>
          </w14:textFill>
        </w:rPr>
        <w:t>2+</w:t>
      </w:r>
      <w:r>
        <w:rPr>
          <w:rFonts w:hint="eastAsia" w:ascii="Times New Roman" w:hAnsi="Times New Roman" w:eastAsia="仿宋_GB2312"/>
          <w:color w:val="000000" w:themeColor="text1"/>
          <w:sz w:val="24"/>
          <w14:textFill>
            <w14:solidFill>
              <w14:schemeClr w14:val="tx1"/>
            </w14:solidFill>
          </w14:textFill>
        </w:rPr>
        <w:t>＞Pb</w:t>
      </w:r>
      <w:r>
        <w:rPr>
          <w:rFonts w:hint="eastAsia" w:ascii="Times New Roman" w:hAnsi="Times New Roman" w:eastAsia="仿宋_GB2312"/>
          <w:color w:val="000000" w:themeColor="text1"/>
          <w:sz w:val="24"/>
          <w:vertAlign w:val="superscript"/>
          <w14:textFill>
            <w14:solidFill>
              <w14:schemeClr w14:val="tx1"/>
            </w14:solidFill>
          </w14:textFill>
        </w:rPr>
        <w:t>2+</w:t>
      </w:r>
      <w:r>
        <w:rPr>
          <w:rFonts w:hint="eastAsia" w:ascii="Times New Roman" w:hAnsi="Times New Roman" w:eastAsia="仿宋_GB2312"/>
          <w:color w:val="000000" w:themeColor="text1"/>
          <w:sz w:val="24"/>
          <w14:textFill>
            <w14:solidFill>
              <w14:schemeClr w14:val="tx1"/>
            </w14:solidFill>
          </w14:textFill>
        </w:rPr>
        <w:t>＞其他，此外采用机械化学法可显著减低Mo的析出降低材料危害性，同时降低成本，减小能耗以及环境危害。</w:t>
      </w:r>
    </w:p>
    <w:bookmarkEnd w:id="23"/>
    <w:p w14:paraId="381270AD">
      <w:pPr>
        <w:widowControl/>
        <w:jc w:val="left"/>
        <w:rPr>
          <w:rFonts w:ascii="Times New Roman" w:hAnsi="Times New Roman" w:eastAsia="仿宋_GB2312"/>
          <w:color w:val="000000" w:themeColor="text1"/>
          <w:sz w:val="24"/>
          <w14:textFill>
            <w14:solidFill>
              <w14:schemeClr w14:val="tx1"/>
            </w14:solidFill>
          </w14:textFill>
        </w:rPr>
      </w:pPr>
    </w:p>
    <w:p w14:paraId="381270AE">
      <w:pPr>
        <w:keepNext/>
        <w:adjustRightInd w:val="0"/>
        <w:snapToGrid w:val="0"/>
        <w:spacing w:line="300" w:lineRule="auto"/>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专利7</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题目： </w:t>
      </w:r>
      <w:r>
        <w:rPr>
          <w:rFonts w:hint="eastAsia" w:ascii="Times New Roman" w:hAnsi="Times New Roman" w:eastAsia="仿宋_GB2312"/>
          <w:color w:val="000000" w:themeColor="text1"/>
          <w:sz w:val="24"/>
          <w14:textFill>
            <w14:solidFill>
              <w14:schemeClr w14:val="tx1"/>
            </w14:solidFill>
          </w14:textFill>
        </w:rPr>
        <w:t>一种脱氯解毒飞灰-废玻璃粉-矿渣复合碱激发胶凝材料及其制备方法</w:t>
      </w:r>
    </w:p>
    <w:p w14:paraId="381270AF">
      <w:pPr>
        <w:widowControl/>
        <w:snapToGrid w:val="0"/>
        <w:spacing w:line="300" w:lineRule="auto"/>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专利号： </w:t>
      </w:r>
      <w:r>
        <w:rPr>
          <w:rFonts w:ascii="Times New Roman" w:hAnsi="Times New Roman" w:eastAsia="仿宋_GB2312"/>
          <w:sz w:val="24"/>
          <w:szCs w:val="21"/>
        </w:rPr>
        <w:t>202510795229.7</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发表时间： 202</w:t>
      </w:r>
      <w:r>
        <w:rPr>
          <w:rFonts w:hint="eastAsia" w:ascii="Times New Roman" w:hAnsi="Times New Roman" w:eastAsia="仿宋_GB2312"/>
          <w:color w:val="000000" w:themeColor="text1"/>
          <w:sz w:val="24"/>
          <w14:textFill>
            <w14:solidFill>
              <w14:schemeClr w14:val="tx1"/>
            </w14:solidFill>
          </w14:textFill>
        </w:rPr>
        <w:t>5</w:t>
      </w:r>
      <w:r>
        <w:rPr>
          <w:rFonts w:ascii="Times New Roman" w:hAnsi="Times New Roman" w:eastAsia="仿宋_GB2312"/>
          <w:color w:val="000000" w:themeColor="text1"/>
          <w:sz w:val="24"/>
          <w14:textFill>
            <w14:solidFill>
              <w14:schemeClr w14:val="tx1"/>
            </w14:solidFill>
          </w14:textFill>
        </w:rPr>
        <w:t>年0</w:t>
      </w:r>
      <w:r>
        <w:rPr>
          <w:rFonts w:hint="eastAsia" w:ascii="Times New Roman" w:hAnsi="Times New Roman" w:eastAsia="仿宋_GB2312"/>
          <w:color w:val="000000" w:themeColor="text1"/>
          <w:sz w:val="24"/>
          <w14:textFill>
            <w14:solidFill>
              <w14:schemeClr w14:val="tx1"/>
            </w14:solidFill>
          </w14:textFill>
        </w:rPr>
        <w:t>9</w:t>
      </w:r>
      <w:r>
        <w:rPr>
          <w:rFonts w:ascii="Times New Roman" w:hAnsi="Times New Roman" w:eastAsia="仿宋_GB2312"/>
          <w:color w:val="000000" w:themeColor="text1"/>
          <w:sz w:val="24"/>
          <w14:textFill>
            <w14:solidFill>
              <w14:schemeClr w14:val="tx1"/>
            </w14:solidFill>
          </w14:textFill>
        </w:rPr>
        <w:t>月</w:t>
      </w:r>
      <w:r>
        <w:rPr>
          <w:rFonts w:hint="eastAsia" w:ascii="Times New Roman" w:hAnsi="Times New Roman" w:eastAsia="仿宋_GB2312"/>
          <w:color w:val="000000" w:themeColor="text1"/>
          <w:sz w:val="24"/>
          <w14:textFill>
            <w14:solidFill>
              <w14:schemeClr w14:val="tx1"/>
            </w14:solidFill>
          </w14:textFill>
        </w:rPr>
        <w:t>26</w:t>
      </w:r>
      <w:r>
        <w:rPr>
          <w:rFonts w:ascii="Times New Roman" w:hAnsi="Times New Roman" w:eastAsia="仿宋_GB2312"/>
          <w:color w:val="000000" w:themeColor="text1"/>
          <w:sz w:val="24"/>
          <w14:textFill>
            <w14:solidFill>
              <w14:schemeClr w14:val="tx1"/>
            </w14:solidFill>
          </w14:textFill>
        </w:rPr>
        <w:t>日</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作者： 王磊、关渝珊、时雅倩、严建华</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专利内容： </w:t>
      </w:r>
      <w:r>
        <w:rPr>
          <w:rFonts w:hint="eastAsia" w:ascii="Times New Roman" w:hAnsi="Times New Roman" w:eastAsia="仿宋_GB2312"/>
          <w:color w:val="000000" w:themeColor="text1"/>
          <w:sz w:val="24"/>
          <w14:textFill>
            <w14:solidFill>
              <w14:schemeClr w14:val="tx1"/>
            </w14:solidFill>
          </w14:textFill>
        </w:rPr>
        <w:t>本发明公开了一种脱氯解毒飞灰</w:t>
      </w:r>
      <w:r>
        <w:rPr>
          <w:rFonts w:ascii="Times New Roman" w:hAnsi="Times New Roman" w:eastAsia="仿宋_GB2312"/>
          <w:color w:val="000000" w:themeColor="text1"/>
          <w:sz w:val="24"/>
          <w14:textFill>
            <w14:solidFill>
              <w14:schemeClr w14:val="tx1"/>
            </w14:solidFill>
          </w14:textFill>
        </w:rPr>
        <w:t>‑</w:t>
      </w:r>
      <w:r>
        <w:rPr>
          <w:rFonts w:hint="eastAsia" w:ascii="Times New Roman" w:hAnsi="Times New Roman" w:eastAsia="仿宋_GB2312"/>
          <w:color w:val="000000" w:themeColor="text1"/>
          <w:sz w:val="24"/>
          <w14:textFill>
            <w14:solidFill>
              <w14:schemeClr w14:val="tx1"/>
            </w14:solidFill>
          </w14:textFill>
        </w:rPr>
        <w:t>废玻璃粉</w:t>
      </w:r>
      <w:r>
        <w:rPr>
          <w:rFonts w:ascii="Times New Roman" w:hAnsi="Times New Roman" w:eastAsia="仿宋_GB2312"/>
          <w:color w:val="000000" w:themeColor="text1"/>
          <w:sz w:val="24"/>
          <w14:textFill>
            <w14:solidFill>
              <w14:schemeClr w14:val="tx1"/>
            </w14:solidFill>
          </w14:textFill>
        </w:rPr>
        <w:t>‑</w:t>
      </w:r>
      <w:r>
        <w:rPr>
          <w:rFonts w:hint="eastAsia" w:ascii="Times New Roman" w:hAnsi="Times New Roman" w:eastAsia="仿宋_GB2312"/>
          <w:color w:val="000000" w:themeColor="text1"/>
          <w:sz w:val="24"/>
          <w14:textFill>
            <w14:solidFill>
              <w14:schemeClr w14:val="tx1"/>
            </w14:solidFill>
          </w14:textFill>
        </w:rPr>
        <w:t>矿渣复合碱激发胶凝材料及其制备方法。碱激发胶凝材料以水合硅铝酸钙凝胶和水合硅铝酸钠凝胶为主要成分，原料组成包括：脱氯解毒飞灰、废玻璃粉、矿渣和碱激发剂，其中碱激发剂由硅酸钠溶液和氢氧化钠固体制备而成；本发明通过科学配比原材料，实现了高效资源化利用和碱激发胶凝材料性能的提升。本发明选用的前驱体富含钙、硅、铝等活性矿物组分，加入硅酸钠溶液和氢氧化钠固体制备成的碱激发剂为体系提供理想的碱性环境，各组分间的化学成分互补与协同作用，使体系能够同时生成</w:t>
      </w:r>
      <w:r>
        <w:rPr>
          <w:rFonts w:ascii="Times New Roman" w:hAnsi="Times New Roman" w:eastAsia="仿宋_GB2312"/>
          <w:color w:val="000000" w:themeColor="text1"/>
          <w:sz w:val="24"/>
          <w14:textFill>
            <w14:solidFill>
              <w14:schemeClr w14:val="tx1"/>
            </w14:solidFill>
          </w14:textFill>
        </w:rPr>
        <w:t>C‑A‑S‑H</w:t>
      </w:r>
      <w:r>
        <w:rPr>
          <w:rFonts w:hint="eastAsia" w:ascii="Times New Roman" w:hAnsi="Times New Roman" w:eastAsia="仿宋_GB2312"/>
          <w:color w:val="000000" w:themeColor="text1"/>
          <w:sz w:val="24"/>
          <w14:textFill>
            <w14:solidFill>
              <w14:schemeClr w14:val="tx1"/>
            </w14:solidFill>
          </w14:textFill>
        </w:rPr>
        <w:t>凝胶和</w:t>
      </w:r>
      <w:r>
        <w:rPr>
          <w:rFonts w:ascii="Times New Roman" w:hAnsi="Times New Roman" w:eastAsia="仿宋_GB2312"/>
          <w:color w:val="000000" w:themeColor="text1"/>
          <w:sz w:val="24"/>
          <w14:textFill>
            <w14:solidFill>
              <w14:schemeClr w14:val="tx1"/>
            </w14:solidFill>
          </w14:textFill>
        </w:rPr>
        <w:t>N‑A‑S‑H</w:t>
      </w:r>
      <w:r>
        <w:rPr>
          <w:rFonts w:hint="eastAsia" w:ascii="Times New Roman" w:hAnsi="Times New Roman" w:eastAsia="仿宋_GB2312"/>
          <w:color w:val="000000" w:themeColor="text1"/>
          <w:sz w:val="24"/>
          <w14:textFill>
            <w14:solidFill>
              <w14:schemeClr w14:val="tx1"/>
            </w14:solidFill>
          </w14:textFill>
        </w:rPr>
        <w:t>凝胶。从而实现抗压强度高、凝结时间适中、反应热平衡的材料性能，同时具备良好的工作性能和长期耐久性。</w:t>
      </w:r>
      <w:r>
        <w:rPr>
          <w:rFonts w:ascii="Times New Roman" w:hAnsi="Times New Roman" w:eastAsia="仿宋_GB2312"/>
          <w:color w:val="000000" w:themeColor="text1"/>
          <w:sz w:val="24"/>
          <w14:textFill>
            <w14:solidFill>
              <w14:schemeClr w14:val="tx1"/>
            </w14:solidFill>
          </w14:textFill>
        </w:rPr>
        <w:cr/>
      </w:r>
    </w:p>
    <w:p w14:paraId="381270B0">
      <w:pPr>
        <w:keepNext/>
        <w:adjustRightInd w:val="0"/>
        <w:snapToGrid w:val="0"/>
        <w:spacing w:line="300" w:lineRule="auto"/>
        <w:rPr>
          <w:rFonts w:ascii="Times New Roman" w:hAnsi="Times New Roman" w:eastAsia="仿宋_GB2312"/>
          <w:color w:val="000000" w:themeColor="text1"/>
          <w:sz w:val="24"/>
          <w14:textFill>
            <w14:solidFill>
              <w14:schemeClr w14:val="tx1"/>
            </w14:solidFill>
          </w14:textFill>
        </w:rPr>
      </w:pPr>
      <w:bookmarkStart w:id="24" w:name="OLE_LINK30"/>
      <w:r>
        <w:rPr>
          <w:rFonts w:hint="eastAsia" w:ascii="Times New Roman" w:hAnsi="Times New Roman" w:eastAsia="仿宋_GB2312"/>
          <w:color w:val="000000" w:themeColor="text1"/>
          <w:sz w:val="24"/>
          <w14:textFill>
            <w14:solidFill>
              <w14:schemeClr w14:val="tx1"/>
            </w14:solidFill>
          </w14:textFill>
        </w:rPr>
        <w:t>专利8</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题目： </w:t>
      </w:r>
      <w:r>
        <w:rPr>
          <w:rFonts w:ascii="Times New Roman" w:hAnsi="Times New Roman" w:eastAsia="仿宋_GB2312"/>
          <w:sz w:val="24"/>
          <w:szCs w:val="21"/>
        </w:rPr>
        <w:t>一种利用活性氧化镁诱导垃圾焚烧飞灰氯盐的全固废基胶凝材料及其制备方法</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专利号：</w:t>
      </w:r>
      <w:r>
        <w:rPr>
          <w:rFonts w:ascii="Times New Roman" w:hAnsi="Times New Roman" w:eastAsia="仿宋_GB2312"/>
          <w:sz w:val="24"/>
          <w:szCs w:val="21"/>
        </w:rPr>
        <w:t>202510795229.7</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发表时间：</w:t>
      </w:r>
      <w:r>
        <w:rPr>
          <w:rFonts w:ascii="Times New Roman" w:hAnsi="Times New Roman" w:eastAsia="仿宋_GB2312"/>
          <w:sz w:val="24"/>
          <w:szCs w:val="21"/>
        </w:rPr>
        <w:t>2025年 09月26 日</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作者：</w:t>
      </w:r>
      <w:r>
        <w:rPr>
          <w:rFonts w:ascii="Times New Roman" w:hAnsi="Times New Roman" w:eastAsia="仿宋_GB2312"/>
          <w:sz w:val="24"/>
          <w:szCs w:val="21"/>
        </w:rPr>
        <w:t>王磊、关渝珊、时雅倩、严建华</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专利内容：</w:t>
      </w:r>
      <w:r>
        <w:rPr>
          <w:rFonts w:hint="eastAsia" w:ascii="Times New Roman" w:hAnsi="Times New Roman" w:eastAsia="仿宋_GB2312"/>
          <w:color w:val="000000" w:themeColor="text1"/>
          <w:sz w:val="24"/>
          <w14:textFill>
            <w14:solidFill>
              <w14:schemeClr w14:val="tx1"/>
            </w14:solidFill>
          </w14:textFill>
        </w:rPr>
        <w:t>本发明公开了一种利用活性氧化镁诱导垃圾焚烧飞灰氯盐的全固废基胶凝材料及其制备方法。本发明利用活性氧化镁诱导垃圾焚烧飞灰氯盐原位转化为胶凝材料，有效改善因有害杂质氯盐导致的固化体系不稳定和潜在环境二次污染问题，在协同处置含铜电镀污泥作用下促进胶凝体系的反应程度及强度发展，同时保证体系重金属浸出浓度符合</w:t>
      </w:r>
      <w:r>
        <w:rPr>
          <w:rFonts w:ascii="Times New Roman" w:hAnsi="Times New Roman" w:eastAsia="仿宋_GB2312"/>
          <w:color w:val="000000" w:themeColor="text1"/>
          <w:sz w:val="24"/>
          <w14:textFill>
            <w14:solidFill>
              <w14:schemeClr w14:val="tx1"/>
            </w14:solidFill>
          </w14:textFill>
        </w:rPr>
        <w:t>GB/T 16889‑2008</w:t>
      </w:r>
      <w:r>
        <w:rPr>
          <w:rFonts w:hint="eastAsia" w:ascii="Times New Roman" w:hAnsi="Times New Roman" w:eastAsia="仿宋_GB2312"/>
          <w:color w:val="000000" w:themeColor="text1"/>
          <w:sz w:val="24"/>
          <w14:textFill>
            <w14:solidFill>
              <w14:schemeClr w14:val="tx1"/>
            </w14:solidFill>
          </w14:textFill>
        </w:rPr>
        <w:t>国家安全填埋标准。本发明制备的胶凝材料有望用作路基、土地平整、矿坑回填等建筑材料，有效拓宽固体废弃物增值利用的方式，同时实现垃圾焚烧飞灰的高效减毒，对环境、社会和经济具有积极的影响，为固体废弃物的资源化利用以及建筑行业的绿色转型提供创新性的可持续发展模式。</w:t>
      </w:r>
    </w:p>
    <w:bookmarkEnd w:id="24"/>
    <w:p w14:paraId="381270B1">
      <w:pPr>
        <w:rPr>
          <w:rFonts w:hint="eastAsia" w:ascii="宋体" w:hAnsi="宋体" w:eastAsia="宋体" w:cs="方正仿宋_GB18030"/>
          <w:sz w:val="24"/>
        </w:rPr>
      </w:pPr>
    </w:p>
    <w:p w14:paraId="381270B2">
      <w:pPr>
        <w:keepNext/>
        <w:adjustRightInd w:val="0"/>
        <w:snapToGrid w:val="0"/>
        <w:spacing w:line="300" w:lineRule="auto"/>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专利9</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题目： </w:t>
      </w:r>
      <w:r>
        <w:rPr>
          <w:rFonts w:ascii="Times New Roman" w:hAnsi="Times New Roman" w:eastAsia="仿宋_GB2312"/>
          <w:sz w:val="24"/>
          <w:szCs w:val="21"/>
        </w:rPr>
        <w:t>一种生物炭改性的垃圾焚烧飞灰基固碳人造骨料及制备方法</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专利号：</w:t>
      </w:r>
      <w:r>
        <w:rPr>
          <w:rFonts w:ascii="Times New Roman" w:hAnsi="Times New Roman" w:eastAsia="仿宋_GB2312"/>
          <w:sz w:val="24"/>
          <w:szCs w:val="21"/>
        </w:rPr>
        <w:t>202411830125.7</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发表时间：</w:t>
      </w:r>
      <w:r>
        <w:rPr>
          <w:rFonts w:ascii="Times New Roman" w:hAnsi="Times New Roman" w:eastAsia="仿宋_GB2312"/>
          <w:sz w:val="24"/>
          <w:szCs w:val="21"/>
        </w:rPr>
        <w:t>2025年05月27日</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作者：</w:t>
      </w:r>
      <w:r>
        <w:rPr>
          <w:rFonts w:ascii="Times New Roman" w:hAnsi="Times New Roman" w:eastAsia="仿宋_GB2312"/>
          <w:sz w:val="24"/>
          <w:szCs w:val="21"/>
        </w:rPr>
        <w:t>王磊、刘振业、赵星磊、夏岩、黄钢、宋振昊、严建华</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专利内容：</w:t>
      </w:r>
      <w:r>
        <w:rPr>
          <w:rFonts w:hint="eastAsia" w:ascii="Times New Roman" w:hAnsi="Times New Roman" w:eastAsia="仿宋_GB2312"/>
          <w:color w:val="000000" w:themeColor="text1"/>
          <w:sz w:val="24"/>
          <w14:textFill>
            <w14:solidFill>
              <w14:schemeClr w14:val="tx1"/>
            </w14:solidFill>
          </w14:textFill>
        </w:rPr>
        <w:t>本发明公开了一种生物炭改性的垃圾焚烧飞灰基固碳人造骨料及制备方法，利用垃圾焚烧飞灰、粒化高炉矿渣和脱硫石膏之间的化学成分互补机制，并掺入多孔、轻质的生物炭，通过科学的配方设计以及合理的工艺路线优化，制备出一种新型、低碳的全固废基轻质高强人造骨料。本发明大大降低了因填埋而导致的土地资源占用以及潜在的环境二次污染风险，同时实现了垃圾焚烧飞灰、粒化高炉矿渣和脱硫石膏三类固体废弃物的资源化利用，而在生物炭的改性作用下将其转化成轻质、高强的固碳人造骨料，进一步减少了对天然砂石骨料的开采需求。</w:t>
      </w:r>
      <w:r>
        <w:rPr>
          <w:rFonts w:ascii="Times New Roman" w:hAnsi="Times New Roman" w:eastAsia="仿宋_GB2312"/>
          <w:color w:val="000000" w:themeColor="text1"/>
          <w:sz w:val="24"/>
          <w14:textFill>
            <w14:solidFill>
              <w14:schemeClr w14:val="tx1"/>
            </w14:solidFill>
          </w14:textFill>
        </w:rPr>
        <w:cr/>
      </w:r>
    </w:p>
    <w:p w14:paraId="381270B3">
      <w:pPr>
        <w:keepNext/>
        <w:adjustRightInd w:val="0"/>
        <w:snapToGrid w:val="0"/>
        <w:spacing w:line="300" w:lineRule="auto"/>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专利10</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题目：一种协同回收生活垃圾焚烧飞灰与污泥焚烧灰的人造骨料及制备方法</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专利号：202410025905.8</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发表时间：2024年07月26日</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作者：王磊、宋振昊、夏岩、严建华</w:t>
      </w:r>
      <w:r>
        <w:rPr>
          <w:rFonts w:ascii="Times New Roman" w:hAnsi="Times New Roman" w:eastAsia="仿宋_GB2312"/>
          <w:color w:val="000000" w:themeColor="text1"/>
          <w:sz w:val="24"/>
          <w14:textFill>
            <w14:solidFill>
              <w14:schemeClr w14:val="tx1"/>
            </w14:solidFill>
          </w14:textFill>
        </w:rPr>
        <w:br w:type="textWrapping"/>
      </w:r>
      <w:r>
        <w:rPr>
          <w:rFonts w:ascii="Times New Roman" w:hAnsi="Times New Roman" w:eastAsia="仿宋_GB2312"/>
          <w:color w:val="000000" w:themeColor="text1"/>
          <w:sz w:val="24"/>
          <w14:textFill>
            <w14:solidFill>
              <w14:schemeClr w14:val="tx1"/>
            </w14:solidFill>
          </w14:textFill>
        </w:rPr>
        <w:t>专利内容：</w:t>
      </w:r>
      <w:r>
        <w:rPr>
          <w:rFonts w:hint="eastAsia" w:ascii="Times New Roman" w:hAnsi="Times New Roman" w:eastAsia="仿宋_GB2312"/>
          <w:color w:val="000000" w:themeColor="text1"/>
          <w:sz w:val="24"/>
          <w14:textFill>
            <w14:solidFill>
              <w14:schemeClr w14:val="tx1"/>
            </w14:solidFill>
          </w14:textFill>
        </w:rPr>
        <w:t>本发明公开了一种协同回收生活垃圾焚烧飞灰与污泥焚烧灰的人造骨料及制备方法，将垃圾焚烧飞灰与污泥焚烧灰资源化转化为轻质高强人造骨料，利用两种固体废弃物之间的化学成分互补机制，通过科学的配方设计并结合工艺路线优化，最大限度地降低水泥基粘结剂用量，同时实现污染物的高效固定以及机械性能显著提升，生产出具有高强度、低吸水率等优异性能的冷粘结人造骨料。本发明一方面减少了对于天然骨料的开采，具有绿色节能等优势；另一方面，有效消纳了生活垃圾焚烧飞灰与污泥焚烧灰两类大量堆存的固体废弃物，并将其转化为骨料增值建筑材料，进一步开发了固体废弃物的二次利用价值，兼具环境效益与社会经济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18030">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BE44C569">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C3E"/>
    <w:rsid w:val="000C2C13"/>
    <w:rsid w:val="001440F1"/>
    <w:rsid w:val="00271645"/>
    <w:rsid w:val="00361F7E"/>
    <w:rsid w:val="005243EA"/>
    <w:rsid w:val="005B44B9"/>
    <w:rsid w:val="00600A88"/>
    <w:rsid w:val="00647A26"/>
    <w:rsid w:val="006635B1"/>
    <w:rsid w:val="00674ADC"/>
    <w:rsid w:val="007E4338"/>
    <w:rsid w:val="0087522E"/>
    <w:rsid w:val="008B70D4"/>
    <w:rsid w:val="008F7AE7"/>
    <w:rsid w:val="0099282B"/>
    <w:rsid w:val="00996C3E"/>
    <w:rsid w:val="009B4943"/>
    <w:rsid w:val="00A3429B"/>
    <w:rsid w:val="00B25290"/>
    <w:rsid w:val="00B8427E"/>
    <w:rsid w:val="00C365AB"/>
    <w:rsid w:val="00C6672E"/>
    <w:rsid w:val="00CC6A8B"/>
    <w:rsid w:val="00D01151"/>
    <w:rsid w:val="00DE441E"/>
    <w:rsid w:val="00E14A00"/>
    <w:rsid w:val="00E50A6E"/>
    <w:rsid w:val="00E96F75"/>
    <w:rsid w:val="00F25A8C"/>
    <w:rsid w:val="00F83300"/>
    <w:rsid w:val="00FA2A31"/>
    <w:rsid w:val="00FF535D"/>
    <w:rsid w:val="332461A0"/>
    <w:rsid w:val="36DF3A99"/>
    <w:rsid w:val="49AE7948"/>
    <w:rsid w:val="532D2680"/>
    <w:rsid w:val="57054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4125</Words>
  <Characters>4610</Characters>
  <Lines>180</Lines>
  <Paragraphs>106</Paragraphs>
  <TotalTime>11</TotalTime>
  <ScaleCrop>false</ScaleCrop>
  <LinksUpToDate>false</LinksUpToDate>
  <CharactersWithSpaces>4645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2026-05-12T07:13:00Z</dcterms:created>
  <dc:creator>Lei Ren</dc:creator>
  <cp:lastModifiedBy>Lei Ren</cp:lastModifiedBy>
  <dcterms:modified xsi:type="dcterms:W3CDTF">2026-07-07T00:56:17Z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eyJoZGlkIjoiMWQxNjk5ZGVkZWVkN2U2OTIyZjJjNzhiMTdkMTFiMDIiLCJ1c2VySWQiOiIyNzM1ODk5MDEifQ==</vt:lpwstr>
  </property>
  <property fmtid="{D5CDD505-2E9C-101B-9397-08002B2CF9AE}" pid="4" name="ICV">
    <vt:lpwstr>B80DAEE9828049A8937FF5A69DA93564_12</vt:lpwstr>
  </property>
</Properties>
</file>