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16" w:rsidRPr="00957C16" w:rsidRDefault="00957C16" w:rsidP="00957C16">
      <w:pPr>
        <w:spacing w:line="540" w:lineRule="exact"/>
        <w:jc w:val="left"/>
        <w:rPr>
          <w:rFonts w:ascii="黑体" w:eastAsia="黑体" w:hAnsi="黑体"/>
          <w:color w:val="000000"/>
          <w:sz w:val="30"/>
          <w:szCs w:val="30"/>
        </w:rPr>
      </w:pPr>
      <w:r w:rsidRPr="00957C16">
        <w:rPr>
          <w:rFonts w:ascii="黑体" w:eastAsia="黑体" w:hAnsi="黑体" w:hint="eastAsia"/>
          <w:color w:val="000000"/>
          <w:sz w:val="30"/>
          <w:szCs w:val="30"/>
        </w:rPr>
        <w:t>附件2：</w:t>
      </w:r>
    </w:p>
    <w:p w:rsidR="00DF6836" w:rsidRDefault="002D4EDB">
      <w:pPr>
        <w:spacing w:line="540" w:lineRule="exact"/>
        <w:jc w:val="center"/>
        <w:rPr>
          <w:rFonts w:ascii="仿宋" w:eastAsia="仿宋" w:hAnsi="仿宋"/>
          <w:b/>
          <w:color w:val="000000"/>
          <w:sz w:val="44"/>
          <w:szCs w:val="44"/>
        </w:rPr>
      </w:pPr>
      <w:r>
        <w:rPr>
          <w:rFonts w:ascii="仿宋" w:eastAsia="仿宋" w:hAnsi="仿宋" w:hint="eastAsia"/>
          <w:b/>
          <w:color w:val="000000"/>
          <w:sz w:val="44"/>
          <w:szCs w:val="44"/>
        </w:rPr>
        <w:t>20</w:t>
      </w:r>
      <w:bookmarkStart w:id="0" w:name="_GoBack"/>
      <w:bookmarkEnd w:id="0"/>
      <w:r>
        <w:rPr>
          <w:rFonts w:ascii="仿宋" w:eastAsia="仿宋" w:hAnsi="仿宋" w:hint="eastAsia"/>
          <w:b/>
          <w:color w:val="000000"/>
          <w:sz w:val="44"/>
          <w:szCs w:val="44"/>
        </w:rPr>
        <w:t>2</w:t>
      </w:r>
      <w:r>
        <w:rPr>
          <w:rFonts w:ascii="仿宋" w:eastAsia="仿宋" w:hAnsi="仿宋" w:hint="eastAsia"/>
          <w:b/>
          <w:color w:val="000000"/>
          <w:sz w:val="44"/>
          <w:szCs w:val="44"/>
        </w:rPr>
        <w:t>4</w:t>
      </w:r>
      <w:r>
        <w:rPr>
          <w:rFonts w:ascii="仿宋" w:eastAsia="仿宋" w:hAnsi="仿宋" w:hint="eastAsia"/>
          <w:b/>
          <w:color w:val="000000"/>
          <w:sz w:val="44"/>
          <w:szCs w:val="44"/>
        </w:rPr>
        <w:t>年度</w:t>
      </w:r>
      <w:r>
        <w:rPr>
          <w:rFonts w:ascii="仿宋" w:eastAsia="仿宋" w:hAnsi="仿宋" w:hint="eastAsia"/>
          <w:b/>
          <w:color w:val="000000"/>
          <w:sz w:val="44"/>
          <w:szCs w:val="44"/>
        </w:rPr>
        <w:t>浙江大学龙泉创新中心</w:t>
      </w:r>
      <w:r>
        <w:rPr>
          <w:rFonts w:ascii="仿宋" w:eastAsia="仿宋" w:hAnsi="仿宋" w:hint="eastAsia"/>
          <w:b/>
          <w:color w:val="000000"/>
          <w:sz w:val="44"/>
          <w:szCs w:val="44"/>
        </w:rPr>
        <w:t>“揭榜挂帅”科技项目申报指南</w:t>
      </w:r>
    </w:p>
    <w:p w:rsidR="00DF6836" w:rsidRDefault="00DF6836">
      <w:pPr>
        <w:spacing w:line="540" w:lineRule="exact"/>
        <w:jc w:val="center"/>
        <w:rPr>
          <w:rFonts w:ascii="仿宋" w:eastAsia="仿宋" w:hAnsi="仿宋"/>
          <w:b/>
          <w:color w:val="000000"/>
          <w:sz w:val="44"/>
          <w:szCs w:val="44"/>
        </w:rPr>
      </w:pPr>
    </w:p>
    <w:p w:rsidR="00DF6836" w:rsidRDefault="002D4EDB">
      <w:pPr>
        <w:widowControl/>
        <w:numPr>
          <w:ilvl w:val="0"/>
          <w:numId w:val="1"/>
        </w:numPr>
        <w:spacing w:line="540" w:lineRule="exact"/>
        <w:ind w:firstLineChars="200" w:firstLine="643"/>
        <w:jc w:val="left"/>
        <w:rPr>
          <w:rFonts w:eastAsia="仿宋"/>
          <w:b/>
          <w:bCs/>
          <w:sz w:val="32"/>
          <w:szCs w:val="32"/>
        </w:rPr>
      </w:pPr>
      <w:r>
        <w:rPr>
          <w:rFonts w:eastAsia="仿宋" w:hint="eastAsia"/>
          <w:b/>
          <w:bCs/>
          <w:sz w:val="32"/>
          <w:szCs w:val="32"/>
        </w:rPr>
        <w:t>汽车零部件热管理系统</w:t>
      </w:r>
    </w:p>
    <w:p w:rsidR="00DF6836" w:rsidRDefault="002D4EDB">
      <w:pPr>
        <w:widowControl/>
        <w:spacing w:line="540" w:lineRule="exact"/>
        <w:ind w:leftChars="200" w:left="420"/>
        <w:jc w:val="left"/>
        <w:rPr>
          <w:rFonts w:eastAsia="仿宋"/>
          <w:b/>
          <w:bCs/>
          <w:sz w:val="28"/>
          <w:szCs w:val="28"/>
        </w:rPr>
      </w:pPr>
      <w:r>
        <w:rPr>
          <w:rFonts w:eastAsia="仿宋" w:hint="eastAsia"/>
          <w:b/>
          <w:bCs/>
          <w:sz w:val="28"/>
          <w:szCs w:val="28"/>
        </w:rPr>
        <w:t>（一）</w:t>
      </w:r>
      <w:r>
        <w:rPr>
          <w:rFonts w:eastAsia="仿宋" w:hint="eastAsia"/>
          <w:b/>
          <w:bCs/>
          <w:sz w:val="28"/>
          <w:szCs w:val="28"/>
        </w:rPr>
        <w:t>新能源汽车车载电源和热管理多合一系统研发</w:t>
      </w:r>
    </w:p>
    <w:p w:rsidR="00DF6836" w:rsidRDefault="002D4EDB">
      <w:pPr>
        <w:pStyle w:val="a4"/>
        <w:spacing w:before="0" w:beforeAutospacing="0" w:after="0" w:afterAutospacing="0" w:line="360" w:lineRule="auto"/>
        <w:ind w:firstLineChars="200" w:firstLine="562"/>
        <w:rPr>
          <w:rFonts w:ascii="Times New Roman" w:eastAsia="仿宋" w:hAnsi="Times New Roman" w:cs="Times New Roman"/>
          <w:kern w:val="2"/>
          <w:sz w:val="28"/>
          <w:szCs w:val="28"/>
        </w:rPr>
      </w:pPr>
      <w:r>
        <w:rPr>
          <w:rFonts w:eastAsia="仿宋" w:hint="eastAsia"/>
          <w:b/>
          <w:bCs/>
          <w:sz w:val="28"/>
          <w:szCs w:val="28"/>
        </w:rPr>
        <w:t>研究内容：</w:t>
      </w:r>
      <w:r>
        <w:rPr>
          <w:rFonts w:ascii="Times New Roman" w:eastAsia="仿宋" w:hAnsi="Times New Roman" w:cs="Times New Roman" w:hint="eastAsia"/>
          <w:kern w:val="2"/>
          <w:sz w:val="28"/>
          <w:szCs w:val="28"/>
        </w:rPr>
        <w:t>新能源车载电源系统是高压系统，热管理系统中</w:t>
      </w:r>
      <w:r>
        <w:rPr>
          <w:rFonts w:ascii="Times New Roman" w:eastAsia="仿宋" w:hAnsi="Times New Roman" w:cs="Times New Roman" w:hint="eastAsia"/>
          <w:kern w:val="2"/>
          <w:sz w:val="28"/>
          <w:szCs w:val="28"/>
        </w:rPr>
        <w:t>PTC</w:t>
      </w:r>
      <w:r>
        <w:rPr>
          <w:rFonts w:ascii="Times New Roman" w:eastAsia="仿宋" w:hAnsi="Times New Roman" w:cs="Times New Roman" w:hint="eastAsia"/>
          <w:kern w:val="2"/>
          <w:sz w:val="28"/>
          <w:szCs w:val="28"/>
        </w:rPr>
        <w:t>和压缩机是高压系统，其它热管理控制系统均为低压系统，在高低压系统平台化上统筹考虑，将车载电源高压系统充分考虑平台化，采用“高内聚，低耦合”的理念，将热量产生，热量传导，热量利用统一；同时将热管理系统的冷却控制算法和车载电源热模型算法结合起来，进行算法开发。</w:t>
      </w:r>
    </w:p>
    <w:p w:rsidR="00DF6836" w:rsidRDefault="002D4EDB">
      <w:pPr>
        <w:pStyle w:val="a4"/>
        <w:spacing w:before="0" w:beforeAutospacing="0" w:after="0" w:afterAutospacing="0" w:line="360" w:lineRule="auto"/>
        <w:ind w:firstLineChars="200" w:firstLine="562"/>
        <w:rPr>
          <w:rFonts w:eastAsia="仿宋" w:cs="Times New Roman"/>
          <w:b/>
          <w:bCs/>
          <w:sz w:val="28"/>
          <w:szCs w:val="28"/>
        </w:rPr>
      </w:pPr>
      <w:r>
        <w:rPr>
          <w:rFonts w:eastAsia="仿宋" w:hint="eastAsia"/>
          <w:b/>
          <w:bCs/>
          <w:sz w:val="28"/>
          <w:szCs w:val="28"/>
        </w:rPr>
        <w:t>（二）</w:t>
      </w:r>
      <w:r>
        <w:rPr>
          <w:rFonts w:eastAsia="仿宋" w:cs="Times New Roman" w:hint="eastAsia"/>
          <w:b/>
          <w:bCs/>
          <w:sz w:val="28"/>
          <w:szCs w:val="28"/>
        </w:rPr>
        <w:t>新能源汽车芯片热管理智能仿真系统研发与应用</w:t>
      </w:r>
    </w:p>
    <w:p w:rsidR="00DF6836" w:rsidRDefault="002D4EDB">
      <w:pPr>
        <w:widowControl/>
        <w:spacing w:line="360" w:lineRule="auto"/>
        <w:ind w:left="52" w:firstLineChars="200" w:firstLine="562"/>
        <w:rPr>
          <w:rFonts w:eastAsia="仿宋"/>
          <w:sz w:val="28"/>
          <w:szCs w:val="28"/>
        </w:rPr>
      </w:pPr>
      <w:r>
        <w:rPr>
          <w:rFonts w:eastAsia="仿宋" w:hint="eastAsia"/>
          <w:b/>
          <w:bCs/>
          <w:sz w:val="28"/>
          <w:szCs w:val="28"/>
        </w:rPr>
        <w:t>研究内容：</w:t>
      </w:r>
      <w:r>
        <w:rPr>
          <w:rFonts w:eastAsia="仿宋" w:hint="eastAsia"/>
          <w:sz w:val="28"/>
          <w:szCs w:val="28"/>
        </w:rPr>
        <w:t>针对</w:t>
      </w:r>
      <w:r>
        <w:rPr>
          <w:rFonts w:eastAsia="仿宋" w:hint="eastAsia"/>
          <w:sz w:val="28"/>
          <w:szCs w:val="28"/>
        </w:rPr>
        <w:t>新能源</w:t>
      </w:r>
      <w:r>
        <w:rPr>
          <w:rFonts w:eastAsia="仿宋" w:hint="eastAsia"/>
          <w:sz w:val="28"/>
          <w:szCs w:val="28"/>
        </w:rPr>
        <w:t>汽车芯片热管理多物理场耦合仿真的问题，</w:t>
      </w:r>
      <w:r>
        <w:rPr>
          <w:rFonts w:eastAsia="仿宋" w:hint="eastAsia"/>
          <w:sz w:val="28"/>
          <w:szCs w:val="28"/>
        </w:rPr>
        <w:t>进行</w:t>
      </w:r>
      <w:r>
        <w:rPr>
          <w:rFonts w:eastAsia="仿宋" w:hint="eastAsia"/>
          <w:sz w:val="28"/>
          <w:szCs w:val="28"/>
        </w:rPr>
        <w:t>汽车芯片的电</w:t>
      </w:r>
      <w:r>
        <w:rPr>
          <w:rFonts w:eastAsia="仿宋" w:hint="eastAsia"/>
          <w:sz w:val="28"/>
          <w:szCs w:val="28"/>
        </w:rPr>
        <w:t>-</w:t>
      </w:r>
      <w:r>
        <w:rPr>
          <w:rFonts w:eastAsia="仿宋" w:hint="eastAsia"/>
          <w:sz w:val="28"/>
          <w:szCs w:val="28"/>
        </w:rPr>
        <w:t>热</w:t>
      </w:r>
      <w:r>
        <w:rPr>
          <w:rFonts w:eastAsia="仿宋" w:hint="eastAsia"/>
          <w:sz w:val="28"/>
          <w:szCs w:val="28"/>
        </w:rPr>
        <w:t>-</w:t>
      </w:r>
      <w:r>
        <w:rPr>
          <w:rFonts w:eastAsia="仿宋" w:hint="eastAsia"/>
          <w:sz w:val="28"/>
          <w:szCs w:val="28"/>
        </w:rPr>
        <w:t>流</w:t>
      </w:r>
      <w:r>
        <w:rPr>
          <w:rFonts w:eastAsia="仿宋" w:hint="eastAsia"/>
          <w:sz w:val="28"/>
          <w:szCs w:val="28"/>
        </w:rPr>
        <w:t>-</w:t>
      </w:r>
      <w:r>
        <w:rPr>
          <w:rFonts w:eastAsia="仿宋" w:hint="eastAsia"/>
          <w:sz w:val="28"/>
          <w:szCs w:val="28"/>
        </w:rPr>
        <w:t>固多物理场耦合仿真模型研究，包括电热耦合模型、流固耦合模型、电热固耦合模型和流热固耦合模型等</w:t>
      </w:r>
      <w:r>
        <w:rPr>
          <w:rFonts w:eastAsia="仿宋" w:hint="eastAsia"/>
          <w:sz w:val="28"/>
          <w:szCs w:val="28"/>
        </w:rPr>
        <w:t>；</w:t>
      </w:r>
      <w:r>
        <w:rPr>
          <w:rFonts w:eastAsia="仿宋" w:hint="eastAsia"/>
          <w:sz w:val="28"/>
          <w:szCs w:val="28"/>
        </w:rPr>
        <w:t>耦合无监督机器学习算法和多物理场仿真模型，发展国产自主可控的汽车芯片热管理智能仿真</w:t>
      </w:r>
      <w:r>
        <w:rPr>
          <w:rFonts w:eastAsia="仿宋" w:hint="eastAsia"/>
          <w:sz w:val="28"/>
          <w:szCs w:val="28"/>
        </w:rPr>
        <w:t>系统</w:t>
      </w:r>
      <w:r>
        <w:rPr>
          <w:rFonts w:eastAsia="仿宋" w:hint="eastAsia"/>
          <w:sz w:val="28"/>
          <w:szCs w:val="28"/>
        </w:rPr>
        <w:t>，并</w:t>
      </w:r>
      <w:r>
        <w:rPr>
          <w:rFonts w:eastAsia="仿宋" w:hint="eastAsia"/>
          <w:sz w:val="28"/>
          <w:szCs w:val="28"/>
        </w:rPr>
        <w:t>形成应用</w:t>
      </w:r>
      <w:r>
        <w:rPr>
          <w:rFonts w:eastAsia="仿宋" w:hint="eastAsia"/>
          <w:sz w:val="28"/>
          <w:szCs w:val="28"/>
        </w:rPr>
        <w:t>。</w:t>
      </w:r>
    </w:p>
    <w:p w:rsidR="00DF6836" w:rsidRDefault="002D4EDB">
      <w:pPr>
        <w:pStyle w:val="a4"/>
        <w:spacing w:before="0" w:beforeAutospacing="0" w:after="0" w:afterAutospacing="0" w:line="360" w:lineRule="auto"/>
        <w:ind w:firstLineChars="200" w:firstLine="562"/>
        <w:rPr>
          <w:rFonts w:eastAsia="仿宋"/>
          <w:b/>
          <w:bCs/>
          <w:sz w:val="28"/>
          <w:szCs w:val="28"/>
        </w:rPr>
      </w:pPr>
      <w:r>
        <w:rPr>
          <w:rFonts w:eastAsia="仿宋" w:hint="eastAsia"/>
          <w:b/>
          <w:bCs/>
          <w:sz w:val="28"/>
          <w:szCs w:val="28"/>
        </w:rPr>
        <w:t>（三）新能源汽车热管理系统</w:t>
      </w:r>
      <w:r>
        <w:rPr>
          <w:rFonts w:eastAsia="仿宋" w:hint="eastAsia"/>
          <w:b/>
          <w:bCs/>
          <w:sz w:val="28"/>
          <w:szCs w:val="28"/>
        </w:rPr>
        <w:t>PTC</w:t>
      </w:r>
      <w:r>
        <w:rPr>
          <w:rFonts w:eastAsia="仿宋" w:hint="eastAsia"/>
          <w:b/>
          <w:bCs/>
          <w:sz w:val="28"/>
          <w:szCs w:val="28"/>
        </w:rPr>
        <w:t>和压缩机二合一驱动系统研发</w:t>
      </w:r>
    </w:p>
    <w:p w:rsidR="00DF6836" w:rsidRDefault="002D4EDB">
      <w:pPr>
        <w:widowControl/>
        <w:autoSpaceDE w:val="0"/>
        <w:spacing w:line="360" w:lineRule="auto"/>
        <w:ind w:firstLineChars="200" w:firstLine="562"/>
        <w:jc w:val="left"/>
        <w:rPr>
          <w:rFonts w:eastAsia="仿宋"/>
          <w:sz w:val="28"/>
          <w:szCs w:val="28"/>
        </w:rPr>
      </w:pPr>
      <w:r>
        <w:rPr>
          <w:rFonts w:eastAsia="仿宋" w:hint="eastAsia"/>
          <w:b/>
          <w:bCs/>
          <w:sz w:val="28"/>
          <w:szCs w:val="28"/>
        </w:rPr>
        <w:t>研究内容：</w:t>
      </w:r>
      <w:r>
        <w:rPr>
          <w:rFonts w:eastAsia="仿宋" w:hint="eastAsia"/>
          <w:sz w:val="28"/>
          <w:szCs w:val="28"/>
        </w:rPr>
        <w:t>研发双</w:t>
      </w:r>
      <w:r>
        <w:rPr>
          <w:rFonts w:eastAsia="仿宋" w:hint="eastAsia"/>
          <w:sz w:val="28"/>
          <w:szCs w:val="28"/>
        </w:rPr>
        <w:t>MCU</w:t>
      </w:r>
      <w:r>
        <w:rPr>
          <w:rFonts w:eastAsia="仿宋" w:hint="eastAsia"/>
          <w:sz w:val="28"/>
          <w:szCs w:val="28"/>
        </w:rPr>
        <w:t>的</w:t>
      </w:r>
      <w:r>
        <w:rPr>
          <w:rFonts w:eastAsia="仿宋" w:hint="eastAsia"/>
          <w:sz w:val="28"/>
          <w:szCs w:val="28"/>
        </w:rPr>
        <w:t>PTC</w:t>
      </w:r>
      <w:r>
        <w:rPr>
          <w:rFonts w:eastAsia="仿宋" w:hint="eastAsia"/>
          <w:sz w:val="28"/>
          <w:szCs w:val="28"/>
        </w:rPr>
        <w:t>和压缩机二合一驱动硬件，建立</w:t>
      </w:r>
      <w:r>
        <w:rPr>
          <w:rFonts w:eastAsia="仿宋" w:hint="eastAsia"/>
          <w:sz w:val="28"/>
          <w:szCs w:val="28"/>
        </w:rPr>
        <w:t>autosarsar</w:t>
      </w:r>
      <w:r>
        <w:rPr>
          <w:rFonts w:eastAsia="仿宋" w:hint="eastAsia"/>
          <w:sz w:val="28"/>
          <w:szCs w:val="28"/>
        </w:rPr>
        <w:t>架构，实现软件、硬件分离和软件模块化，基于</w:t>
      </w:r>
      <w:r>
        <w:rPr>
          <w:rFonts w:eastAsia="仿宋" w:hint="eastAsia"/>
          <w:sz w:val="28"/>
          <w:szCs w:val="28"/>
        </w:rPr>
        <w:t>LIN</w:t>
      </w:r>
      <w:r>
        <w:rPr>
          <w:rFonts w:eastAsia="仿宋" w:hint="eastAsia"/>
          <w:sz w:val="28"/>
          <w:szCs w:val="28"/>
        </w:rPr>
        <w:t>或</w:t>
      </w:r>
      <w:r>
        <w:rPr>
          <w:rFonts w:eastAsia="仿宋" w:hint="eastAsia"/>
          <w:sz w:val="28"/>
          <w:szCs w:val="28"/>
        </w:rPr>
        <w:t>CAN</w:t>
      </w:r>
      <w:r>
        <w:rPr>
          <w:rFonts w:eastAsia="仿宋" w:hint="eastAsia"/>
          <w:sz w:val="28"/>
          <w:szCs w:val="28"/>
        </w:rPr>
        <w:t>的诊断和刷新功能的合并和完善</w:t>
      </w:r>
      <w:r>
        <w:rPr>
          <w:rFonts w:eastAsia="仿宋" w:hint="eastAsia"/>
          <w:sz w:val="28"/>
          <w:szCs w:val="28"/>
        </w:rPr>
        <w:t>；</w:t>
      </w:r>
      <w:r>
        <w:rPr>
          <w:rFonts w:eastAsia="仿宋" w:hint="eastAsia"/>
          <w:sz w:val="28"/>
          <w:szCs w:val="28"/>
        </w:rPr>
        <w:t>完成从模型到软件、</w:t>
      </w:r>
      <w:r>
        <w:rPr>
          <w:rFonts w:eastAsia="仿宋" w:hint="eastAsia"/>
          <w:sz w:val="28"/>
          <w:szCs w:val="28"/>
        </w:rPr>
        <w:t>硬件的标准化</w:t>
      </w:r>
      <w:r>
        <w:rPr>
          <w:rFonts w:eastAsia="仿宋" w:hint="eastAsia"/>
          <w:sz w:val="28"/>
          <w:szCs w:val="28"/>
        </w:rPr>
        <w:lastRenderedPageBreak/>
        <w:t>功能测试和台架测试，配合压缩机和</w:t>
      </w:r>
      <w:r>
        <w:rPr>
          <w:rFonts w:eastAsia="仿宋" w:hint="eastAsia"/>
          <w:sz w:val="28"/>
          <w:szCs w:val="28"/>
        </w:rPr>
        <w:t>PTC</w:t>
      </w:r>
      <w:r>
        <w:rPr>
          <w:rFonts w:eastAsia="仿宋" w:hint="eastAsia"/>
          <w:sz w:val="28"/>
          <w:szCs w:val="28"/>
        </w:rPr>
        <w:t>本体部分，实现驱动板的装车应用。</w:t>
      </w:r>
    </w:p>
    <w:p w:rsidR="00DF6836" w:rsidRDefault="002D4EDB">
      <w:pPr>
        <w:widowControl/>
        <w:autoSpaceDE w:val="0"/>
        <w:spacing w:line="360" w:lineRule="auto"/>
        <w:ind w:firstLineChars="200" w:firstLine="562"/>
        <w:jc w:val="left"/>
        <w:rPr>
          <w:rFonts w:eastAsia="仿宋"/>
          <w:b/>
          <w:bCs/>
          <w:sz w:val="28"/>
          <w:szCs w:val="28"/>
        </w:rPr>
      </w:pPr>
      <w:r>
        <w:rPr>
          <w:rFonts w:eastAsia="仿宋" w:hint="eastAsia"/>
          <w:b/>
          <w:bCs/>
          <w:sz w:val="28"/>
          <w:szCs w:val="28"/>
        </w:rPr>
        <w:t>（四）</w:t>
      </w:r>
      <w:r>
        <w:rPr>
          <w:rFonts w:eastAsia="仿宋" w:hint="eastAsia"/>
          <w:b/>
          <w:bCs/>
          <w:sz w:val="28"/>
          <w:szCs w:val="28"/>
        </w:rPr>
        <w:t>强化动力电池热管理的</w:t>
      </w:r>
      <w:r>
        <w:rPr>
          <w:rFonts w:eastAsia="仿宋" w:hint="eastAsia"/>
          <w:b/>
          <w:bCs/>
          <w:sz w:val="28"/>
          <w:szCs w:val="28"/>
        </w:rPr>
        <w:t>新型</w:t>
      </w:r>
      <w:r>
        <w:rPr>
          <w:rFonts w:eastAsia="仿宋" w:hint="eastAsia"/>
          <w:b/>
          <w:bCs/>
          <w:sz w:val="28"/>
          <w:szCs w:val="28"/>
        </w:rPr>
        <w:t>材料的研制</w:t>
      </w:r>
      <w:r>
        <w:rPr>
          <w:rFonts w:eastAsia="仿宋" w:hint="eastAsia"/>
          <w:b/>
          <w:bCs/>
          <w:sz w:val="28"/>
          <w:szCs w:val="28"/>
        </w:rPr>
        <w:t>与应用</w:t>
      </w:r>
    </w:p>
    <w:p w:rsidR="00DF6836" w:rsidRDefault="002D4EDB">
      <w:pPr>
        <w:widowControl/>
        <w:autoSpaceDE w:val="0"/>
        <w:spacing w:line="360" w:lineRule="auto"/>
        <w:ind w:firstLineChars="200" w:firstLine="562"/>
        <w:jc w:val="left"/>
        <w:rPr>
          <w:rFonts w:eastAsia="仿宋"/>
          <w:sz w:val="28"/>
          <w:szCs w:val="28"/>
        </w:rPr>
      </w:pPr>
      <w:r>
        <w:rPr>
          <w:rFonts w:eastAsia="仿宋" w:hint="eastAsia"/>
          <w:b/>
          <w:bCs/>
          <w:sz w:val="28"/>
          <w:szCs w:val="28"/>
        </w:rPr>
        <w:t>研究内容：</w:t>
      </w:r>
      <w:r>
        <w:rPr>
          <w:rFonts w:eastAsia="仿宋" w:hint="eastAsia"/>
          <w:sz w:val="28"/>
          <w:szCs w:val="28"/>
        </w:rPr>
        <w:t>开发零碳生物质基的柔性相变膜实现高效的电池被动热管理，与传统液冷方式耦合，形成吸热</w:t>
      </w:r>
      <w:r>
        <w:rPr>
          <w:rFonts w:eastAsia="仿宋" w:hint="eastAsia"/>
          <w:sz w:val="28"/>
          <w:szCs w:val="28"/>
        </w:rPr>
        <w:t>/</w:t>
      </w:r>
      <w:r>
        <w:rPr>
          <w:rFonts w:eastAsia="仿宋" w:hint="eastAsia"/>
          <w:sz w:val="28"/>
          <w:szCs w:val="28"/>
        </w:rPr>
        <w:t>散热一体化的混合热管理系统</w:t>
      </w:r>
      <w:r>
        <w:rPr>
          <w:rFonts w:eastAsia="仿宋" w:hint="eastAsia"/>
          <w:sz w:val="28"/>
          <w:szCs w:val="28"/>
        </w:rPr>
        <w:t>；</w:t>
      </w:r>
      <w:r>
        <w:rPr>
          <w:rFonts w:eastAsia="仿宋" w:hint="eastAsia"/>
          <w:sz w:val="28"/>
          <w:szCs w:val="28"/>
        </w:rPr>
        <w:t>通过相关材料的组合制备具有柔韧性和自修复力的水凝胶相变层</w:t>
      </w:r>
      <w:r>
        <w:rPr>
          <w:rFonts w:eastAsia="仿宋" w:hint="eastAsia"/>
          <w:sz w:val="28"/>
          <w:szCs w:val="28"/>
        </w:rPr>
        <w:t>，</w:t>
      </w:r>
      <w:r>
        <w:rPr>
          <w:rFonts w:eastAsia="仿宋" w:hint="eastAsia"/>
          <w:sz w:val="28"/>
          <w:szCs w:val="28"/>
        </w:rPr>
        <w:t>与液冷技术结合后，电池组的峰值温度不超过</w:t>
      </w:r>
      <w:r>
        <w:rPr>
          <w:rFonts w:eastAsia="仿宋" w:hint="eastAsia"/>
          <w:sz w:val="28"/>
          <w:szCs w:val="28"/>
        </w:rPr>
        <w:t>45</w:t>
      </w:r>
      <w:r>
        <w:rPr>
          <w:rFonts w:eastAsia="仿宋" w:hint="eastAsia"/>
          <w:sz w:val="28"/>
          <w:szCs w:val="28"/>
        </w:rPr>
        <w:t>℃</w:t>
      </w:r>
      <w:r>
        <w:rPr>
          <w:rFonts w:eastAsia="仿宋" w:hint="eastAsia"/>
          <w:sz w:val="28"/>
          <w:szCs w:val="28"/>
        </w:rPr>
        <w:t>；</w:t>
      </w:r>
      <w:r>
        <w:rPr>
          <w:rFonts w:eastAsia="仿宋" w:hint="eastAsia"/>
          <w:sz w:val="28"/>
          <w:szCs w:val="28"/>
        </w:rPr>
        <w:t>吸热</w:t>
      </w:r>
      <w:r>
        <w:rPr>
          <w:rFonts w:eastAsia="仿宋" w:hint="eastAsia"/>
          <w:sz w:val="28"/>
          <w:szCs w:val="28"/>
        </w:rPr>
        <w:t>/</w:t>
      </w:r>
      <w:r>
        <w:rPr>
          <w:rFonts w:eastAsia="仿宋" w:hint="eastAsia"/>
          <w:sz w:val="28"/>
          <w:szCs w:val="28"/>
        </w:rPr>
        <w:t>散热一体化的耦合冷却方式为动力电池的热管理提供了一种具有更高冷却效率和更好温度均匀性的碳中性设计方案。</w:t>
      </w:r>
    </w:p>
    <w:p w:rsidR="00DF6836" w:rsidRDefault="002D4EDB">
      <w:pPr>
        <w:widowControl/>
        <w:autoSpaceDE w:val="0"/>
        <w:spacing w:line="360" w:lineRule="auto"/>
        <w:ind w:firstLineChars="200" w:firstLine="562"/>
        <w:jc w:val="left"/>
        <w:rPr>
          <w:rFonts w:eastAsia="仿宋"/>
          <w:b/>
          <w:bCs/>
          <w:sz w:val="28"/>
          <w:szCs w:val="28"/>
        </w:rPr>
      </w:pPr>
      <w:r>
        <w:rPr>
          <w:rFonts w:eastAsia="仿宋" w:hint="eastAsia"/>
          <w:b/>
          <w:bCs/>
          <w:sz w:val="28"/>
          <w:szCs w:val="28"/>
        </w:rPr>
        <w:t>（五）新型冷媒</w:t>
      </w:r>
      <w:r>
        <w:rPr>
          <w:rFonts w:eastAsia="仿宋" w:hint="eastAsia"/>
          <w:b/>
          <w:bCs/>
          <w:sz w:val="28"/>
          <w:szCs w:val="28"/>
        </w:rPr>
        <w:t>热管理</w:t>
      </w:r>
      <w:r>
        <w:rPr>
          <w:rFonts w:eastAsia="仿宋" w:hint="eastAsia"/>
          <w:b/>
          <w:bCs/>
          <w:sz w:val="28"/>
          <w:szCs w:val="28"/>
        </w:rPr>
        <w:t>压缩机</w:t>
      </w:r>
      <w:r>
        <w:rPr>
          <w:rFonts w:eastAsia="仿宋" w:hint="eastAsia"/>
          <w:b/>
          <w:bCs/>
          <w:sz w:val="28"/>
          <w:szCs w:val="28"/>
        </w:rPr>
        <w:t>高性能、</w:t>
      </w:r>
      <w:r>
        <w:rPr>
          <w:rFonts w:eastAsia="仿宋" w:hint="eastAsia"/>
          <w:b/>
          <w:bCs/>
          <w:sz w:val="28"/>
          <w:szCs w:val="28"/>
        </w:rPr>
        <w:t>低振动</w:t>
      </w:r>
      <w:r>
        <w:rPr>
          <w:rFonts w:eastAsia="仿宋" w:hint="eastAsia"/>
          <w:b/>
          <w:bCs/>
          <w:sz w:val="28"/>
          <w:szCs w:val="28"/>
        </w:rPr>
        <w:t>噪声</w:t>
      </w:r>
      <w:r>
        <w:rPr>
          <w:rFonts w:eastAsia="仿宋" w:hint="eastAsia"/>
          <w:b/>
          <w:bCs/>
          <w:sz w:val="28"/>
          <w:szCs w:val="28"/>
        </w:rPr>
        <w:t>整车集成技术</w:t>
      </w:r>
    </w:p>
    <w:p w:rsidR="00DF6836" w:rsidRDefault="002D4EDB">
      <w:pPr>
        <w:widowControl/>
        <w:autoSpaceDE w:val="0"/>
        <w:spacing w:line="360" w:lineRule="auto"/>
        <w:ind w:firstLineChars="200" w:firstLine="562"/>
        <w:jc w:val="left"/>
        <w:rPr>
          <w:rFonts w:eastAsia="仿宋"/>
          <w:sz w:val="28"/>
          <w:szCs w:val="28"/>
        </w:rPr>
      </w:pPr>
      <w:r>
        <w:rPr>
          <w:rFonts w:eastAsia="仿宋" w:hint="eastAsia"/>
          <w:b/>
          <w:bCs/>
          <w:sz w:val="28"/>
          <w:szCs w:val="28"/>
        </w:rPr>
        <w:t>研究内容：</w:t>
      </w:r>
      <w:r>
        <w:rPr>
          <w:rFonts w:eastAsia="仿宋" w:hint="eastAsia"/>
          <w:sz w:val="28"/>
          <w:szCs w:val="28"/>
        </w:rPr>
        <w:t>针对低碳环保新型冷媒，开发高可靠性</w:t>
      </w:r>
      <w:r>
        <w:rPr>
          <w:rFonts w:eastAsia="仿宋" w:hint="eastAsia"/>
          <w:sz w:val="28"/>
          <w:szCs w:val="28"/>
        </w:rPr>
        <w:t>、</w:t>
      </w:r>
      <w:r>
        <w:rPr>
          <w:rFonts w:eastAsia="仿宋" w:hint="eastAsia"/>
          <w:sz w:val="28"/>
          <w:szCs w:val="28"/>
        </w:rPr>
        <w:t>高性能的热管理压缩机，其能效比达到行业领先水平，耐腐蚀可靠性好。满足车用要求，振动噪声低，通过建立压缩机</w:t>
      </w:r>
      <w:r>
        <w:rPr>
          <w:rFonts w:eastAsia="仿宋" w:hint="eastAsia"/>
          <w:sz w:val="28"/>
          <w:szCs w:val="28"/>
        </w:rPr>
        <w:t>－</w:t>
      </w:r>
      <w:r>
        <w:rPr>
          <w:rFonts w:eastAsia="仿宋" w:hint="eastAsia"/>
          <w:sz w:val="28"/>
          <w:szCs w:val="28"/>
        </w:rPr>
        <w:t>悬置多体动力学模型，开展压缩机刚体模态与隔振特性计算，优化隔振策略，实现低噪声、低振动整车集成技术。</w:t>
      </w:r>
    </w:p>
    <w:p w:rsidR="00DF6836" w:rsidRDefault="002D4EDB">
      <w:pPr>
        <w:pStyle w:val="a4"/>
        <w:spacing w:before="0" w:beforeAutospacing="0" w:after="0" w:afterAutospacing="0" w:line="360" w:lineRule="auto"/>
        <w:ind w:firstLineChars="200" w:firstLine="643"/>
        <w:rPr>
          <w:rFonts w:eastAsia="仿宋"/>
          <w:b/>
          <w:bCs/>
          <w:sz w:val="32"/>
          <w:szCs w:val="32"/>
        </w:rPr>
      </w:pPr>
      <w:r>
        <w:rPr>
          <w:rFonts w:eastAsia="仿宋" w:hint="eastAsia"/>
          <w:b/>
          <w:bCs/>
          <w:sz w:val="32"/>
          <w:szCs w:val="32"/>
        </w:rPr>
        <w:t>二、碳达峰、碳中和</w:t>
      </w:r>
    </w:p>
    <w:p w:rsidR="00DF6836" w:rsidRDefault="002D4EDB">
      <w:pPr>
        <w:pStyle w:val="a4"/>
        <w:spacing w:before="0" w:beforeAutospacing="0" w:after="0" w:afterAutospacing="0" w:line="360" w:lineRule="auto"/>
        <w:ind w:firstLineChars="200" w:firstLine="562"/>
        <w:rPr>
          <w:rFonts w:eastAsia="仿宋"/>
          <w:b/>
          <w:bCs/>
          <w:sz w:val="28"/>
          <w:szCs w:val="28"/>
        </w:rPr>
      </w:pPr>
      <w:r>
        <w:rPr>
          <w:rFonts w:eastAsia="仿宋" w:hint="eastAsia"/>
          <w:b/>
          <w:bCs/>
          <w:sz w:val="28"/>
          <w:szCs w:val="28"/>
        </w:rPr>
        <w:t>（六）</w:t>
      </w:r>
      <w:r>
        <w:rPr>
          <w:rFonts w:eastAsia="仿宋"/>
          <w:b/>
          <w:bCs/>
          <w:sz w:val="28"/>
          <w:szCs w:val="28"/>
        </w:rPr>
        <w:t>生物质锅炉燃烧过程中氨迁移足迹及飞灰脱氨技术研究</w:t>
      </w:r>
    </w:p>
    <w:p w:rsidR="00DF6836" w:rsidRDefault="002D4EDB">
      <w:pPr>
        <w:pStyle w:val="a4"/>
        <w:spacing w:before="0" w:beforeAutospacing="0" w:after="0" w:afterAutospacing="0" w:line="360" w:lineRule="auto"/>
        <w:ind w:firstLineChars="200" w:firstLine="562"/>
        <w:rPr>
          <w:rFonts w:eastAsia="仿宋"/>
          <w:sz w:val="28"/>
          <w:szCs w:val="28"/>
        </w:rPr>
      </w:pPr>
      <w:r>
        <w:rPr>
          <w:rFonts w:eastAsia="仿宋" w:hint="eastAsia"/>
          <w:b/>
          <w:bCs/>
          <w:sz w:val="28"/>
          <w:szCs w:val="28"/>
        </w:rPr>
        <w:t>研究内容：</w:t>
      </w:r>
      <w:r>
        <w:rPr>
          <w:rFonts w:eastAsia="仿宋"/>
          <w:sz w:val="28"/>
          <w:szCs w:val="28"/>
        </w:rPr>
        <w:t>针对不同的生物质燃料类型，结合生物质锅炉的不同燃烧条件，通过现场试验分析生物质锅炉氮氧化物、氨生成与燃料、锅炉运行参数之间的量化影响关系，研究生物质锅炉氨</w:t>
      </w:r>
      <w:r>
        <w:rPr>
          <w:rFonts w:eastAsia="仿宋"/>
          <w:sz w:val="28"/>
          <w:szCs w:val="28"/>
        </w:rPr>
        <w:t>生成的机理；通过对不同运行工况下生物质锅炉烟气流程不同位置的烟气成分在线测量及飞灰在线取样分析，掌握生物质锅炉在不同运行工况下氨和</w:t>
      </w:r>
      <w:r>
        <w:rPr>
          <w:rFonts w:eastAsia="仿宋"/>
          <w:sz w:val="28"/>
          <w:szCs w:val="28"/>
        </w:rPr>
        <w:lastRenderedPageBreak/>
        <w:t>氮氧化物的分布特性及迁移足迹模型；针对生物质锅炉氨生成及迁移后飞灰中氨浓度高而影响其资源化利用的问题，结合生物质锅炉飞灰特性，研究飞灰脱氨的工艺技术方法</w:t>
      </w:r>
      <w:r>
        <w:rPr>
          <w:rFonts w:eastAsia="仿宋" w:hint="eastAsia"/>
          <w:sz w:val="28"/>
          <w:szCs w:val="28"/>
        </w:rPr>
        <w:t>，从而进一步提升生物质锅炉的“减污降碳”作用提供有效手段。</w:t>
      </w:r>
    </w:p>
    <w:p w:rsidR="00DF6836" w:rsidRDefault="002D4EDB">
      <w:pPr>
        <w:pStyle w:val="a4"/>
        <w:spacing w:before="0" w:beforeAutospacing="0" w:after="0" w:afterAutospacing="0" w:line="360" w:lineRule="auto"/>
        <w:ind w:firstLineChars="200" w:firstLine="562"/>
        <w:rPr>
          <w:rFonts w:eastAsia="仿宋"/>
          <w:b/>
          <w:bCs/>
          <w:sz w:val="28"/>
          <w:szCs w:val="28"/>
        </w:rPr>
      </w:pPr>
      <w:r>
        <w:rPr>
          <w:rFonts w:eastAsia="仿宋" w:hint="eastAsia"/>
          <w:b/>
          <w:bCs/>
          <w:sz w:val="28"/>
          <w:szCs w:val="28"/>
        </w:rPr>
        <w:t>（七）</w:t>
      </w:r>
      <w:r>
        <w:rPr>
          <w:rFonts w:eastAsia="仿宋"/>
          <w:b/>
          <w:bCs/>
          <w:sz w:val="28"/>
          <w:szCs w:val="28"/>
        </w:rPr>
        <w:t>节能低碳村镇住宅优化路径及其适宜技术研究</w:t>
      </w:r>
    </w:p>
    <w:p w:rsidR="00DF6836" w:rsidRDefault="002D4EDB">
      <w:pPr>
        <w:widowControl/>
        <w:spacing w:line="360" w:lineRule="auto"/>
        <w:ind w:firstLineChars="200" w:firstLine="562"/>
        <w:jc w:val="left"/>
        <w:rPr>
          <w:rFonts w:ascii="宋体" w:eastAsia="仿宋" w:hAnsi="宋体" w:cs="宋体"/>
          <w:kern w:val="0"/>
          <w:sz w:val="28"/>
          <w:szCs w:val="28"/>
        </w:rPr>
      </w:pPr>
      <w:r>
        <w:rPr>
          <w:rFonts w:ascii="宋体" w:eastAsia="仿宋" w:hAnsi="宋体" w:cs="宋体" w:hint="eastAsia"/>
          <w:b/>
          <w:bCs/>
          <w:kern w:val="0"/>
          <w:sz w:val="28"/>
          <w:szCs w:val="28"/>
        </w:rPr>
        <w:t>研究内容：</w:t>
      </w:r>
      <w:r>
        <w:rPr>
          <w:rFonts w:ascii="宋体" w:eastAsia="仿宋" w:hAnsi="宋体" w:cs="宋体" w:hint="eastAsia"/>
          <w:kern w:val="0"/>
          <w:sz w:val="28"/>
          <w:szCs w:val="28"/>
        </w:rPr>
        <w:t>针对能耗与舒适度研究，这两个性能目标之间存在负相关关系，需要建构基于算法的多目标预测模型，明晰“运行能耗与不舒适小时数”性能指标改变与多个敏感技术措施之间的耦合关系，来简化后期优化方案的生成过程；依托</w:t>
      </w:r>
      <w:r>
        <w:rPr>
          <w:rFonts w:ascii="宋体" w:eastAsia="仿宋" w:hAnsi="宋体" w:cs="宋体" w:hint="eastAsia"/>
          <w:kern w:val="0"/>
          <w:sz w:val="28"/>
          <w:szCs w:val="28"/>
        </w:rPr>
        <w:t>BIM</w:t>
      </w:r>
      <w:r>
        <w:rPr>
          <w:rFonts w:ascii="宋体" w:eastAsia="仿宋" w:hAnsi="宋体" w:cs="宋体" w:hint="eastAsia"/>
          <w:kern w:val="0"/>
          <w:sz w:val="28"/>
          <w:szCs w:val="28"/>
        </w:rPr>
        <w:t>技术，以被动式设计策略与适宜的技术措施为设计起始点，结合乡镇住宅能耗规律、室内环境波动特征制定生成设计规则，驱动技术措施组合以自组织方式生成优化设计方案，建构的</w:t>
      </w:r>
      <w:r>
        <w:rPr>
          <w:rFonts w:ascii="宋体" w:eastAsia="仿宋" w:hAnsi="宋体" w:cs="宋体"/>
          <w:kern w:val="0"/>
          <w:sz w:val="28"/>
          <w:szCs w:val="28"/>
        </w:rPr>
        <w:t>动态</w:t>
      </w:r>
      <w:r>
        <w:rPr>
          <w:rFonts w:ascii="宋体" w:eastAsia="仿宋" w:hAnsi="宋体" w:cs="宋体" w:hint="eastAsia"/>
          <w:kern w:val="0"/>
          <w:sz w:val="28"/>
          <w:szCs w:val="28"/>
        </w:rPr>
        <w:t>BIM</w:t>
      </w:r>
      <w:r>
        <w:rPr>
          <w:rFonts w:ascii="宋体" w:eastAsia="仿宋" w:hAnsi="宋体" w:cs="宋体" w:hint="eastAsia"/>
          <w:kern w:val="0"/>
          <w:sz w:val="28"/>
          <w:szCs w:val="28"/>
        </w:rPr>
        <w:t>平台能实现建筑性能模拟数据在设计平台与模拟平台之间的信息交互，保障性能模拟数据对设计决策的量化支持，增强设计决策的客观性。</w:t>
      </w:r>
    </w:p>
    <w:p w:rsidR="00DF6836" w:rsidRDefault="002D4EDB">
      <w:pPr>
        <w:pStyle w:val="a4"/>
        <w:spacing w:before="0" w:beforeAutospacing="0" w:after="0" w:afterAutospacing="0" w:line="360" w:lineRule="auto"/>
        <w:ind w:firstLineChars="200" w:firstLine="562"/>
        <w:rPr>
          <w:rFonts w:eastAsia="仿宋"/>
          <w:b/>
          <w:bCs/>
          <w:sz w:val="28"/>
          <w:szCs w:val="28"/>
        </w:rPr>
      </w:pPr>
      <w:r>
        <w:rPr>
          <w:rFonts w:eastAsia="仿宋" w:hint="eastAsia"/>
          <w:b/>
          <w:bCs/>
          <w:sz w:val="28"/>
          <w:szCs w:val="28"/>
        </w:rPr>
        <w:t>（八）</w:t>
      </w:r>
      <w:r>
        <w:rPr>
          <w:rFonts w:eastAsia="仿宋"/>
          <w:b/>
          <w:bCs/>
          <w:sz w:val="28"/>
          <w:szCs w:val="28"/>
        </w:rPr>
        <w:t>青瓷生</w:t>
      </w:r>
      <w:r>
        <w:rPr>
          <w:rFonts w:eastAsia="仿宋"/>
          <w:b/>
          <w:bCs/>
          <w:sz w:val="28"/>
          <w:szCs w:val="28"/>
        </w:rPr>
        <w:t>产窑炉热回收减碳技术</w:t>
      </w:r>
      <w:r>
        <w:rPr>
          <w:rFonts w:eastAsia="仿宋" w:hint="eastAsia"/>
          <w:b/>
          <w:bCs/>
          <w:sz w:val="28"/>
          <w:szCs w:val="28"/>
        </w:rPr>
        <w:t>的研发</w:t>
      </w:r>
    </w:p>
    <w:p w:rsidR="00DF6836" w:rsidRDefault="002D4EDB">
      <w:pPr>
        <w:pStyle w:val="a4"/>
        <w:spacing w:before="0" w:beforeAutospacing="0" w:after="0" w:afterAutospacing="0" w:line="360" w:lineRule="auto"/>
        <w:ind w:firstLineChars="200" w:firstLine="562"/>
        <w:rPr>
          <w:sz w:val="28"/>
          <w:szCs w:val="28"/>
        </w:rPr>
      </w:pPr>
      <w:r>
        <w:rPr>
          <w:rFonts w:eastAsia="仿宋" w:hint="eastAsia"/>
          <w:b/>
          <w:bCs/>
          <w:sz w:val="28"/>
          <w:szCs w:val="28"/>
        </w:rPr>
        <w:t>研究内容：</w:t>
      </w:r>
      <w:r>
        <w:rPr>
          <w:rFonts w:eastAsia="仿宋" w:hint="eastAsia"/>
          <w:sz w:val="28"/>
          <w:szCs w:val="28"/>
        </w:rPr>
        <w:t>研发能够有效降低能源消耗、提高热能利用率、减少环境影响，并能降低生产成本，为青瓷烧制行业提供一个更加节能、环保、高效的解决方案</w:t>
      </w:r>
      <w:r>
        <w:rPr>
          <w:rFonts w:eastAsia="仿宋" w:hint="eastAsia"/>
          <w:sz w:val="28"/>
          <w:szCs w:val="28"/>
        </w:rPr>
        <w:t>,</w:t>
      </w:r>
      <w:r>
        <w:rPr>
          <w:rFonts w:eastAsia="仿宋"/>
          <w:sz w:val="28"/>
          <w:szCs w:val="28"/>
        </w:rPr>
        <w:t>实现提高能源利用效率</w:t>
      </w:r>
      <w:r>
        <w:rPr>
          <w:rFonts w:eastAsia="仿宋" w:hint="eastAsia"/>
          <w:sz w:val="28"/>
          <w:szCs w:val="28"/>
        </w:rPr>
        <w:t>、</w:t>
      </w:r>
      <w:r>
        <w:rPr>
          <w:rFonts w:eastAsia="仿宋"/>
          <w:sz w:val="28"/>
          <w:szCs w:val="28"/>
        </w:rPr>
        <w:t>降低生产成本</w:t>
      </w:r>
      <w:r>
        <w:rPr>
          <w:rFonts w:eastAsia="仿宋" w:hint="eastAsia"/>
          <w:sz w:val="28"/>
          <w:szCs w:val="28"/>
        </w:rPr>
        <w:t>、</w:t>
      </w:r>
      <w:r>
        <w:rPr>
          <w:rFonts w:eastAsia="仿宋"/>
          <w:sz w:val="28"/>
          <w:szCs w:val="28"/>
        </w:rPr>
        <w:t>减少碳排放</w:t>
      </w:r>
      <w:r>
        <w:rPr>
          <w:rFonts w:eastAsia="仿宋" w:hint="eastAsia"/>
          <w:sz w:val="28"/>
          <w:szCs w:val="28"/>
        </w:rPr>
        <w:t>、</w:t>
      </w:r>
      <w:r>
        <w:rPr>
          <w:rFonts w:eastAsia="仿宋"/>
          <w:sz w:val="28"/>
          <w:szCs w:val="28"/>
        </w:rPr>
        <w:t>提升产品质量</w:t>
      </w:r>
      <w:r>
        <w:rPr>
          <w:rFonts w:eastAsia="仿宋" w:hint="eastAsia"/>
          <w:sz w:val="28"/>
          <w:szCs w:val="28"/>
        </w:rPr>
        <w:t>、</w:t>
      </w:r>
      <w:r>
        <w:rPr>
          <w:rFonts w:eastAsia="仿宋"/>
          <w:sz w:val="28"/>
          <w:szCs w:val="28"/>
        </w:rPr>
        <w:t>缩短干燥时间</w:t>
      </w:r>
      <w:r>
        <w:rPr>
          <w:rFonts w:eastAsia="仿宋" w:hint="eastAsia"/>
          <w:sz w:val="28"/>
          <w:szCs w:val="28"/>
        </w:rPr>
        <w:t>、</w:t>
      </w:r>
      <w:r>
        <w:rPr>
          <w:rFonts w:eastAsia="仿宋"/>
          <w:sz w:val="28"/>
          <w:szCs w:val="28"/>
        </w:rPr>
        <w:t>热能的梯级利用</w:t>
      </w:r>
      <w:r>
        <w:rPr>
          <w:rFonts w:eastAsia="仿宋" w:hint="eastAsia"/>
          <w:sz w:val="28"/>
          <w:szCs w:val="28"/>
        </w:rPr>
        <w:t>。</w:t>
      </w:r>
    </w:p>
    <w:p w:rsidR="00DF6836" w:rsidRDefault="002D4EDB">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三、产业经济、数字化</w:t>
      </w:r>
    </w:p>
    <w:p w:rsidR="00DF6836" w:rsidRDefault="002D4EDB">
      <w:pPr>
        <w:pStyle w:val="a4"/>
        <w:spacing w:before="0" w:beforeAutospacing="0" w:after="0" w:afterAutospacing="0" w:line="360" w:lineRule="auto"/>
        <w:ind w:firstLineChars="200" w:firstLine="562"/>
        <w:rPr>
          <w:rFonts w:eastAsia="仿宋"/>
          <w:b/>
          <w:bCs/>
          <w:sz w:val="28"/>
          <w:szCs w:val="28"/>
        </w:rPr>
      </w:pPr>
      <w:r>
        <w:rPr>
          <w:rFonts w:eastAsia="仿宋" w:hint="eastAsia"/>
          <w:b/>
          <w:bCs/>
          <w:sz w:val="28"/>
          <w:szCs w:val="28"/>
        </w:rPr>
        <w:t>（九）</w:t>
      </w:r>
      <w:r>
        <w:rPr>
          <w:rFonts w:eastAsia="仿宋"/>
          <w:b/>
          <w:bCs/>
          <w:sz w:val="28"/>
          <w:szCs w:val="28"/>
        </w:rPr>
        <w:t>乡村振兴的数字化科学技术路径</w:t>
      </w:r>
      <w:r>
        <w:rPr>
          <w:rFonts w:eastAsia="仿宋" w:hint="eastAsia"/>
          <w:b/>
          <w:bCs/>
          <w:sz w:val="28"/>
          <w:szCs w:val="28"/>
        </w:rPr>
        <w:t>以及支撑“人产城”融合发展创新技术模式的研究</w:t>
      </w:r>
    </w:p>
    <w:p w:rsidR="00DF6836" w:rsidRDefault="002D4EDB">
      <w:pPr>
        <w:pStyle w:val="a4"/>
        <w:spacing w:before="0" w:beforeAutospacing="0" w:after="0" w:afterAutospacing="0" w:line="360" w:lineRule="auto"/>
        <w:ind w:firstLineChars="200" w:firstLine="562"/>
        <w:rPr>
          <w:rFonts w:eastAsia="仿宋"/>
          <w:sz w:val="28"/>
          <w:szCs w:val="28"/>
        </w:rPr>
      </w:pPr>
      <w:r>
        <w:rPr>
          <w:rFonts w:eastAsia="仿宋" w:hint="eastAsia"/>
          <w:b/>
          <w:bCs/>
          <w:sz w:val="28"/>
          <w:szCs w:val="28"/>
        </w:rPr>
        <w:lastRenderedPageBreak/>
        <w:t>研究内容：</w:t>
      </w:r>
      <w:r>
        <w:rPr>
          <w:rFonts w:eastAsia="仿宋" w:hint="eastAsia"/>
          <w:sz w:val="28"/>
          <w:szCs w:val="28"/>
        </w:rPr>
        <w:t>针对</w:t>
      </w:r>
      <w:r>
        <w:rPr>
          <w:rFonts w:eastAsia="仿宋"/>
          <w:sz w:val="28"/>
          <w:szCs w:val="28"/>
        </w:rPr>
        <w:t>数字乡村构建乡村治理新体系</w:t>
      </w:r>
      <w:r>
        <w:rPr>
          <w:rFonts w:eastAsia="仿宋" w:hint="eastAsia"/>
          <w:sz w:val="28"/>
          <w:szCs w:val="28"/>
        </w:rPr>
        <w:t>开展研究：（</w:t>
      </w:r>
      <w:r>
        <w:rPr>
          <w:rFonts w:eastAsia="仿宋" w:hint="eastAsia"/>
          <w:sz w:val="28"/>
          <w:szCs w:val="28"/>
        </w:rPr>
        <w:t>1</w:t>
      </w:r>
      <w:r>
        <w:rPr>
          <w:rFonts w:eastAsia="仿宋" w:hint="eastAsia"/>
          <w:sz w:val="28"/>
          <w:szCs w:val="28"/>
        </w:rPr>
        <w:t>）</w:t>
      </w:r>
      <w:r>
        <w:rPr>
          <w:rFonts w:eastAsia="仿宋"/>
          <w:sz w:val="28"/>
          <w:szCs w:val="28"/>
        </w:rPr>
        <w:t>数字技术提升乡村治理效率，提高劳动生产力，赋能乡村产业发展</w:t>
      </w:r>
      <w:r>
        <w:rPr>
          <w:rFonts w:eastAsia="仿宋" w:hint="eastAsia"/>
          <w:sz w:val="28"/>
          <w:szCs w:val="28"/>
        </w:rPr>
        <w:t>；（</w:t>
      </w:r>
      <w:r>
        <w:rPr>
          <w:rFonts w:eastAsia="仿宋" w:hint="eastAsia"/>
          <w:sz w:val="28"/>
          <w:szCs w:val="28"/>
        </w:rPr>
        <w:t>2</w:t>
      </w:r>
      <w:r>
        <w:rPr>
          <w:rFonts w:eastAsia="仿宋" w:hint="eastAsia"/>
          <w:sz w:val="28"/>
          <w:szCs w:val="28"/>
        </w:rPr>
        <w:t>）</w:t>
      </w:r>
      <w:r>
        <w:rPr>
          <w:rFonts w:eastAsia="仿宋"/>
          <w:sz w:val="28"/>
          <w:szCs w:val="28"/>
        </w:rPr>
        <w:t>以龙泉市数字乡村、数字农业、数字文旅等特色模式为例，进行典型案例调查研究和可示范可推广的经验模式总结</w:t>
      </w:r>
      <w:r>
        <w:rPr>
          <w:rFonts w:eastAsia="仿宋" w:hint="eastAsia"/>
          <w:sz w:val="28"/>
          <w:szCs w:val="28"/>
        </w:rPr>
        <w:t>；（</w:t>
      </w:r>
      <w:r>
        <w:rPr>
          <w:rFonts w:eastAsia="仿宋" w:hint="eastAsia"/>
          <w:sz w:val="28"/>
          <w:szCs w:val="28"/>
        </w:rPr>
        <w:t>3</w:t>
      </w:r>
      <w:r>
        <w:rPr>
          <w:rFonts w:eastAsia="仿宋" w:hint="eastAsia"/>
          <w:sz w:val="28"/>
          <w:szCs w:val="28"/>
        </w:rPr>
        <w:t>）构建“以产兴城、以城聚产”的发展方式，使新型城镇化呈现人与自然、城乡与产业和谐共处的生动画面；（</w:t>
      </w:r>
      <w:r>
        <w:rPr>
          <w:rFonts w:eastAsia="仿宋" w:hint="eastAsia"/>
          <w:sz w:val="28"/>
          <w:szCs w:val="28"/>
        </w:rPr>
        <w:t>4</w:t>
      </w:r>
      <w:r>
        <w:rPr>
          <w:rFonts w:eastAsia="仿宋" w:hint="eastAsia"/>
          <w:sz w:val="28"/>
          <w:szCs w:val="28"/>
        </w:rPr>
        <w:t>）以产城融合模式为研究对象，进行数据调研，总结可示范可推广的经验。</w:t>
      </w:r>
    </w:p>
    <w:p w:rsidR="00DF6836" w:rsidRDefault="002D4EDB">
      <w:pPr>
        <w:spacing w:line="360" w:lineRule="auto"/>
        <w:ind w:firstLineChars="200" w:firstLine="643"/>
        <w:rPr>
          <w:rFonts w:eastAsia="仿宋"/>
          <w:sz w:val="28"/>
          <w:szCs w:val="28"/>
        </w:rPr>
      </w:pPr>
      <w:r>
        <w:rPr>
          <w:rFonts w:ascii="仿宋" w:eastAsia="仿宋" w:hAnsi="仿宋" w:cs="仿宋" w:hint="eastAsia"/>
          <w:b/>
          <w:bCs/>
          <w:sz w:val="32"/>
          <w:szCs w:val="32"/>
        </w:rPr>
        <w:t>四、健康和食品</w:t>
      </w:r>
    </w:p>
    <w:p w:rsidR="00DF6836" w:rsidRDefault="002D4EDB">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（十）灵芝调味茶加工关键技术研发与示范</w:t>
      </w:r>
    </w:p>
    <w:p w:rsidR="00DF6836" w:rsidRDefault="002D4EDB">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研究内容：</w:t>
      </w:r>
      <w:r>
        <w:rPr>
          <w:rFonts w:ascii="仿宋" w:eastAsia="仿宋" w:hAnsi="仿宋" w:cs="仿宋" w:hint="eastAsia"/>
          <w:sz w:val="28"/>
          <w:szCs w:val="28"/>
        </w:rPr>
        <w:t>开发灵芝与茶叶、柠檬和桂花等新型特色调味茶，开展灵芝调味茶的非茶原料添加形式、拼配参数、冲泡方式等对调味茶特征品质感官的影响研究；研发以灵芝为基底，色泽殊异、风味稳定、功效</w:t>
      </w:r>
      <w:r>
        <w:rPr>
          <w:rFonts w:ascii="仿宋" w:eastAsia="仿宋" w:hAnsi="仿宋" w:cs="仿宋" w:hint="eastAsia"/>
          <w:sz w:val="28"/>
          <w:szCs w:val="28"/>
        </w:rPr>
        <w:t>凸显及营养丰富科学权重配比的灵芝调味茶加工技术。</w:t>
      </w:r>
    </w:p>
    <w:p w:rsidR="00DF6836" w:rsidRDefault="002D4EDB">
      <w:pPr>
        <w:ind w:firstLineChars="200" w:firstLine="562"/>
        <w:rPr>
          <w:rFonts w:ascii="仿宋" w:eastAsia="仿宋" w:hAnsi="仿宋" w:cs="仿宋"/>
          <w:b/>
          <w:bCs/>
          <w:sz w:val="28"/>
          <w:szCs w:val="28"/>
        </w:rPr>
      </w:pPr>
      <w:r>
        <w:rPr>
          <w:rFonts w:ascii="仿宋" w:eastAsia="仿宋" w:hAnsi="仿宋" w:cs="仿宋" w:hint="eastAsia"/>
          <w:b/>
          <w:bCs/>
          <w:sz w:val="28"/>
          <w:szCs w:val="28"/>
        </w:rPr>
        <w:t>（十一）龙泉红茶改善苦涩味加工技术研究</w:t>
      </w:r>
    </w:p>
    <w:p w:rsidR="00DF6836" w:rsidRDefault="002D4EDB">
      <w:pPr>
        <w:spacing w:line="360" w:lineRule="auto"/>
        <w:ind w:firstLineChars="200" w:firstLine="562"/>
        <w:rPr>
          <w:rFonts w:eastAsia="仿宋"/>
          <w:b/>
          <w:bCs/>
          <w:sz w:val="32"/>
          <w:szCs w:val="32"/>
        </w:rPr>
      </w:pPr>
      <w:r>
        <w:rPr>
          <w:rFonts w:ascii="仿宋" w:eastAsia="仿宋" w:hAnsi="仿宋" w:cs="仿宋" w:hint="eastAsia"/>
          <w:b/>
          <w:bCs/>
          <w:sz w:val="28"/>
          <w:szCs w:val="28"/>
        </w:rPr>
        <w:t>研究内容：</w:t>
      </w:r>
      <w:r>
        <w:rPr>
          <w:rFonts w:ascii="仿宋" w:eastAsia="仿宋" w:hAnsi="仿宋" w:cs="仿宋" w:hint="eastAsia"/>
          <w:sz w:val="28"/>
          <w:szCs w:val="28"/>
        </w:rPr>
        <w:t>红茶在制作过程中若投茶量过多、闷泡时间过长、茶叶品质差或用了夏季的茶原料等会有苦涩味，研究龙泉红茶加工工艺及苦涩味风味影响因素，通过红茶苦涩味形成相关性的分析，建立数字化鉴定、评价、利用模型，提高优化龙泉红茶生产工艺，改善苦涩味品质的技术体系。</w:t>
      </w:r>
    </w:p>
    <w:p w:rsidR="00DF6836" w:rsidRDefault="002D4EDB">
      <w:pPr>
        <w:pStyle w:val="a4"/>
        <w:spacing w:before="0" w:beforeAutospacing="0" w:after="0" w:afterAutospacing="0" w:line="360" w:lineRule="auto"/>
        <w:ind w:firstLineChars="200" w:firstLine="562"/>
        <w:rPr>
          <w:rFonts w:eastAsia="仿宋"/>
          <w:b/>
          <w:bCs/>
          <w:sz w:val="28"/>
          <w:szCs w:val="28"/>
        </w:rPr>
      </w:pPr>
      <w:r>
        <w:rPr>
          <w:rFonts w:eastAsia="仿宋" w:hint="eastAsia"/>
          <w:b/>
          <w:bCs/>
          <w:sz w:val="28"/>
          <w:szCs w:val="28"/>
        </w:rPr>
        <w:t>（十二）</w:t>
      </w:r>
      <w:r>
        <w:rPr>
          <w:rFonts w:eastAsia="仿宋"/>
          <w:b/>
          <w:bCs/>
          <w:sz w:val="28"/>
          <w:szCs w:val="28"/>
        </w:rPr>
        <w:t>基于多组学和人工智能的脓毒症精准化诊疗的研究</w:t>
      </w:r>
    </w:p>
    <w:p w:rsidR="00DF6836" w:rsidRDefault="002D4EDB">
      <w:pPr>
        <w:pStyle w:val="a4"/>
        <w:spacing w:before="0" w:beforeAutospacing="0" w:after="0" w:afterAutospacing="0" w:line="360" w:lineRule="auto"/>
        <w:ind w:firstLineChars="200" w:firstLine="562"/>
      </w:pPr>
      <w:r>
        <w:rPr>
          <w:rFonts w:eastAsia="仿宋" w:hint="eastAsia"/>
          <w:b/>
          <w:bCs/>
          <w:sz w:val="28"/>
          <w:szCs w:val="28"/>
        </w:rPr>
        <w:t>研究内容：</w:t>
      </w:r>
      <w:r>
        <w:rPr>
          <w:rFonts w:eastAsia="仿宋"/>
          <w:sz w:val="28"/>
          <w:szCs w:val="28"/>
        </w:rPr>
        <w:t>通过多组学数据揭示脓毒症的深层次分子机制，为精准化诊疗提供理论基础</w:t>
      </w:r>
      <w:r>
        <w:rPr>
          <w:rFonts w:eastAsia="仿宋" w:hint="eastAsia"/>
          <w:sz w:val="28"/>
          <w:szCs w:val="28"/>
        </w:rPr>
        <w:t>；</w:t>
      </w:r>
      <w:r>
        <w:rPr>
          <w:rFonts w:eastAsia="仿宋"/>
          <w:sz w:val="28"/>
          <w:szCs w:val="28"/>
        </w:rPr>
        <w:t>将人工智能技术创新性地应用于脓毒症的分</w:t>
      </w:r>
      <w:r>
        <w:rPr>
          <w:rFonts w:eastAsia="仿宋"/>
          <w:sz w:val="28"/>
          <w:szCs w:val="28"/>
        </w:rPr>
        <w:lastRenderedPageBreak/>
        <w:t>型和治疗策略优化，提高诊疗的精准度和效率</w:t>
      </w:r>
      <w:r>
        <w:rPr>
          <w:rFonts w:eastAsia="仿宋" w:hint="eastAsia"/>
          <w:sz w:val="28"/>
          <w:szCs w:val="28"/>
        </w:rPr>
        <w:t>；</w:t>
      </w:r>
      <w:r>
        <w:rPr>
          <w:rFonts w:eastAsia="仿宋"/>
          <w:sz w:val="28"/>
          <w:szCs w:val="28"/>
        </w:rPr>
        <w:t>开发基于个体化治疗的新模式，通过精准化治疗策略的开发，实现脓毒症治疗的个性化和动态调整</w:t>
      </w:r>
      <w:r>
        <w:rPr>
          <w:rFonts w:eastAsia="仿宋" w:hint="eastAsia"/>
          <w:sz w:val="28"/>
          <w:szCs w:val="28"/>
        </w:rPr>
        <w:t>；</w:t>
      </w:r>
      <w:r>
        <w:rPr>
          <w:rFonts w:eastAsia="仿宋"/>
          <w:sz w:val="28"/>
          <w:szCs w:val="28"/>
        </w:rPr>
        <w:t>通过技术创新，解决脓毒症精准化诊疗中的行业难题，推动医疗健康产业的发展，为患者提供更优质的医疗服务。</w:t>
      </w:r>
    </w:p>
    <w:sectPr w:rsidR="00DF6836">
      <w:pgSz w:w="11906" w:h="16838"/>
      <w:pgMar w:top="1440" w:right="1800" w:bottom="153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EDB" w:rsidRDefault="002D4EDB" w:rsidP="00957C16">
      <w:r>
        <w:separator/>
      </w:r>
    </w:p>
  </w:endnote>
  <w:endnote w:type="continuationSeparator" w:id="0">
    <w:p w:rsidR="002D4EDB" w:rsidRDefault="002D4EDB" w:rsidP="0095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EDB" w:rsidRDefault="002D4EDB" w:rsidP="00957C16">
      <w:r>
        <w:separator/>
      </w:r>
    </w:p>
  </w:footnote>
  <w:footnote w:type="continuationSeparator" w:id="0">
    <w:p w:rsidR="002D4EDB" w:rsidRDefault="002D4EDB" w:rsidP="00957C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29CCF9"/>
    <w:multiLevelType w:val="singleLevel"/>
    <w:tmpl w:val="D429CCF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ZjAwNGI4Yzg5YzJmMmRlNDY4MDUyNmI5YTBlNTcifQ=="/>
  </w:docVars>
  <w:rsids>
    <w:rsidRoot w:val="06D30CAA"/>
    <w:rsid w:val="002D4EDB"/>
    <w:rsid w:val="00957C16"/>
    <w:rsid w:val="00DF6836"/>
    <w:rsid w:val="030D586D"/>
    <w:rsid w:val="06D30CAA"/>
    <w:rsid w:val="09A11320"/>
    <w:rsid w:val="26074F8F"/>
    <w:rsid w:val="2BB900EB"/>
    <w:rsid w:val="35076436"/>
    <w:rsid w:val="3B527131"/>
    <w:rsid w:val="3BE57EB5"/>
    <w:rsid w:val="49AD55AF"/>
    <w:rsid w:val="6122057F"/>
    <w:rsid w:val="727C3957"/>
    <w:rsid w:val="76FC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BA92D"/>
  <w15:docId w15:val="{8621107F-82FB-4CED-B12D-CC76EB58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iPriority="99"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8"/>
    <w:autoRedefine/>
    <w:qFormat/>
    <w:pPr>
      <w:ind w:firstLineChars="200" w:firstLine="420"/>
    </w:pPr>
    <w:rPr>
      <w:rFonts w:ascii="Calibri" w:hAnsi="Calibri"/>
      <w:szCs w:val="21"/>
    </w:rPr>
  </w:style>
  <w:style w:type="paragraph" w:styleId="8">
    <w:name w:val="toc 8"/>
    <w:basedOn w:val="a"/>
    <w:next w:val="a"/>
    <w:autoRedefine/>
    <w:uiPriority w:val="99"/>
    <w:qFormat/>
    <w:pPr>
      <w:widowControl/>
      <w:wordWrap w:val="0"/>
      <w:adjustRightInd w:val="0"/>
      <w:snapToGrid w:val="0"/>
      <w:spacing w:after="200"/>
      <w:ind w:left="1270"/>
      <w:jc w:val="left"/>
    </w:pPr>
    <w:rPr>
      <w:rFonts w:ascii="Tahoma" w:eastAsia="微软雅黑" w:hAnsi="Tahoma"/>
      <w:kern w:val="0"/>
      <w:sz w:val="20"/>
    </w:rPr>
  </w:style>
  <w:style w:type="paragraph" w:styleId="a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header"/>
    <w:basedOn w:val="a"/>
    <w:link w:val="a6"/>
    <w:rsid w:val="00957C1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57C16"/>
    <w:rPr>
      <w:rFonts w:ascii="Times New Roman" w:eastAsia="宋体" w:hAnsi="Times New Roman" w:cs="Times New Roman"/>
      <w:kern w:val="2"/>
      <w:sz w:val="18"/>
      <w:szCs w:val="18"/>
    </w:rPr>
  </w:style>
  <w:style w:type="paragraph" w:styleId="a7">
    <w:name w:val="footer"/>
    <w:basedOn w:val="a"/>
    <w:link w:val="a8"/>
    <w:rsid w:val="00957C16"/>
    <w:pPr>
      <w:tabs>
        <w:tab w:val="center" w:pos="4153"/>
        <w:tab w:val="right" w:pos="8306"/>
      </w:tabs>
      <w:snapToGrid w:val="0"/>
      <w:jc w:val="left"/>
    </w:pPr>
    <w:rPr>
      <w:sz w:val="18"/>
      <w:szCs w:val="18"/>
    </w:rPr>
  </w:style>
  <w:style w:type="character" w:customStyle="1" w:styleId="a8">
    <w:name w:val="页脚 字符"/>
    <w:basedOn w:val="a0"/>
    <w:link w:val="a7"/>
    <w:rsid w:val="00957C1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吴聪明</dc:creator>
  <cp:lastModifiedBy>liuqing</cp:lastModifiedBy>
  <cp:revision>2</cp:revision>
  <dcterms:created xsi:type="dcterms:W3CDTF">2022-07-26T07:51:00Z</dcterms:created>
  <dcterms:modified xsi:type="dcterms:W3CDTF">2024-06-20T02:20:00Z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D7146904FBA7492FBFF3DCD7FCA673C7_13</vt:lpwstr>
  </property>
</Properties>
</file>