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7573F" w14:textId="77777777" w:rsidR="006D0E89" w:rsidRDefault="009C394B">
      <w:pPr>
        <w:widowControl/>
        <w:snapToGrid w:val="0"/>
        <w:spacing w:line="480" w:lineRule="exact"/>
        <w:jc w:val="left"/>
        <w:outlineLvl w:val="0"/>
        <w:rPr>
          <w:rFonts w:ascii="宋体" w:eastAsia="宋体" w:hAnsi="宋体" w:cs="Times New Roman"/>
          <w:bCs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附件1</w:t>
      </w:r>
    </w:p>
    <w:p w14:paraId="4FF8FAB1" w14:textId="77777777" w:rsidR="006D0E89" w:rsidRDefault="009C394B">
      <w:pPr>
        <w:widowControl/>
        <w:snapToGrid w:val="0"/>
        <w:spacing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 w:themeColor="text1"/>
          <w:kern w:val="0"/>
          <w:sz w:val="32"/>
          <w:szCs w:val="32"/>
        </w:rPr>
        <w:t>中国高校产学研创新基金-数智创新与人才专项（二期）</w:t>
      </w:r>
    </w:p>
    <w:p w14:paraId="71699D18" w14:textId="77777777" w:rsidR="006D0E89" w:rsidRDefault="009C394B">
      <w:pPr>
        <w:widowControl/>
        <w:snapToGrid w:val="0"/>
        <w:spacing w:afterLines="100" w:after="312" w:line="480" w:lineRule="exact"/>
        <w:jc w:val="center"/>
        <w:outlineLvl w:val="0"/>
        <w:rPr>
          <w:rFonts w:ascii="宋体" w:eastAsia="宋体" w:hAnsi="宋体" w:cs="Times New Roman"/>
          <w:b/>
          <w:bCs/>
          <w:i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 w:themeColor="text1"/>
          <w:kern w:val="0"/>
          <w:sz w:val="32"/>
          <w:szCs w:val="32"/>
        </w:rPr>
        <w:t>申请指南说明</w:t>
      </w:r>
    </w:p>
    <w:p w14:paraId="1991B1B9" w14:textId="77777777" w:rsidR="006D0E89" w:rsidRPr="0097159F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</w:rPr>
        <w:t>根据 《关于申报202</w:t>
      </w:r>
      <w:r>
        <w:rPr>
          <w:rFonts w:ascii="宋体" w:eastAsia="宋体" w:hAnsi="宋体"/>
          <w:color w:val="000000" w:themeColor="text1"/>
          <w:sz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</w:rPr>
        <w:t>年中国高校产学研创新基金的通知》（教科发中心函〔202</w:t>
      </w:r>
      <w:r>
        <w:rPr>
          <w:rFonts w:ascii="宋体" w:eastAsia="宋体" w:hAnsi="宋体"/>
          <w:color w:val="000000" w:themeColor="text1"/>
          <w:sz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</w:rPr>
        <w:t>〕</w:t>
      </w:r>
      <w:r>
        <w:rPr>
          <w:rFonts w:ascii="宋体" w:eastAsia="宋体" w:hAnsi="宋体"/>
          <w:color w:val="000000" w:themeColor="text1"/>
          <w:sz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</w:rPr>
        <w:t>号)的相关要求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，教育部高等学校科学研究发展中心与浪潮通用软件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、知识加速（北京）科技有限公司联合设立“中国高校产学研创新基金-数智创新与人才专项（二期）”，支持教育行业在企业级PaaS平台、开源低代码、人工智能、大模型、大数据、智算平台、物联网、工业软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件、人力资源管理、人才培养等方向的科学研究和教学实践，</w:t>
      </w:r>
      <w:r w:rsidRPr="0097159F">
        <w:rPr>
          <w:rFonts w:ascii="宋体" w:eastAsia="宋体" w:hAnsi="宋体" w:hint="eastAsia"/>
          <w:color w:val="000000" w:themeColor="text1"/>
          <w:sz w:val="24"/>
          <w:szCs w:val="28"/>
        </w:rPr>
        <w:t>聚焦“AI驱动、产学研协同、成果转化”，强化校企合作、共建创新载体、推动成果落地等。</w:t>
      </w:r>
    </w:p>
    <w:p w14:paraId="1695C9A7" w14:textId="77777777" w:rsidR="006D0E89" w:rsidRPr="0097159F" w:rsidRDefault="009C394B">
      <w:pPr>
        <w:widowControl/>
        <w:spacing w:beforeLines="50" w:before="156"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color w:val="000000" w:themeColor="text1"/>
          <w:kern w:val="0"/>
          <w:sz w:val="28"/>
        </w:rPr>
      </w:pPr>
      <w:r w:rsidRPr="0097159F">
        <w:rPr>
          <w:rFonts w:ascii="Times New Roman" w:eastAsia="微软雅黑" w:hAnsi="Times New Roman" w:cs="Times New Roman" w:hint="eastAsia"/>
          <w:b/>
          <w:bCs/>
          <w:iCs/>
          <w:color w:val="000000" w:themeColor="text1"/>
          <w:kern w:val="0"/>
          <w:sz w:val="28"/>
        </w:rPr>
        <w:t>一、课题说明</w:t>
      </w:r>
    </w:p>
    <w:p w14:paraId="493D596D" w14:textId="77777777" w:rsidR="006D0E89" w:rsidRPr="0097159F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1.“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智创新与人才专项（二期）”，以科技变革促进教育变革，以开源及自主产权技术赋能教育教学、科研创新、人才培养及行业领域融合创新等，共同推进中国开源体系建设，支持高校基于开源平台进行创新研究。</w:t>
      </w:r>
    </w:p>
    <w:p w14:paraId="12CE4A83" w14:textId="77777777" w:rsidR="006D0E89" w:rsidRPr="0097159F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2.“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数智创新与人才专项（二期）”申请截止时间为202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31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日。计划执行时间为202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日～202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30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日，可根据课题复杂程度适度延长执行周期，最长不超过两年。</w:t>
      </w:r>
    </w:p>
    <w:p w14:paraId="473CB8F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7159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3.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“数智创新与人才专项（二期）” 每个立项课题提供</w:t>
      </w:r>
      <w:r>
        <w:rPr>
          <w:rFonts w:ascii="宋体" w:eastAsia="宋体" w:hAnsi="宋体" w:cs="宋体" w:hint="eastAsia"/>
          <w:kern w:val="0"/>
          <w:sz w:val="24"/>
          <w:szCs w:val="24"/>
        </w:rPr>
        <w:t>总经费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10万元至50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万元的课题研究经费及科研软硬件平台支持，其中课题研究经费5万元至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万元。</w:t>
      </w:r>
    </w:p>
    <w:p w14:paraId="7D748EE4" w14:textId="77777777" w:rsidR="006D0E89" w:rsidRDefault="009C394B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.“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数智创新与人才专项（二期）”的课题的选题方向见表一。申请人选择课题方向进行申报，要求基于基金课题提供的技术及应用等进行研究（相关技术、应用和软硬件平台介绍见表二）。</w:t>
      </w:r>
    </w:p>
    <w:p w14:paraId="6D152FD7" w14:textId="77777777" w:rsidR="006D0E89" w:rsidRDefault="009C394B">
      <w:pPr>
        <w:widowControl/>
        <w:spacing w:line="50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表一</w:t>
      </w: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 xml:space="preserve">  “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数智创新与人才专项（二期）”选题列表</w:t>
      </w:r>
    </w:p>
    <w:tbl>
      <w:tblPr>
        <w:tblW w:w="5058" w:type="pct"/>
        <w:jc w:val="center"/>
        <w:tblLook w:val="04A0" w:firstRow="1" w:lastRow="0" w:firstColumn="1" w:lastColumn="0" w:noHBand="0" w:noVBand="1"/>
      </w:tblPr>
      <w:tblGrid>
        <w:gridCol w:w="1130"/>
        <w:gridCol w:w="1842"/>
        <w:gridCol w:w="6095"/>
      </w:tblGrid>
      <w:tr w:rsidR="006D0E89" w14:paraId="488434EF" w14:textId="77777777">
        <w:trPr>
          <w:trHeight w:val="609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A8EE8A5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方向编号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ED06A8E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课题方向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344D07C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课题研究内容</w:t>
            </w:r>
          </w:p>
        </w:tc>
      </w:tr>
      <w:tr w:rsidR="006D0E89" w14:paraId="7ED53191" w14:textId="77777777">
        <w:trPr>
          <w:trHeight w:val="841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68BF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3D2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人工智能大模型研究试点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FFB0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人工智能大模型技术为支撑，结合行业领域需求，探索基于大模型平台的工具、场景等研究试点，包括并不限于：教育教学、智能制造、绿色低碳、智慧医疗、智慧康养、智慧矿山、智慧水务、智慧粮储、能源化工、机械加工、生物医药、新材料等行业，包括并不限于：供应链、数字营销、财务、预算、科研、设计、管理、后勤、生产、办公协同等领域，推进研究成果试点运行，推进产业孵化及推广</w:t>
            </w:r>
          </w:p>
        </w:tc>
      </w:tr>
      <w:tr w:rsidR="006D0E89" w14:paraId="062A7E6B" w14:textId="77777777">
        <w:trPr>
          <w:trHeight w:val="180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12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A02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55B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开源低代码平台研究试点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4CC8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开源低代码平台为支撑，结合行业领域的需求，探索基于低代码平台的流程与应用组件库、工具与场景等研究试点，研究方向覆盖但不限于：教育教学、智能制造、绿色低碳、智慧医疗、智慧康养、智慧矿山、智慧水务、智慧粮储、能源化工、机械加工、生物医药、新材料等行业，包括并不限于：供应链、数字营销、财务、预算、科研、设计、管理、后勤、生产、办公协同等领域，推进研究成果试点运行，推进产业孵化及推广。</w:t>
            </w:r>
          </w:p>
        </w:tc>
      </w:tr>
      <w:tr w:rsidR="006D0E89" w14:paraId="6976FFF1" w14:textId="77777777">
        <w:trPr>
          <w:trHeight w:val="1463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05F6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A03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7583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大数据、物联网研究试点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A03C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大数据平台与物联网体系为支撑，深度融合人工智能、数字孪生等前沿技术，系统推进“Data+AI”双轮驱动的创新研究与行业试点。数据作为人工智能发展的核心根基，通过构建统一数据中台、提升物联感知与多源数据融合能力，为AI模型训练与场景应用提供高质量、高可信度的数据支撑。</w:t>
            </w:r>
            <w:r>
              <w:rPr>
                <w:rFonts w:ascii="Segoe UI" w:eastAsia="Segoe UI" w:hAnsi="Segoe UI" w:cs="Segoe UI"/>
                <w:color w:val="0F1115"/>
                <w:sz w:val="19"/>
                <w:szCs w:val="19"/>
                <w:shd w:val="clear" w:color="auto" w:fill="FFFFFF"/>
              </w:rPr>
              <w:t>研究方向覆盖但不限于以下行业与职能领域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：重点行业:教育教学、智能制造、绿色低碳、智慧医疗、智慧康养、智慧矿山、智慧水务、智慧粮储、能源化工、机械加工、生物医药、新材料等；核心环节：供应链、数字营销、财务与预算、科研与设计、管理决策、后勤保障、生产运营、办公协同等,</w:t>
            </w:r>
            <w:r>
              <w:rPr>
                <w:rFonts w:ascii="Segoe UI" w:eastAsia="Segoe UI" w:hAnsi="Segoe UI" w:cs="Segoe UI"/>
                <w:color w:val="0F1115"/>
                <w:sz w:val="19"/>
                <w:szCs w:val="19"/>
                <w:shd w:val="clear" w:color="auto" w:fill="FFFFFF"/>
              </w:rPr>
              <w:t>推动人工智能技术在典型场景中的深度应用与持续优化，实现研究成果的快速试点验证与产业化孵化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6D0E89" w14:paraId="3FF16B07" w14:textId="77777777">
        <w:trPr>
          <w:trHeight w:val="1275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EBB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A04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9AE9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智能制造、智慧化工平台研究试点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21F3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以产业互联互通、大数据、AI 等技术驱动为手段，聚焦MOM、MES、WMS、QMS、LIMS、HSE、EMS、EAM等生产控制类软件的研发与实施、自动化产线与自动化物流设计与改造、智能立体仓库建设和机器人应用等，探索国产软件研发、创新、发展，实现国产软件的自主产权、生态协同、样板引领。同时联合龙头工业企业、院校，推进研究成果试点运行，支持产学研联合打造 “软件 + 硬件 + 场景” 一体化能力。</w:t>
            </w:r>
          </w:p>
        </w:tc>
      </w:tr>
      <w:tr w:rsidR="006D0E89" w14:paraId="67377E66" w14:textId="77777777">
        <w:trPr>
          <w:trHeight w:val="15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F1E2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803E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海岳大模型一体机智能算力创新研究试点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592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依托浪潮海岳大模型一体机（集成国产高端算力集群），内置海岳大模型核心功能模块，面向科学研究、成果转化、教育教学、管理服务与人才培养等多类场景，推进智能计算资源的部署、开发与融合创新，共同构建智能算力创新平台或专项实验室。在高效算力支撑下，可重点开展以下研究方向：1.教育垂直领域大模型的关键技术攻关，包括行业知识治理、模型微调与轻量化部署；2.多模态数据融合分析、智能体系统开发以及提示词工程等前沿应用；3.大模型与智能制造、化工行业的协同与数据治理融合，推动工业智能升级。平台致力于将领先的大模型一体机技术与典型业务场景深度融合，支持产学研联合开展模型训练、应用孵化与成果落地，助力人工智能赋能产业创新与人才培养。</w:t>
            </w:r>
          </w:p>
        </w:tc>
      </w:tr>
      <w:tr w:rsidR="006D0E89" w14:paraId="1B8E705D" w14:textId="77777777">
        <w:trPr>
          <w:trHeight w:val="162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7350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B0E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企业定向课题联合攻关</w:t>
            </w:r>
          </w:p>
          <w:p w14:paraId="130342C4" w14:textId="77777777" w:rsidR="006D0E89" w:rsidRDefault="006D0E89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7635" w14:textId="77777777" w:rsidR="006D0E89" w:rsidRDefault="009C394B">
            <w:pPr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围绕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提出的实际业务痛点（如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科技创新、AI+行动、大型企业数智化底座建设（含信创国产化建设）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）开展定向研究，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聚焦三个方向,提供综合支持：1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对“高校+央企”联合课题形式的申报，给与更多支持；课题成果须在企业真实场景中试点，形成可复用产品服务；2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瞄准国家、行业和地方重大专项和攻关，支持与高校共同揭榜；3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优先支持已参与课题一期合作的高校，持续深化合作。</w:t>
            </w:r>
          </w:p>
        </w:tc>
      </w:tr>
      <w:tr w:rsidR="006D0E89" w14:paraId="6742D122" w14:textId="77777777">
        <w:trPr>
          <w:trHeight w:val="162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443E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C662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工业软件研究试点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9843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HAnsi" w:eastAsia="宋体" w:hAnsiTheme="majorHAnsi" w:cs="宋体"/>
                <w:color w:val="000000" w:themeColor="text1"/>
                <w:kern w:val="0"/>
                <w:sz w:val="20"/>
                <w:szCs w:val="20"/>
              </w:rPr>
              <w:t>以自主产权工业软件和开源低代码平台为支撑，联合龙头工业企业、院校，聚焦研发设计、生产控制、信息管理、运维管理、工业嵌入、工业集成等工业软件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的需求，探索既有工业软件（如CAE、CAD、PLM、MES、SCADA、MOM、WMS、SCM等）的消化吸收和安全能力提升，探索国产工业软件研发、创新、发展，实现工业软件的自主产权、生态协同、样板引领，培养复合型人才，推进研究成果试点运行，推进产业孵化及推广。</w:t>
            </w:r>
          </w:p>
          <w:p w14:paraId="59F33D25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1.CAD 领域技术攻坚与适配：拆解主流商用 CAD 软件核心功能，突破几何引擎、复杂曲面生成和设计算法、大型机械零部件装配、多格式模型数据交互（STEP/IGES/X_t 标准兼容）等关键技术，提升国产 CAD 在机械结构设计、房屋建筑领域等场景的适配性；结合开源低代码平台开发定制化插件（如标准化零件库调用、设计规范校验模块），实现设计与生产工艺数据无缝衔接；</w:t>
            </w:r>
          </w:p>
          <w:p w14:paraId="637DA98D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2.CAE 领域仿真与协同优化：完善国产通用有限元模块（结构、流体、热、电磁等），开展多物理场仿真（热流固耦合等）先进算法的研究，攻克网格剖分优化、求解器效率提升等难点；建立 CAE 与 CAD 模型双向关联机制，缩短 “设计 - 仿真 - 优化” 周期；针对汽车零部件、工程机械等行业，构建 CAE 仿真案例库与行业通用仿真标准，提升CAE仿真在工业研发时的实用性；借助深度学习、降阶建模等 AI 算法简化 CAE 高保真仿真模型，在装备结构强度分析、化工设备热力学耦合仿真等场景缩短仿真周期，满足工业产品快速迭代需求；探索AI技术在网格划分中的应用，实现网格自动生成与自适应加密；</w:t>
            </w:r>
          </w:p>
          <w:p w14:paraId="66DE82C0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3.国产 CAD/CAE 研发与生态构建：联合院校研发 CAD/CAE 底层核心算法（几何引擎、求解器），突破国外技术垄断；基于开源低代码平台提供标准化 API 与开发工具包，支持二次开发与个性化适配；建立软件测试验证体系，联合龙头企业开展标杆项目试点，实现国产 CAD/CAE 自主产权与生态协同；</w:t>
            </w:r>
          </w:p>
          <w:p w14:paraId="014AFB9C" w14:textId="77777777" w:rsidR="006D0E89" w:rsidRDefault="009C394B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4.复合型人才培养：构建 “理论教学 - 软件实操 - 项目实战” 体系，开设 CAD/CAE 核心技术、工业软件应用等课程，提供国产软件实训环境；联合企业开展真实场景课题（机械结构优化、电子设备散热设计），推进校企联合培养，输送 “懂软件、会仿真”的复合型人才；</w:t>
            </w:r>
          </w:p>
          <w:p w14:paraId="058F5880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5.成果试点与产业孵化：在机械制造、电子信息等行业开展 CAD/CAE 成果试点，验证国产软件与国外商软在软件功能、性能与适配方面的优劣；搭建产业孵化平台，提供技术支持与市场推广，推动应用方案落地；总结试点经验形成行业标准，加速国产 CAD/CAE 产业化推广。</w:t>
            </w:r>
          </w:p>
        </w:tc>
      </w:tr>
      <w:tr w:rsidR="006D0E89" w14:paraId="11B5183D" w14:textId="77777777">
        <w:trPr>
          <w:trHeight w:val="162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E3C0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0" w:name="_Hlk216256120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A7A5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人力资源管理数字化实训的智能服务</w:t>
            </w:r>
          </w:p>
        </w:tc>
        <w:tc>
          <w:tcPr>
            <w:tcW w:w="3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605" w14:textId="45374CB1" w:rsidR="006D0E89" w:rsidRPr="0097159F" w:rsidRDefault="009C394B">
            <w:pPr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依托自研大模型与开放生态能力，打造新一代人力智能体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“Moirai”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，提供全流程、全角色、全场景的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解决方案，涵盖招聘管理、薪酬管理、考勤管理、绩效管理、人才发展、学习管理、就业服务及决策支持等，助力人力资源数智化转型，支持师生开展人力资源数字化实训实践。同时，积极推动产学研协同，共同探索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“AI+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人力资源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”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领域的应用孵化与成果落地。</w:t>
            </w:r>
          </w:p>
          <w:p w14:paraId="6214AD33" w14:textId="77777777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重点方向包括：</w:t>
            </w:r>
          </w:p>
          <w:p w14:paraId="4E456022" w14:textId="77777777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lastRenderedPageBreak/>
              <w:t>1、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打造覆盖学生就业与教师招聘的智慧服务平台，支持用人单位便捷入驻和发布招聘广告，优化学生应聘与教师求职体验，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拓展招聘智能服务，为高校及机构提供简历筛选、人岗匹配、智能邀约与数据分析等一站式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数字化应用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支持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14:paraId="5685D3B0" w14:textId="77777777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、提供人力资源管理业务沙盘，模拟真实招聘、选拔、绩效等业务场景与流程，服务于师生教学与实践；</w:t>
            </w:r>
          </w:p>
          <w:p w14:paraId="5D6F60EE" w14:textId="77777777" w:rsidR="0097159F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、与高校师生合作开展课题研究，例如：</w:t>
            </w:r>
          </w:p>
          <w:p w14:paraId="7D257EA8" w14:textId="77777777" w:rsidR="0097159F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 xml:space="preserve">3.1 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企业人力资源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应用成熟度，对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HR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职责重塑的影响；</w:t>
            </w:r>
          </w:p>
          <w:p w14:paraId="6FCF4F7F" w14:textId="77777777" w:rsidR="0097159F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 xml:space="preserve">3.2 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人才招聘（含教师招聘）场景中</w:t>
            </w: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的逐步渗透，对组织降本增效的作用；</w:t>
            </w:r>
          </w:p>
          <w:p w14:paraId="6716F0E2" w14:textId="14D5F972" w:rsidR="006D0E89" w:rsidRPr="0097159F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3.3 AI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在人力资源数字化中的应用，对人才供给速度与精准度的提升效果；</w:t>
            </w:r>
          </w:p>
          <w:p w14:paraId="72E68DC1" w14:textId="77777777" w:rsidR="006D0E89" w:rsidRPr="00BF0A0B" w:rsidRDefault="009C394B">
            <w:pPr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97159F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4</w:t>
            </w:r>
            <w:r w:rsidRPr="0097159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、推动联合培养计划，共同培育新一代人力资源从业者和数字化从业者，通过共建课程与联合认证，提升学生技能。</w:t>
            </w:r>
          </w:p>
        </w:tc>
      </w:tr>
      <w:bookmarkEnd w:id="0"/>
      <w:tr w:rsidR="006D0E89" w14:paraId="5FB5A372" w14:textId="77777777" w:rsidTr="005C4F23">
        <w:trPr>
          <w:trHeight w:val="2845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C941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A0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F9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产学研共同体创新试点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6F20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聚焦以下方向，面向师生，推进产学研融合创新，包括不限于：1.共建“联合课程”，联合开发，联合认证，服务于未来学校、未来教师、未来课堂、未来学习中心建设；2.共建“</w:t>
            </w:r>
            <w:bookmarkStart w:id="1" w:name="OLE_LINK28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实践实训</w:t>
            </w:r>
            <w:bookmarkEnd w:id="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基地”，依托浪潮和1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00+政企客户及伙伴，服务师生实践实训；3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创新“校企双向奔赴”，推进高校专家兼职企业科学家，企业专家兼职院校导师，落实双导师机制；4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共建“联合实验室”，支持数据、算力、人才等资源共享；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共建“可信教育档案”：支撑以上学习经历、成果、报告文档可信、可查、可验 ；6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签署“校企产学研共同体”协议，支撑以上目标分批分阶段落地。</w:t>
            </w:r>
          </w:p>
        </w:tc>
      </w:tr>
      <w:tr w:rsidR="006D0E89" w14:paraId="1C7F17D6" w14:textId="77777777" w:rsidTr="005C4F23">
        <w:trPr>
          <w:trHeight w:val="1961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5AE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2" w:name="OLE_LINK6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</w:t>
            </w:r>
            <w:bookmarkEnd w:id="2"/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8018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3" w:name="OLE_LINK7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高校科技服务工作站试点</w:t>
            </w:r>
            <w:bookmarkEnd w:id="3"/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198B" w14:textId="77777777" w:rsidR="006D0E89" w:rsidRDefault="009C394B">
            <w:pPr>
              <w:widowControl/>
              <w:spacing w:line="300" w:lineRule="exact"/>
              <w:ind w:firstLineChars="200" w:firstLine="400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依托相关平台，试点建设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高校科技服务工作站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，提供标准化知识产权及科研工具服务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包括：1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科技资源共享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推进数据、工具、服务的共建共享；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可信评价认证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包括专利评估、成果评估、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科技查新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查收查引报告等；3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院校成果转化：对接市场企业，推进专利池合作、价值管理和转化；4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人才和学术合作：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开展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课程、证书、实践实训、学术交流等合作。</w:t>
            </w:r>
          </w:p>
        </w:tc>
      </w:tr>
      <w:tr w:rsidR="006D0E89" w14:paraId="22DB2052" w14:textId="77777777" w:rsidTr="005C4F23">
        <w:trPr>
          <w:trHeight w:val="3833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0959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6E25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教育综合学习档案试点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2E85" w14:textId="77777777" w:rsidR="006D0E89" w:rsidRDefault="009C394B" w:rsidP="0097159F">
            <w:pPr>
              <w:pStyle w:val="p1"/>
              <w:widowControl/>
              <w:ind w:firstLineChars="200" w:firstLine="40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育综合学习档案，面向高校、师生、产学研伙伴及社会公众，提供教育数据的存储、溯源、查询、核验认证等公共服务，支撑学术数据、学习成果、学习记录的全生命周期管理。四块功能：一是档案馆，全程溯源，构建可信数据档案库；二是公证处，提供数据查询、核验认证，支撑申报、评审、人才等场景；三是简历库，生成可共享的教育/学术履历，记录成长轨迹，助力职业发展；四是生态服务站，支持</w:t>
            </w:r>
            <w:bookmarkStart w:id="4" w:name="OLE_LINK29"/>
            <w:r>
              <w:rPr>
                <w:rFonts w:ascii="宋体" w:eastAsia="宋体" w:hAnsi="宋体" w:cs="宋体" w:hint="eastAsia"/>
                <w:sz w:val="20"/>
                <w:szCs w:val="20"/>
              </w:rPr>
              <w:t>伙伴依规接入，构建产学研共赢生态。</w:t>
            </w:r>
            <w:bookmarkEnd w:id="4"/>
            <w:r>
              <w:rPr>
                <w:rFonts w:ascii="宋体" w:eastAsia="宋体" w:hAnsi="宋体" w:cs="宋体" w:hint="eastAsia"/>
                <w:sz w:val="20"/>
                <w:szCs w:val="20"/>
              </w:rPr>
              <w:t>数据涵盖：学术成果（科技查新报告、查收查引证明、科研成果报告、学术评估报告等）、教育轨迹（课程学习记录、实践实训档案、联合培养成果等）、发展历程（竞赛展演证明、社团活动记录、校企合作成果、人才评价报告等）和个性化档案（支持自定义）等。</w:t>
            </w:r>
          </w:p>
        </w:tc>
      </w:tr>
    </w:tbl>
    <w:p w14:paraId="64A096D9" w14:textId="77777777" w:rsidR="006D0E89" w:rsidRDefault="006D0E89">
      <w:pPr>
        <w:widowControl/>
        <w:spacing w:line="500" w:lineRule="exact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14:paraId="1D08848A" w14:textId="77777777" w:rsidR="006D0E89" w:rsidRDefault="009C394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lastRenderedPageBreak/>
        <w:t>二、申报条件和要求</w:t>
      </w:r>
    </w:p>
    <w:p w14:paraId="4D50341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 团队成员在选定的研究课题方向有较好的技术储备，包括与申报课题研究内容相关的研究成果、教材、论文、专利、获奖等。</w:t>
      </w:r>
    </w:p>
    <w:p w14:paraId="7BF3F306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 团队组成合理，分工明确，数量不少于3人。</w:t>
      </w:r>
    </w:p>
    <w:p w14:paraId="5032DB42" w14:textId="77777777" w:rsidR="006D0E89" w:rsidRPr="0097159F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 优先支持已经设立企业级PaaS平台、开源低代码、人工智能、大模型、大数据、智算平台、物联网、工业软件、</w:t>
      </w:r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人力资源管理、人才培养等相关专业或者已经成立相关研究中心的院校。</w:t>
      </w:r>
    </w:p>
    <w:p w14:paraId="5A4B5899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 优先支持研究内容有创造性、前瞻性和实用性，有商业化前景的课题。</w:t>
      </w:r>
    </w:p>
    <w:p w14:paraId="270C83BB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. 优先支持有明确研究成果，成果有应用价值，可复制、可推广的课题，不支持纯理论研究。</w:t>
      </w:r>
    </w:p>
    <w:p w14:paraId="536AE71F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. 优先支持研究方向明确，研究内容详实，研究方案完整可行的课题。</w:t>
      </w:r>
    </w:p>
    <w:p w14:paraId="726F186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7. </w:t>
      </w:r>
      <w:r>
        <w:rPr>
          <w:rFonts w:ascii="宋体" w:eastAsia="宋体" w:hAnsi="宋体" w:cs="宋体" w:hint="eastAsia"/>
          <w:kern w:val="0"/>
          <w:sz w:val="24"/>
          <w:szCs w:val="24"/>
        </w:rPr>
        <w:t>优先支持“院校+企业”联合申报，需明确对接企业实际业务场景（如：人工智能场景化应用、智能制造产线改造、能源数字化管理等）。</w:t>
      </w:r>
    </w:p>
    <w:p w14:paraId="6E5954D2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申请人应客观、真实地填写申请书，没有知识产权争议，遵守国家有关知识产权法规。在课题申请</w:t>
      </w:r>
      <w:r>
        <w:rPr>
          <w:rFonts w:ascii="宋体" w:eastAsia="宋体" w:hAnsi="宋体" w:cs="宋体"/>
          <w:kern w:val="0"/>
          <w:sz w:val="24"/>
          <w:szCs w:val="24"/>
        </w:rPr>
        <w:t>书</w:t>
      </w:r>
      <w:r>
        <w:rPr>
          <w:rFonts w:ascii="宋体" w:eastAsia="宋体" w:hAnsi="宋体" w:cs="宋体" w:hint="eastAsia"/>
          <w:kern w:val="0"/>
          <w:sz w:val="24"/>
          <w:szCs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6950CE31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>资助课题获得的知识产权由</w:t>
      </w:r>
      <w:r>
        <w:rPr>
          <w:rFonts w:ascii="宋体" w:eastAsia="宋体" w:hAnsi="宋体" w:cs="宋体" w:hint="eastAsia"/>
          <w:kern w:val="0"/>
          <w:sz w:val="24"/>
          <w:szCs w:val="24"/>
        </w:rPr>
        <w:t>资助方</w:t>
      </w:r>
      <w:r>
        <w:rPr>
          <w:rFonts w:ascii="宋体" w:eastAsia="宋体" w:hAnsi="宋体" w:cs="宋体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kern w:val="0"/>
          <w:sz w:val="24"/>
          <w:szCs w:val="24"/>
        </w:rPr>
        <w:t>课题</w:t>
      </w:r>
      <w:r>
        <w:rPr>
          <w:rFonts w:ascii="宋体" w:eastAsia="宋体" w:hAnsi="宋体" w:cs="宋体"/>
          <w:kern w:val="0"/>
          <w:sz w:val="24"/>
          <w:szCs w:val="24"/>
        </w:rPr>
        <w:t>承担单位共同所有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1DA1A8AF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.课题组需具备可独立支配的课题研究基础软硬件条件。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CBAF68F" w14:textId="77777777" w:rsidR="006D0E89" w:rsidRDefault="009C394B">
      <w:pPr>
        <w:widowControl/>
        <w:spacing w:line="480" w:lineRule="exact"/>
        <w:ind w:firstLineChars="200" w:firstLine="560"/>
        <w:contextualSpacing/>
        <w:jc w:val="left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三、资源及服务</w:t>
      </w:r>
    </w:p>
    <w:p w14:paraId="71405952" w14:textId="77777777" w:rsidR="006D0E89" w:rsidRDefault="009C394B">
      <w:pPr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浪潮集团是中国领先的云计算、大数据服务商，为全球一百二十多个国家和地区提供</w:t>
      </w:r>
      <w:r>
        <w:rPr>
          <w:rFonts w:ascii="宋体" w:eastAsia="宋体" w:hAnsi="宋体" w:cs="宋体"/>
          <w:kern w:val="0"/>
          <w:sz w:val="24"/>
          <w:szCs w:val="24"/>
        </w:rPr>
        <w:t>IT产品和服务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。浪潮通用软件有限公司是浪潮集团下属企业，是中国领先的企业软件与云服务提供商，企业数字化转型优秀服务商，智能制造解决方案供应商，唯一承担三部委智能</w:t>
      </w:r>
      <w:r>
        <w:rPr>
          <w:rFonts w:ascii="宋体" w:eastAsia="宋体" w:hAnsi="宋体" w:cs="宋体"/>
          <w:kern w:val="0"/>
          <w:sz w:val="24"/>
          <w:szCs w:val="24"/>
        </w:rPr>
        <w:t>ERP国家科技项目厂商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，多次</w:t>
      </w:r>
      <w:r>
        <w:rPr>
          <w:rFonts w:ascii="宋体" w:eastAsia="宋体" w:hAnsi="宋体" w:cs="宋体"/>
          <w:kern w:val="0"/>
          <w:sz w:val="24"/>
          <w:szCs w:val="24"/>
        </w:rPr>
        <w:t>承担</w:t>
      </w:r>
      <w:r>
        <w:rPr>
          <w:rFonts w:ascii="宋体" w:eastAsia="宋体" w:hAnsi="宋体" w:cs="宋体" w:hint="eastAsia"/>
          <w:kern w:val="0"/>
          <w:sz w:val="24"/>
          <w:szCs w:val="24"/>
        </w:rPr>
        <w:t>部级及以上</w:t>
      </w:r>
      <w:r>
        <w:rPr>
          <w:rFonts w:ascii="宋体" w:eastAsia="宋体" w:hAnsi="宋体" w:cs="宋体"/>
          <w:kern w:val="0"/>
          <w:sz w:val="24"/>
          <w:szCs w:val="24"/>
        </w:rPr>
        <w:t>重点研发计划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科研项目。累计申请专利2000余项，发明专利占比98%；牵头或参与国际、国家等各类标准制定51项。</w:t>
      </w:r>
      <w:r>
        <w:rPr>
          <w:rFonts w:ascii="宋体" w:eastAsia="宋体" w:hAnsi="宋体" w:cs="宋体" w:hint="eastAsia"/>
          <w:kern w:val="0"/>
          <w:sz w:val="24"/>
          <w:szCs w:val="24"/>
        </w:rPr>
        <w:t>为7</w:t>
      </w:r>
      <w:r>
        <w:rPr>
          <w:rFonts w:ascii="宋体" w:eastAsia="宋体" w:hAnsi="宋体" w:cs="宋体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户央企，</w:t>
      </w:r>
      <w:r>
        <w:rPr>
          <w:rFonts w:ascii="宋体" w:eastAsia="宋体" w:hAnsi="宋体" w:cs="宋体"/>
          <w:kern w:val="0"/>
          <w:sz w:val="24"/>
          <w:szCs w:val="24"/>
        </w:rPr>
        <w:t>190</w:t>
      </w:r>
      <w:r>
        <w:rPr>
          <w:rFonts w:ascii="宋体" w:eastAsia="宋体" w:hAnsi="宋体" w:cs="宋体" w:hint="eastAsia"/>
          <w:kern w:val="0"/>
          <w:sz w:val="24"/>
          <w:szCs w:val="24"/>
        </w:rPr>
        <w:t>家中国500强，120万家客户提供数字化转型服务。</w:t>
      </w:r>
    </w:p>
    <w:p w14:paraId="581DC72A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针对入选合作院校，基金将提供完善的资源和服务体系，以保证院校顺利开展合作课题，并为院校在企业级PaaS平台、开源低代码、人工智能、大模型、大数据、智算</w:t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平台、物联网、工业软件、</w:t>
      </w:r>
      <w:bookmarkStart w:id="5" w:name="_GoBack"/>
      <w:r w:rsidRPr="0097159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人力资源管理、人才培</w:t>
      </w:r>
      <w:bookmarkEnd w:id="5"/>
      <w:r>
        <w:rPr>
          <w:rFonts w:ascii="宋体" w:eastAsia="宋体" w:hAnsi="宋体" w:cs="宋体" w:hint="eastAsia"/>
          <w:kern w:val="0"/>
          <w:sz w:val="24"/>
          <w:szCs w:val="24"/>
        </w:rPr>
        <w:t>养等方向的科学研究和教学实践，为技术应用创新、数实融合、产业升级和高质量发展提供长期有效的支持。</w:t>
      </w:r>
    </w:p>
    <w:p w14:paraId="225AAB1D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kern w:val="0"/>
          <w:sz w:val="24"/>
          <w:szCs w:val="24"/>
        </w:rPr>
        <w:t>数智创新与人才专项（二期）”为每个立项课题提供对应的研究经费及科研软硬件平台支持，为申报团队提供创新项目选题指导，并根据需求开展服务校方等工作。</w:t>
      </w:r>
    </w:p>
    <w:p w14:paraId="142DA4FF" w14:textId="77777777" w:rsidR="006D0E89" w:rsidRDefault="009C394B">
      <w:pPr>
        <w:widowControl/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项目发起单位将辅助、联合申报院校申报新的科研课题，提供项目咨询服务和技术支持，辅助科研成果的快速产品化及解决方案的包装。</w:t>
      </w:r>
    </w:p>
    <w:p w14:paraId="682B37CE" w14:textId="77777777" w:rsidR="006D0E89" w:rsidRDefault="009C394B">
      <w:pPr>
        <w:adjustRightInd w:val="0"/>
        <w:snapToGrid w:val="0"/>
        <w:spacing w:afterLines="50" w:after="156" w:line="480" w:lineRule="exact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表二 提供给课题研究的软硬件服务说明</w:t>
      </w:r>
    </w:p>
    <w:tbl>
      <w:tblPr>
        <w:tblW w:w="5066" w:type="pct"/>
        <w:jc w:val="center"/>
        <w:tblLook w:val="04A0" w:firstRow="1" w:lastRow="0" w:firstColumn="1" w:lastColumn="0" w:noHBand="0" w:noVBand="1"/>
      </w:tblPr>
      <w:tblGrid>
        <w:gridCol w:w="709"/>
        <w:gridCol w:w="1700"/>
        <w:gridCol w:w="6662"/>
      </w:tblGrid>
      <w:tr w:rsidR="006D0E89" w14:paraId="6E4DA8C9" w14:textId="77777777">
        <w:trPr>
          <w:trHeight w:val="290"/>
          <w:jc w:val="center"/>
        </w:trPr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1CCC3B2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平台编号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CEF86E0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软硬件服务名称</w:t>
            </w:r>
          </w:p>
        </w:tc>
        <w:tc>
          <w:tcPr>
            <w:tcW w:w="36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69A1989E" w14:textId="77777777" w:rsidR="006D0E89" w:rsidRDefault="009C394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详细介绍</w:t>
            </w:r>
          </w:p>
        </w:tc>
      </w:tr>
      <w:tr w:rsidR="006D0E89" w14:paraId="3A521CE5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A8715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3288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2A36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管理组件提供软件系统的基础能力，实现了组织、用户、权限设置与管理功能，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43DDF509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67F8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CD6D8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开发环境组件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51AB1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发环境组件提供高校应用开发环境，包含丰富的前端设计器及公共组件，以及各类后端服务。具备各类元数据开发建模的可视化设计建模工具，并提供开发内容的编辑与编译功能，实现模型编译、源码生成、运行调试与应用发布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09376AD8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C758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AFCB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表单设计器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90C5D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单设计器提供基于WEB浏览器的可视化表单设计器，用户只需Web浏览器就可以通过可视化、拖拉拽的方式完成表单的建模定义与界面布局设计等，操作方便快捷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2C4AD3CB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C5A9E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1498E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低代码模型设计器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6AA91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设计器提供40种以上开发模型的可视化开发、建模工具，能够全面覆盖UI展现层、API服务层、BFF前后端适配层、业务流程层、领域服务层与持久化层，内置大量的可重用技术构件、业务构件、开发模板等软件资产库，方便用户建模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3D04F6DF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EF260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831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模型管理组件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352A6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管理组件提供开发应用模型的全生命周期管理，包括模型的创建，模型工程化管理，模型工程编译，模型运行时解析等，用户可轻松实现模型设计的新增、修改、依赖建立、依赖查找、编译打包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5BA5BF7F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8F129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D1EBF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流程设计器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0E276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设计器提供完全符合BPMN2.0规范的图形化流程设计器，用户只需web浏览器就可以通过可视化、拖拉拽的方式完成审批作流的建模定义，操作方便快捷。在流程设计过程中支持顺序、分支、合并、人工、自动，子流程等等多种基本流程模式，以及自由流、加签，会签，回退、跳转、代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等多种特殊流程模式。可支持高校师生灵活开展应用开发、教学、实践，是低代码开发平台的成员组件。低代码平台是浪潮为高校提供的一站式自主产权、开源、应用开发平台。提供基础版，限院校本课题研究使用。</w:t>
            </w:r>
          </w:p>
        </w:tc>
      </w:tr>
      <w:tr w:rsidR="006D0E89" w14:paraId="29EDC34D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1D5C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B07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6D33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流程实例管理组件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E642E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程实例管理组件提供流程实例的流程定义、版本、摘要、状态、发起人、开始时间、结束时间、当前节点、当前办理人等信息，用户可以对运行中的流程实例进行监控、管理、挂起、复活、终止等干预，也可以查看已经结束的流程实例。可支持高校师生灵活开展应用开发、教学、实践，是低代码开发平台的成员组件，低代码平台是浪潮为高校提供的一站式自主产权、开源、应用开发平台。提供基础版，限院校本课题研究使用。</w:t>
            </w:r>
          </w:p>
        </w:tc>
      </w:tr>
      <w:tr w:rsidR="006D0E89" w14:paraId="3C81F40D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AAF06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8BBF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识别智能版服务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8487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识别智能版服务是浪潮为高校提供的人工智能OCR识别技术，提供了多场景、多语种、高精度的OCR文字检测与识别服务，能够覆盖多种通用场景、多种语言的高精度整图文字检测和识别服务，包括各类印刷和手写文档、网络图片、表格、数字、二维码等。广泛适用于文献文档电子化等场景。提供基础版，限院校本课题研究使用。</w:t>
            </w:r>
          </w:p>
        </w:tc>
      </w:tr>
      <w:tr w:rsidR="006D0E89" w14:paraId="011DE9EE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D31B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B09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22F51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基于大模型的智能问答平台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AFDDB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问答平台是浪潮为高校提供的基于大模型的智能问答服务，支持自然场景下交流文本的意图检测、语义识别及关键词提取，短语、句子等不同粒度的底层能力，为高校师生提供基于自然语言描述的交互入口，可支持高校师生对人工智能、大模型的教学、探索。提供基础版，限院校本课题研究使用。</w:t>
            </w:r>
          </w:p>
        </w:tc>
      </w:tr>
      <w:tr w:rsidR="006D0E89" w14:paraId="1DACA4FD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D9BE9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075E5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BI数据分析工具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463E8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I数据分析工具是浪潮为高校提供的一站式数据可视化分析工具，包含数据集定义、部件定义、参数模板、看板定义等功能。高校师生可基于系统和数据仓库的数据进行可视化图表配置，满足数据分析需要，实现灵活的大屏看板，自助分析等功能。可支持高校师生灵活开展BI数据分析的教学、实践。提供基础版，限院校本课题研究使用。</w:t>
            </w:r>
          </w:p>
        </w:tc>
      </w:tr>
      <w:tr w:rsidR="006D0E89" w14:paraId="72F12A20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F084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CA2A0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物联网采集报警监测工具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6C5A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采集报警监测工具，为高校师生提供全面的工业设备接入能力，支持多种工业协议深度解析，实现实时设备状态监测与分析，高效事件上报机制，以及精准的时序数据采集和异常告警系统，确保设备运行的稳定性和安全性。可支持高校师生灵活开展工业设备、物联网相关的教学、研究与实践。提供基础版，限院校本课题研究使用。</w:t>
            </w:r>
          </w:p>
        </w:tc>
      </w:tr>
      <w:tr w:rsidR="006D0E89" w14:paraId="77D9AF83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CB381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D6CFD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制造运营管理系统（</w:t>
            </w:r>
            <w:r>
              <w:rPr>
                <w:rFonts w:ascii="宋体" w:eastAsia="宋体" w:hAnsi="宋体"/>
                <w:sz w:val="20"/>
                <w:szCs w:val="20"/>
              </w:rPr>
              <w:t>MOM）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F6F9D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制造运营管理系统（MOM）,支撑制造企业智能工厂数字化、网络化、智能化、绿色化建设目标，实现精益管控产品生产过程，协调管理企业的人员、设备、物料、能源等资源，高效率、低成本、高质量地把原材料零件转化为工业产品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64407D7B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EE202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200D0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制造执行系统（</w:t>
            </w:r>
            <w:r>
              <w:rPr>
                <w:rFonts w:ascii="宋体" w:eastAsia="宋体" w:hAnsi="宋体"/>
                <w:sz w:val="20"/>
                <w:szCs w:val="20"/>
              </w:rPr>
              <w:t>MES）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A133D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的浪潮海岳低代码平台开发的制造执行系统（MES）,可实现制造数据管理、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计划排程管理、生产调度管理、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库存管理、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质量管理、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人力资源管理、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工作中心/设备管理、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工具工装管理、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采购管理、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成本管理、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>
              <w:rPr>
                <w:rFonts w:ascii="宋体" w:eastAsia="宋体" w:hAnsi="宋体"/>
                <w:sz w:val="20"/>
                <w:szCs w:val="20"/>
              </w:rPr>
              <w:t>项目看板管理、生产过程控制以及数据集成分析等功能，从而提高生产效率、降低库存成本、优化资源配置、提升产品质量、增强决策支持能力。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12974183" w14:textId="77777777">
        <w:trPr>
          <w:trHeight w:val="547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9CF4D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C6B13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企业资产管理系统（EAM）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23CA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企业资产管理系统（EAM），可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实现企业资产的采购、到货验收、建档立卡、经营使用、保养检修、报废处置的全生命周期管理。对于资产的维护，系统结合浪潮多年在资产及设备管理领域的业务沉淀，以资产台账为基础，提供设备从缺陷的预防、发</w:t>
            </w: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现、计划、派工、维修、完工等全过程管理。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5007C184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92EBF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B1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B59F4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设备健康管理系统（PHM）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E1F14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健康管理系统（PHM）是一款基于生产设备层级的管理软件，是浪潮智能制造产品体系组件之一，是集工业数据采集、时序数据存储分析、制造资源动态监控与设备故障预测与运维于一体的工业智能平台，对接工业现场的逻辑设备，为生产监控的可视化提供配置及管理服务，优化生产设备资源透明化管理与调控能力，实现车间设备层与制造执行层的纵向集成。提供基础版，限院校本课题研究使用。</w:t>
            </w:r>
          </w:p>
        </w:tc>
      </w:tr>
      <w:tr w:rsidR="006D0E89" w14:paraId="72D57A21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CBE0C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0A0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智能仓储管理系统（W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MS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C3E2C" w14:textId="77777777" w:rsidR="006D0E89" w:rsidRDefault="009C394B">
            <w:pPr>
              <w:widowControl/>
              <w:spacing w:beforeLines="10" w:before="31" w:line="300" w:lineRule="exact"/>
              <w:ind w:firstLineChars="200" w:firstLine="4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/>
                <w:sz w:val="20"/>
                <w:szCs w:val="20"/>
              </w:rPr>
              <w:t>基于自主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产权</w:t>
            </w:r>
            <w:r>
              <w:rPr>
                <w:rFonts w:ascii="宋体" w:eastAsia="宋体" w:hAnsi="宋体"/>
                <w:sz w:val="20"/>
                <w:szCs w:val="20"/>
              </w:rPr>
              <w:t>的浪潮海岳低代码平台开发的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智能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仓储管理系统（W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MS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），能够提供物资库存全流程管理。系统全面应用移动仓储作业、物联网集成解决方案，实现物资全流程追溯管理，打通采购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-仓储-生产-全供应链仓储管理体系，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助力企业实现仓储管理的数字化转型。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提供基础版，限院校本课题研究使用。</w:t>
            </w:r>
          </w:p>
        </w:tc>
      </w:tr>
      <w:tr w:rsidR="006D0E89" w14:paraId="2D1CAED8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68AEE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AC9B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大模型一体机平台工具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4896" w14:textId="77777777" w:rsidR="006D0E89" w:rsidRDefault="009C394B">
            <w:pPr>
              <w:widowControl/>
              <w:spacing w:beforeLines="10" w:before="31"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智算平台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的部署实施工具。提供基础版，限院校本课题研究使用。</w:t>
            </w:r>
          </w:p>
        </w:tc>
      </w:tr>
      <w:tr w:rsidR="006D0E89" w14:paraId="35488A8A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8684F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48DE4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工业数据和接口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C9946" w14:textId="77777777" w:rsidR="006D0E89" w:rsidRDefault="009C394B">
            <w:pPr>
              <w:widowControl/>
              <w:spacing w:beforeLines="10" w:before="31"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企业提供的脱敏业务数据集，与工业互联网平台接口等。提供基础版，限院校本课题研究使用。</w:t>
            </w:r>
          </w:p>
        </w:tc>
      </w:tr>
      <w:tr w:rsidR="006D0E89" w14:paraId="3A891E09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2713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62BD2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人力资源AI应用组件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2ABDA" w14:textId="77777777" w:rsidR="006D0E89" w:rsidRDefault="009C394B">
            <w:pPr>
              <w:widowControl/>
              <w:spacing w:beforeLines="10" w:before="31"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支持高校灵活开展应用开发、教学、实践。提供基础版，限院校本课题研究使用。</w:t>
            </w:r>
          </w:p>
        </w:tc>
      </w:tr>
      <w:tr w:rsidR="006D0E89" w14:paraId="218D8137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AFC6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92DDA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工业CAE超算仿真平台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B2B6A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工业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CAE超算仿真平台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是用于教学与科研的通用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CAE平台，包括快捷几何建模，高效网格划分的前处理，美观的可视化后处理和支持各种硬件环境的高性能求解器。</w:t>
            </w:r>
          </w:p>
          <w:p w14:paraId="2A2D318A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支持高校师生开展仿真分析、教学、设计、验证、评估。</w:t>
            </w:r>
          </w:p>
          <w:p w14:paraId="05D56D1C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包括静力学和模态分析模块，提供基础版，限院校本课题研究使用。</w:t>
            </w:r>
          </w:p>
        </w:tc>
      </w:tr>
      <w:tr w:rsidR="006D0E89" w14:paraId="63F42D31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B5F47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8D36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联合共建服务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959A9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配套A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09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，可选择以下的1个或几个方向</w:t>
            </w:r>
          </w:p>
          <w:p w14:paraId="6DA15799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1.共建联合课程</w:t>
            </w:r>
          </w:p>
          <w:p w14:paraId="61AA730E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2.共建实践实训基地</w:t>
            </w:r>
          </w:p>
          <w:p w14:paraId="630CBE45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创新校企双向奔赴</w:t>
            </w:r>
          </w:p>
          <w:p w14:paraId="7AEC4344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共建实验室</w:t>
            </w:r>
          </w:p>
          <w:p w14:paraId="54DD7E9D" w14:textId="77777777" w:rsidR="006D0E89" w:rsidRDefault="009C394B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共建产教共同体</w:t>
            </w:r>
          </w:p>
          <w:p w14:paraId="3C3E17B0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共建可信档案体系。</w:t>
            </w:r>
          </w:p>
        </w:tc>
      </w:tr>
      <w:tr w:rsidR="006D0E89" w14:paraId="146C4605" w14:textId="77777777">
        <w:trPr>
          <w:trHeight w:val="564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2197D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F4302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高校科技服务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BD374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配套A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，提供免费版，限院校本课题研究使用。</w:t>
            </w:r>
          </w:p>
        </w:tc>
      </w:tr>
      <w:tr w:rsidR="006D0E89" w14:paraId="07DBB2E2" w14:textId="77777777">
        <w:trPr>
          <w:trHeight w:val="780"/>
          <w:jc w:val="center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E1763" w14:textId="77777777" w:rsidR="006D0E89" w:rsidRDefault="009C394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B2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7B4D7" w14:textId="77777777" w:rsidR="006D0E89" w:rsidRDefault="009C394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教育档案溯源服务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5D67A" w14:textId="77777777" w:rsidR="006D0E89" w:rsidRDefault="009C394B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配套A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11,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采集院校的学术数据、学习成果、学习记录等，统一至“教育综合学习档案”存档；提供免费版，限院校本课题研究使用。</w:t>
            </w:r>
          </w:p>
        </w:tc>
      </w:tr>
    </w:tbl>
    <w:p w14:paraId="60A39CC5" w14:textId="77777777" w:rsidR="006D0E89" w:rsidRDefault="006D0E89">
      <w:pPr>
        <w:widowControl/>
        <w:spacing w:beforeLines="50" w:before="156" w:line="460" w:lineRule="exact"/>
        <w:rPr>
          <w:rFonts w:ascii="宋体" w:eastAsia="宋体" w:hAnsi="宋体" w:cs="宋体"/>
          <w:b/>
          <w:kern w:val="0"/>
          <w:sz w:val="24"/>
          <w:szCs w:val="24"/>
        </w:rPr>
      </w:pPr>
      <w:bookmarkStart w:id="6" w:name="_Hlk177724103"/>
    </w:p>
    <w:bookmarkEnd w:id="6"/>
    <w:p w14:paraId="733C76CC" w14:textId="77777777" w:rsidR="006D0E89" w:rsidRDefault="009C394B">
      <w:pPr>
        <w:widowControl/>
        <w:spacing w:line="480" w:lineRule="exact"/>
        <w:ind w:firstLineChars="200" w:firstLine="560"/>
        <w:contextualSpacing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四、课题申报说明</w:t>
      </w:r>
    </w:p>
    <w:p w14:paraId="2F015837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申请人须仔细阅读申请指南，按照指南详细填写申请书，填写不合要求的课题会按照格式不符合要求处理。</w:t>
      </w:r>
    </w:p>
    <w:p w14:paraId="5284C2D0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lastRenderedPageBreak/>
        <w:t>2.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请各课题申请人按要求填写申请书（申请书中手机和邮箱必须填写），加盖公章及签字后扫描上传至：</w:t>
      </w: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http</w:t>
      </w:r>
      <w:r>
        <w:rPr>
          <w:rFonts w:ascii="Times New Roman" w:eastAsia="宋体" w:hAnsi="Times New Roman" w:cs="Times New Roman" w:hint="eastAsia"/>
          <w:b/>
          <w:iCs/>
          <w:kern w:val="0"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iCs/>
          <w:kern w:val="0"/>
          <w:sz w:val="24"/>
          <w:szCs w:val="24"/>
        </w:rPr>
        <w:t>://cxjj.cutech.edu.cn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；为方便评审，申请书扫描件请按以下命名规则命名：学校名称+申请人姓名。</w:t>
      </w:r>
    </w:p>
    <w:p w14:paraId="12D14C57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3.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申请截止时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间为202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日。</w:t>
      </w:r>
    </w:p>
    <w:p w14:paraId="50CD5BEC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4.</w:t>
      </w:r>
      <w:r>
        <w:rPr>
          <w:rFonts w:ascii="宋体" w:eastAsia="宋体" w:hAnsi="宋体" w:cs="Times New Roman"/>
          <w:i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课题的执行时间为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日～202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Times New Roman" w:hint="eastAsia"/>
          <w:iCs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可根据课题复杂程度适度延长执行周期，最长不超过两年。</w:t>
      </w:r>
    </w:p>
    <w:p w14:paraId="40468056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5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每位申报人限报一项课题。</w:t>
      </w:r>
    </w:p>
    <w:p w14:paraId="6266CE21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kern w:val="0"/>
          <w:sz w:val="24"/>
          <w:szCs w:val="24"/>
        </w:rPr>
        <w:t>课题选题列表上的选题方向都不限定课题数量，但是如果存在内容重复的相似课题，专家组将根据课题组技术积累、课题方案、课题支撑条件等要素择优选择资助课题。</w:t>
      </w:r>
    </w:p>
    <w:p w14:paraId="06E40E72" w14:textId="77777777" w:rsidR="006D0E89" w:rsidRDefault="009C394B">
      <w:pPr>
        <w:widowControl/>
        <w:adjustRightInd w:val="0"/>
        <w:snapToGrid w:val="0"/>
        <w:spacing w:line="480" w:lineRule="exact"/>
        <w:ind w:firstLineChars="200" w:firstLine="48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>7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如果以联合课题组的形式申请课题，需要列明不同学校单位的课题任务。</w:t>
      </w:r>
    </w:p>
    <w:p w14:paraId="718D6ABD" w14:textId="77777777" w:rsidR="006D0E89" w:rsidRDefault="009C394B">
      <w:pPr>
        <w:widowControl/>
        <w:snapToGrid w:val="0"/>
        <w:spacing w:line="480" w:lineRule="exact"/>
        <w:ind w:firstLineChars="200" w:firstLine="480"/>
        <w:contextualSpacing/>
        <w:outlineLvl w:val="1"/>
        <w:rPr>
          <w:rFonts w:ascii="Times New Roman" w:eastAsia="微软雅黑" w:hAnsi="Times New Roman" w:cs="Times New Roman"/>
          <w:bCs/>
          <w:iCs/>
          <w:kern w:val="0"/>
          <w:sz w:val="28"/>
        </w:rPr>
      </w:pP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>8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.</w:t>
      </w:r>
      <w:r>
        <w:rPr>
          <w:rFonts w:ascii="宋体" w:eastAsia="宋体" w:hAnsi="宋体" w:cs="Times New Roman"/>
          <w:bCs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Cs/>
          <w:iCs/>
          <w:kern w:val="0"/>
          <w:sz w:val="24"/>
          <w:szCs w:val="24"/>
        </w:rPr>
        <w:t>课题申请人无需向资助企业额外购买配套设备或软件。</w:t>
      </w:r>
    </w:p>
    <w:p w14:paraId="679BFC44" w14:textId="77777777" w:rsidR="006D0E89" w:rsidRDefault="009C394B">
      <w:pPr>
        <w:widowControl/>
        <w:snapToGrid w:val="0"/>
        <w:spacing w:line="480" w:lineRule="exact"/>
        <w:ind w:firstLineChars="200" w:firstLine="560"/>
        <w:outlineLvl w:val="1"/>
        <w:rPr>
          <w:rFonts w:ascii="Times New Roman" w:eastAsia="微软雅黑" w:hAnsi="Times New Roman" w:cs="Times New Roman"/>
          <w:b/>
          <w:bCs/>
          <w:iCs/>
          <w:kern w:val="0"/>
          <w:sz w:val="28"/>
        </w:rPr>
      </w:pPr>
      <w:r>
        <w:rPr>
          <w:rFonts w:ascii="Times New Roman" w:eastAsia="微软雅黑" w:hAnsi="Times New Roman" w:cs="Times New Roman" w:hint="eastAsia"/>
          <w:b/>
          <w:bCs/>
          <w:iCs/>
          <w:kern w:val="0"/>
          <w:sz w:val="28"/>
        </w:rPr>
        <w:t>五、联系人及联系方式</w:t>
      </w:r>
    </w:p>
    <w:p w14:paraId="4FC97571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1.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教育部高等学校科学研究发展中心联系人：</w:t>
      </w:r>
    </w:p>
    <w:p w14:paraId="7EAB4E02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张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 xml:space="preserve">杰 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电话：010-62514689</w:t>
      </w:r>
    </w:p>
    <w:p w14:paraId="0CDCB165" w14:textId="77777777" w:rsidR="006D0E89" w:rsidRDefault="009C394B">
      <w:pPr>
        <w:widowControl/>
        <w:snapToGrid w:val="0"/>
        <w:spacing w:line="480" w:lineRule="exact"/>
        <w:ind w:firstLineChars="200" w:firstLine="480"/>
        <w:rPr>
          <w:rFonts w:ascii="宋体" w:eastAsia="宋体" w:hAnsi="宋体" w:cs="Times New Roman"/>
          <w:i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2</w:t>
      </w:r>
      <w:r>
        <w:rPr>
          <w:rFonts w:ascii="宋体" w:eastAsia="宋体" w:hAnsi="宋体" w:cs="Times New Roman"/>
          <w:iCs/>
          <w:kern w:val="0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iCs/>
          <w:kern w:val="0"/>
          <w:sz w:val="24"/>
          <w:szCs w:val="24"/>
        </w:rPr>
        <w:t>企业联系人：</w:t>
      </w:r>
    </w:p>
    <w:tbl>
      <w:tblPr>
        <w:tblStyle w:val="a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993"/>
        <w:gridCol w:w="1843"/>
        <w:gridCol w:w="1701"/>
        <w:gridCol w:w="3119"/>
      </w:tblGrid>
      <w:tr w:rsidR="006D0E89" w14:paraId="4A0B2F4C" w14:textId="77777777">
        <w:trPr>
          <w:trHeight w:val="567"/>
          <w:jc w:val="center"/>
        </w:trPr>
        <w:tc>
          <w:tcPr>
            <w:tcW w:w="703" w:type="dxa"/>
            <w:vMerge w:val="restart"/>
            <w:vAlign w:val="center"/>
          </w:tcPr>
          <w:p w14:paraId="098E1D2D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bookmarkStart w:id="7" w:name="_Hlk212556343"/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01-A06</w:t>
            </w:r>
          </w:p>
        </w:tc>
        <w:tc>
          <w:tcPr>
            <w:tcW w:w="993" w:type="dxa"/>
            <w:vAlign w:val="center"/>
          </w:tcPr>
          <w:p w14:paraId="2C0204A4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6478D161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负责区域</w:t>
            </w:r>
          </w:p>
        </w:tc>
        <w:tc>
          <w:tcPr>
            <w:tcW w:w="1701" w:type="dxa"/>
            <w:vAlign w:val="center"/>
          </w:tcPr>
          <w:p w14:paraId="0A05733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电话</w:t>
            </w:r>
          </w:p>
        </w:tc>
        <w:tc>
          <w:tcPr>
            <w:tcW w:w="3119" w:type="dxa"/>
            <w:vAlign w:val="center"/>
          </w:tcPr>
          <w:p w14:paraId="0E22044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邮箱</w:t>
            </w:r>
          </w:p>
        </w:tc>
      </w:tr>
      <w:tr w:rsidR="006D0E89" w14:paraId="1F8A787C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2A225B17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0D4B17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 xml:space="preserve">卢 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倩</w:t>
            </w:r>
          </w:p>
        </w:tc>
        <w:tc>
          <w:tcPr>
            <w:tcW w:w="1843" w:type="dxa"/>
            <w:vAlign w:val="center"/>
          </w:tcPr>
          <w:p w14:paraId="30065AA4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vAlign w:val="center"/>
          </w:tcPr>
          <w:p w14:paraId="7ED022A3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15098928121</w:t>
            </w:r>
          </w:p>
        </w:tc>
        <w:tc>
          <w:tcPr>
            <w:tcW w:w="3119" w:type="dxa"/>
            <w:vAlign w:val="center"/>
          </w:tcPr>
          <w:p w14:paraId="11CDCEFD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luqian@inspur.com</w:t>
            </w:r>
          </w:p>
        </w:tc>
      </w:tr>
      <w:tr w:rsidR="006D0E89" w14:paraId="5788263E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2691204D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890E7F1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蔡令达</w:t>
            </w:r>
          </w:p>
        </w:tc>
        <w:tc>
          <w:tcPr>
            <w:tcW w:w="1843" w:type="dxa"/>
            <w:vAlign w:val="center"/>
          </w:tcPr>
          <w:p w14:paraId="5A1EC458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京津冀</w:t>
            </w:r>
          </w:p>
        </w:tc>
        <w:tc>
          <w:tcPr>
            <w:tcW w:w="1701" w:type="dxa"/>
            <w:noWrap/>
            <w:vAlign w:val="center"/>
          </w:tcPr>
          <w:p w14:paraId="695F3BDC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13905386729</w:t>
            </w:r>
          </w:p>
        </w:tc>
        <w:tc>
          <w:tcPr>
            <w:tcW w:w="3119" w:type="dxa"/>
            <w:vAlign w:val="center"/>
          </w:tcPr>
          <w:p w14:paraId="0588433D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cailingda@inspur.com</w:t>
            </w:r>
          </w:p>
        </w:tc>
      </w:tr>
      <w:tr w:rsidR="006D0E89" w14:paraId="239EF4DE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1D300360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5FE2E1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 xml:space="preserve">李 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坤</w:t>
            </w:r>
          </w:p>
        </w:tc>
        <w:tc>
          <w:tcPr>
            <w:tcW w:w="1843" w:type="dxa"/>
            <w:vAlign w:val="center"/>
          </w:tcPr>
          <w:p w14:paraId="133B6614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华东</w:t>
            </w:r>
          </w:p>
        </w:tc>
        <w:tc>
          <w:tcPr>
            <w:tcW w:w="1701" w:type="dxa"/>
            <w:noWrap/>
            <w:vAlign w:val="center"/>
          </w:tcPr>
          <w:p w14:paraId="68C7BD71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18363087878</w:t>
            </w:r>
          </w:p>
        </w:tc>
        <w:tc>
          <w:tcPr>
            <w:tcW w:w="3119" w:type="dxa"/>
            <w:vAlign w:val="center"/>
          </w:tcPr>
          <w:p w14:paraId="51BB9063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likun02@inspur.com</w:t>
            </w:r>
          </w:p>
        </w:tc>
      </w:tr>
      <w:tr w:rsidR="006D0E89" w14:paraId="7492E946" w14:textId="77777777">
        <w:trPr>
          <w:trHeight w:val="567"/>
          <w:jc w:val="center"/>
        </w:trPr>
        <w:tc>
          <w:tcPr>
            <w:tcW w:w="703" w:type="dxa"/>
            <w:vMerge/>
            <w:vAlign w:val="center"/>
          </w:tcPr>
          <w:p w14:paraId="06C8F45E" w14:textId="77777777" w:rsidR="006D0E89" w:rsidRDefault="006D0E89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6536E39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樊艳雪</w:t>
            </w:r>
          </w:p>
        </w:tc>
        <w:tc>
          <w:tcPr>
            <w:tcW w:w="1843" w:type="dxa"/>
            <w:vAlign w:val="center"/>
          </w:tcPr>
          <w:p w14:paraId="29B863C4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华南、华中</w:t>
            </w:r>
          </w:p>
        </w:tc>
        <w:tc>
          <w:tcPr>
            <w:tcW w:w="1701" w:type="dxa"/>
            <w:noWrap/>
            <w:vAlign w:val="center"/>
          </w:tcPr>
          <w:p w14:paraId="21D80EA0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15833619851</w:t>
            </w:r>
          </w:p>
        </w:tc>
        <w:tc>
          <w:tcPr>
            <w:tcW w:w="3119" w:type="dxa"/>
            <w:vAlign w:val="center"/>
          </w:tcPr>
          <w:p w14:paraId="78B5E158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fanyanxue@inspur.com</w:t>
            </w:r>
          </w:p>
        </w:tc>
      </w:tr>
      <w:tr w:rsidR="006D0E89" w14:paraId="058C03CA" w14:textId="77777777">
        <w:trPr>
          <w:trHeight w:val="567"/>
          <w:jc w:val="center"/>
        </w:trPr>
        <w:tc>
          <w:tcPr>
            <w:tcW w:w="703" w:type="dxa"/>
            <w:vAlign w:val="center"/>
          </w:tcPr>
          <w:p w14:paraId="430C0975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07</w:t>
            </w:r>
          </w:p>
        </w:tc>
        <w:tc>
          <w:tcPr>
            <w:tcW w:w="993" w:type="dxa"/>
            <w:vAlign w:val="center"/>
          </w:tcPr>
          <w:p w14:paraId="3FD39E0D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贾兴旺</w:t>
            </w:r>
          </w:p>
        </w:tc>
        <w:tc>
          <w:tcPr>
            <w:tcW w:w="1843" w:type="dxa"/>
            <w:vAlign w:val="center"/>
          </w:tcPr>
          <w:p w14:paraId="34633CAE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noWrap/>
            <w:vAlign w:val="center"/>
          </w:tcPr>
          <w:p w14:paraId="5E1B9E86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15624087228</w:t>
            </w:r>
          </w:p>
        </w:tc>
        <w:tc>
          <w:tcPr>
            <w:tcW w:w="3119" w:type="dxa"/>
            <w:vAlign w:val="center"/>
          </w:tcPr>
          <w:p w14:paraId="649D672D" w14:textId="77777777" w:rsidR="006D0E89" w:rsidRDefault="00475237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hyperlink r:id="rId7" w:history="1">
              <w:r w:rsidR="009C394B">
                <w:rPr>
                  <w:rFonts w:ascii="宋体" w:eastAsia="宋体" w:hAnsi="宋体" w:cs="Times New Roman" w:hint="eastAsia"/>
                  <w:iCs/>
                  <w:kern w:val="0"/>
                  <w:szCs w:val="21"/>
                </w:rPr>
                <w:t>jiaxingwang@inspur.com</w:t>
              </w:r>
            </w:hyperlink>
          </w:p>
        </w:tc>
      </w:tr>
      <w:tr w:rsidR="006D0E89" w14:paraId="288844DB" w14:textId="77777777">
        <w:trPr>
          <w:trHeight w:val="567"/>
          <w:jc w:val="center"/>
        </w:trPr>
        <w:tc>
          <w:tcPr>
            <w:tcW w:w="703" w:type="dxa"/>
            <w:vAlign w:val="center"/>
          </w:tcPr>
          <w:p w14:paraId="1CE21B6C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08</w:t>
            </w:r>
          </w:p>
        </w:tc>
        <w:tc>
          <w:tcPr>
            <w:tcW w:w="993" w:type="dxa"/>
            <w:noWrap/>
            <w:vAlign w:val="center"/>
          </w:tcPr>
          <w:p w14:paraId="2942CB6A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麦伟权</w:t>
            </w:r>
          </w:p>
        </w:tc>
        <w:tc>
          <w:tcPr>
            <w:tcW w:w="1843" w:type="dxa"/>
            <w:noWrap/>
            <w:vAlign w:val="center"/>
          </w:tcPr>
          <w:p w14:paraId="0282586F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noWrap/>
            <w:vAlign w:val="center"/>
          </w:tcPr>
          <w:p w14:paraId="5D875345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18688418001</w:t>
            </w:r>
          </w:p>
        </w:tc>
        <w:tc>
          <w:tcPr>
            <w:tcW w:w="3119" w:type="dxa"/>
            <w:vAlign w:val="center"/>
          </w:tcPr>
          <w:p w14:paraId="2B9259B5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maiweiquan@inspur.com</w:t>
            </w:r>
          </w:p>
        </w:tc>
      </w:tr>
      <w:tr w:rsidR="006D0E89" w14:paraId="3261CCD0" w14:textId="77777777">
        <w:trPr>
          <w:trHeight w:val="567"/>
          <w:jc w:val="center"/>
        </w:trPr>
        <w:tc>
          <w:tcPr>
            <w:tcW w:w="703" w:type="dxa"/>
            <w:vAlign w:val="center"/>
          </w:tcPr>
          <w:p w14:paraId="2424A664" w14:textId="77777777" w:rsidR="006D0E89" w:rsidRDefault="009C394B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A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09-A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14:paraId="2D101795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 xml:space="preserve">张 </w:t>
            </w:r>
            <w:r>
              <w:rPr>
                <w:rFonts w:ascii="宋体" w:eastAsia="宋体" w:hAnsi="宋体"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鹏</w:t>
            </w:r>
          </w:p>
        </w:tc>
        <w:tc>
          <w:tcPr>
            <w:tcW w:w="1843" w:type="dxa"/>
            <w:noWrap/>
            <w:vAlign w:val="center"/>
          </w:tcPr>
          <w:p w14:paraId="5D656D05" w14:textId="77777777" w:rsidR="006D0E89" w:rsidRDefault="009C394B">
            <w:pPr>
              <w:ind w:firstLineChars="100" w:firstLine="210"/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全国</w:t>
            </w:r>
          </w:p>
        </w:tc>
        <w:tc>
          <w:tcPr>
            <w:tcW w:w="1701" w:type="dxa"/>
            <w:noWrap/>
            <w:vAlign w:val="center"/>
          </w:tcPr>
          <w:p w14:paraId="17143402" w14:textId="77777777" w:rsidR="006D0E89" w:rsidRDefault="009C394B">
            <w:pPr>
              <w:jc w:val="center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kern w:val="0"/>
                <w:szCs w:val="21"/>
              </w:rPr>
              <w:t>13521477734</w:t>
            </w:r>
          </w:p>
        </w:tc>
        <w:tc>
          <w:tcPr>
            <w:tcW w:w="3119" w:type="dxa"/>
            <w:vAlign w:val="center"/>
          </w:tcPr>
          <w:p w14:paraId="7D1BE65F" w14:textId="77777777" w:rsidR="006D0E89" w:rsidRDefault="00475237">
            <w:pPr>
              <w:jc w:val="left"/>
              <w:rPr>
                <w:rFonts w:ascii="宋体" w:eastAsia="宋体" w:hAnsi="宋体" w:cs="Times New Roman"/>
                <w:iCs/>
                <w:kern w:val="0"/>
                <w:szCs w:val="21"/>
              </w:rPr>
            </w:pPr>
            <w:hyperlink r:id="rId8" w:history="1">
              <w:r w:rsidR="009C394B">
                <w:rPr>
                  <w:rFonts w:ascii="宋体" w:eastAsia="宋体" w:hAnsi="宋体" w:cs="Times New Roman" w:hint="eastAsia"/>
                  <w:iCs/>
                  <w:kern w:val="0"/>
                  <w:szCs w:val="21"/>
                </w:rPr>
                <w:t>zhishizp@163.com</w:t>
              </w:r>
            </w:hyperlink>
          </w:p>
        </w:tc>
      </w:tr>
      <w:bookmarkEnd w:id="7"/>
    </w:tbl>
    <w:p w14:paraId="58E1446B" w14:textId="77777777" w:rsidR="006D0E89" w:rsidRDefault="006D0E89">
      <w:pPr>
        <w:widowControl/>
        <w:snapToGrid w:val="0"/>
        <w:spacing w:line="480" w:lineRule="exact"/>
        <w:rPr>
          <w:rFonts w:ascii="宋体" w:eastAsia="宋体" w:hAnsi="宋体" w:cs="Times New Roman"/>
          <w:iCs/>
          <w:kern w:val="0"/>
          <w:sz w:val="24"/>
          <w:szCs w:val="24"/>
        </w:rPr>
      </w:pPr>
    </w:p>
    <w:sectPr w:rsidR="006D0E89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FBE0E" w14:textId="77777777" w:rsidR="00475237" w:rsidRDefault="00475237" w:rsidP="00152620">
      <w:r>
        <w:separator/>
      </w:r>
    </w:p>
  </w:endnote>
  <w:endnote w:type="continuationSeparator" w:id="0">
    <w:p w14:paraId="4ABFCE6C" w14:textId="77777777" w:rsidR="00475237" w:rsidRDefault="00475237" w:rsidP="0015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宋体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7C9E" w14:textId="77777777" w:rsidR="00475237" w:rsidRDefault="00475237" w:rsidP="00152620">
      <w:r>
        <w:separator/>
      </w:r>
    </w:p>
  </w:footnote>
  <w:footnote w:type="continuationSeparator" w:id="0">
    <w:p w14:paraId="16439F1B" w14:textId="77777777" w:rsidR="00475237" w:rsidRDefault="00475237" w:rsidP="0015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GU1Y2Q2MjAxNTFhZWViYmJiZWI1NjQ5NGUxNDQifQ=="/>
  </w:docVars>
  <w:rsids>
    <w:rsidRoot w:val="00F0396D"/>
    <w:rsid w:val="FDFDE66C"/>
    <w:rsid w:val="FDFE2B39"/>
    <w:rsid w:val="FDFF8B4B"/>
    <w:rsid w:val="00014794"/>
    <w:rsid w:val="00023CC7"/>
    <w:rsid w:val="00033A10"/>
    <w:rsid w:val="000438EF"/>
    <w:rsid w:val="0006541B"/>
    <w:rsid w:val="0007080C"/>
    <w:rsid w:val="0008495F"/>
    <w:rsid w:val="000B6F9E"/>
    <w:rsid w:val="000D2C57"/>
    <w:rsid w:val="000D455A"/>
    <w:rsid w:val="000F56CD"/>
    <w:rsid w:val="0010037F"/>
    <w:rsid w:val="00104FB0"/>
    <w:rsid w:val="00105780"/>
    <w:rsid w:val="00111BE4"/>
    <w:rsid w:val="00126336"/>
    <w:rsid w:val="00132F7A"/>
    <w:rsid w:val="00135804"/>
    <w:rsid w:val="00140167"/>
    <w:rsid w:val="00146B21"/>
    <w:rsid w:val="00152620"/>
    <w:rsid w:val="00155021"/>
    <w:rsid w:val="00171A36"/>
    <w:rsid w:val="00180B0D"/>
    <w:rsid w:val="0019106D"/>
    <w:rsid w:val="001A7757"/>
    <w:rsid w:val="001B00DA"/>
    <w:rsid w:val="001B6DF4"/>
    <w:rsid w:val="001D0F9D"/>
    <w:rsid w:val="001E3499"/>
    <w:rsid w:val="001F18C2"/>
    <w:rsid w:val="001F2F34"/>
    <w:rsid w:val="001F6938"/>
    <w:rsid w:val="00212123"/>
    <w:rsid w:val="00237CBF"/>
    <w:rsid w:val="002571DA"/>
    <w:rsid w:val="00260180"/>
    <w:rsid w:val="002706E9"/>
    <w:rsid w:val="0028297B"/>
    <w:rsid w:val="00282F6D"/>
    <w:rsid w:val="00283569"/>
    <w:rsid w:val="00285E49"/>
    <w:rsid w:val="002B3531"/>
    <w:rsid w:val="002B396D"/>
    <w:rsid w:val="002E6EE6"/>
    <w:rsid w:val="002F1E22"/>
    <w:rsid w:val="00310743"/>
    <w:rsid w:val="00332181"/>
    <w:rsid w:val="00345D53"/>
    <w:rsid w:val="00346E4F"/>
    <w:rsid w:val="00357700"/>
    <w:rsid w:val="0038290A"/>
    <w:rsid w:val="00392FFF"/>
    <w:rsid w:val="00393FC3"/>
    <w:rsid w:val="003942E3"/>
    <w:rsid w:val="00396292"/>
    <w:rsid w:val="003E2F16"/>
    <w:rsid w:val="003F417C"/>
    <w:rsid w:val="003F64BA"/>
    <w:rsid w:val="003F6E7A"/>
    <w:rsid w:val="00411ED5"/>
    <w:rsid w:val="00426CAC"/>
    <w:rsid w:val="0043237D"/>
    <w:rsid w:val="004377C8"/>
    <w:rsid w:val="00442811"/>
    <w:rsid w:val="004429B4"/>
    <w:rsid w:val="00446E1C"/>
    <w:rsid w:val="00452EAD"/>
    <w:rsid w:val="00455B0A"/>
    <w:rsid w:val="00460D3B"/>
    <w:rsid w:val="00475237"/>
    <w:rsid w:val="0048107D"/>
    <w:rsid w:val="00491B35"/>
    <w:rsid w:val="004A705E"/>
    <w:rsid w:val="004A7BFD"/>
    <w:rsid w:val="004B4150"/>
    <w:rsid w:val="004B6FD5"/>
    <w:rsid w:val="004C311C"/>
    <w:rsid w:val="004C4717"/>
    <w:rsid w:val="004D207F"/>
    <w:rsid w:val="004F0429"/>
    <w:rsid w:val="00505592"/>
    <w:rsid w:val="00513359"/>
    <w:rsid w:val="00537C67"/>
    <w:rsid w:val="0056244F"/>
    <w:rsid w:val="0056455C"/>
    <w:rsid w:val="00570DE8"/>
    <w:rsid w:val="0059669C"/>
    <w:rsid w:val="005C4F23"/>
    <w:rsid w:val="005E053A"/>
    <w:rsid w:val="005F6FBA"/>
    <w:rsid w:val="00606261"/>
    <w:rsid w:val="006255DB"/>
    <w:rsid w:val="00626BD4"/>
    <w:rsid w:val="006538E6"/>
    <w:rsid w:val="006559F7"/>
    <w:rsid w:val="00660386"/>
    <w:rsid w:val="0066252B"/>
    <w:rsid w:val="00665654"/>
    <w:rsid w:val="00687246"/>
    <w:rsid w:val="00690188"/>
    <w:rsid w:val="006A10BB"/>
    <w:rsid w:val="006A78CB"/>
    <w:rsid w:val="006D0E89"/>
    <w:rsid w:val="006E2BB6"/>
    <w:rsid w:val="006F0F5B"/>
    <w:rsid w:val="00706908"/>
    <w:rsid w:val="007337A7"/>
    <w:rsid w:val="00740F5F"/>
    <w:rsid w:val="0075053D"/>
    <w:rsid w:val="00772DFA"/>
    <w:rsid w:val="00780437"/>
    <w:rsid w:val="00783C0C"/>
    <w:rsid w:val="007A192E"/>
    <w:rsid w:val="007B33B0"/>
    <w:rsid w:val="007C4708"/>
    <w:rsid w:val="007D260F"/>
    <w:rsid w:val="007E1B54"/>
    <w:rsid w:val="007E29F7"/>
    <w:rsid w:val="007E6180"/>
    <w:rsid w:val="007E6ECC"/>
    <w:rsid w:val="00804122"/>
    <w:rsid w:val="008241CB"/>
    <w:rsid w:val="00837051"/>
    <w:rsid w:val="00850E95"/>
    <w:rsid w:val="0085351B"/>
    <w:rsid w:val="00853861"/>
    <w:rsid w:val="00854A56"/>
    <w:rsid w:val="00856F2F"/>
    <w:rsid w:val="00863709"/>
    <w:rsid w:val="00874458"/>
    <w:rsid w:val="00890BA8"/>
    <w:rsid w:val="008A1E8E"/>
    <w:rsid w:val="008A44DF"/>
    <w:rsid w:val="008B5612"/>
    <w:rsid w:val="008C4EFD"/>
    <w:rsid w:val="008D6935"/>
    <w:rsid w:val="008E050E"/>
    <w:rsid w:val="008F720E"/>
    <w:rsid w:val="00901CE8"/>
    <w:rsid w:val="00902853"/>
    <w:rsid w:val="00911833"/>
    <w:rsid w:val="0091432A"/>
    <w:rsid w:val="0091627E"/>
    <w:rsid w:val="009645E4"/>
    <w:rsid w:val="00970793"/>
    <w:rsid w:val="0097159F"/>
    <w:rsid w:val="009744B0"/>
    <w:rsid w:val="0099213A"/>
    <w:rsid w:val="009B3154"/>
    <w:rsid w:val="009C394B"/>
    <w:rsid w:val="009D205E"/>
    <w:rsid w:val="009D4299"/>
    <w:rsid w:val="009F4EEB"/>
    <w:rsid w:val="00A11D90"/>
    <w:rsid w:val="00A25637"/>
    <w:rsid w:val="00A27B3A"/>
    <w:rsid w:val="00A427A8"/>
    <w:rsid w:val="00A4287C"/>
    <w:rsid w:val="00A6596B"/>
    <w:rsid w:val="00A841CE"/>
    <w:rsid w:val="00A90059"/>
    <w:rsid w:val="00A92989"/>
    <w:rsid w:val="00AA12EC"/>
    <w:rsid w:val="00AA7FD3"/>
    <w:rsid w:val="00AB5DBA"/>
    <w:rsid w:val="00AB6553"/>
    <w:rsid w:val="00AB7764"/>
    <w:rsid w:val="00AC506C"/>
    <w:rsid w:val="00AD17BD"/>
    <w:rsid w:val="00AD5A33"/>
    <w:rsid w:val="00AE5444"/>
    <w:rsid w:val="00B11D0E"/>
    <w:rsid w:val="00B324DE"/>
    <w:rsid w:val="00B45C51"/>
    <w:rsid w:val="00B854C2"/>
    <w:rsid w:val="00B867DB"/>
    <w:rsid w:val="00BA0D12"/>
    <w:rsid w:val="00BA1518"/>
    <w:rsid w:val="00BA1CD5"/>
    <w:rsid w:val="00BB5921"/>
    <w:rsid w:val="00BD0F70"/>
    <w:rsid w:val="00BD2F74"/>
    <w:rsid w:val="00BE0EBA"/>
    <w:rsid w:val="00BE2F0C"/>
    <w:rsid w:val="00BF0A0B"/>
    <w:rsid w:val="00C018D6"/>
    <w:rsid w:val="00C10E1F"/>
    <w:rsid w:val="00C171F6"/>
    <w:rsid w:val="00C206FC"/>
    <w:rsid w:val="00C52C58"/>
    <w:rsid w:val="00C535CD"/>
    <w:rsid w:val="00C5485E"/>
    <w:rsid w:val="00C73C22"/>
    <w:rsid w:val="00C83CAC"/>
    <w:rsid w:val="00C971B2"/>
    <w:rsid w:val="00CB353C"/>
    <w:rsid w:val="00CC423B"/>
    <w:rsid w:val="00CD5D0D"/>
    <w:rsid w:val="00CE296B"/>
    <w:rsid w:val="00CF2B17"/>
    <w:rsid w:val="00D10631"/>
    <w:rsid w:val="00D25157"/>
    <w:rsid w:val="00D3003D"/>
    <w:rsid w:val="00D33467"/>
    <w:rsid w:val="00D33E06"/>
    <w:rsid w:val="00D5016F"/>
    <w:rsid w:val="00D63577"/>
    <w:rsid w:val="00D66275"/>
    <w:rsid w:val="00D86108"/>
    <w:rsid w:val="00D953EC"/>
    <w:rsid w:val="00DA33D9"/>
    <w:rsid w:val="00DA670D"/>
    <w:rsid w:val="00DC19CB"/>
    <w:rsid w:val="00DD0F35"/>
    <w:rsid w:val="00DF1690"/>
    <w:rsid w:val="00DF3269"/>
    <w:rsid w:val="00E14213"/>
    <w:rsid w:val="00E20483"/>
    <w:rsid w:val="00E25A02"/>
    <w:rsid w:val="00E446B8"/>
    <w:rsid w:val="00E462B0"/>
    <w:rsid w:val="00E4680A"/>
    <w:rsid w:val="00E51E82"/>
    <w:rsid w:val="00E53080"/>
    <w:rsid w:val="00E57255"/>
    <w:rsid w:val="00E76D74"/>
    <w:rsid w:val="00E80FD7"/>
    <w:rsid w:val="00E819F4"/>
    <w:rsid w:val="00EA3744"/>
    <w:rsid w:val="00EB2DD5"/>
    <w:rsid w:val="00EB3BCD"/>
    <w:rsid w:val="00EB447C"/>
    <w:rsid w:val="00EC3AB0"/>
    <w:rsid w:val="00ED07D2"/>
    <w:rsid w:val="00ED7C3B"/>
    <w:rsid w:val="00ED7F40"/>
    <w:rsid w:val="00EE275C"/>
    <w:rsid w:val="00EE4C59"/>
    <w:rsid w:val="00EF0D1B"/>
    <w:rsid w:val="00EF3D2C"/>
    <w:rsid w:val="00F0396D"/>
    <w:rsid w:val="00F355CC"/>
    <w:rsid w:val="00F41198"/>
    <w:rsid w:val="00F41F30"/>
    <w:rsid w:val="00F50ABB"/>
    <w:rsid w:val="00F81D5C"/>
    <w:rsid w:val="00F837E7"/>
    <w:rsid w:val="00F873E4"/>
    <w:rsid w:val="00F920D4"/>
    <w:rsid w:val="00FB5E30"/>
    <w:rsid w:val="00FC13E4"/>
    <w:rsid w:val="00FD3E68"/>
    <w:rsid w:val="00FD5CFB"/>
    <w:rsid w:val="00FE1AFF"/>
    <w:rsid w:val="00FE61E8"/>
    <w:rsid w:val="01D152A8"/>
    <w:rsid w:val="02225B04"/>
    <w:rsid w:val="04F35535"/>
    <w:rsid w:val="059E7159"/>
    <w:rsid w:val="07397B77"/>
    <w:rsid w:val="076B3AA9"/>
    <w:rsid w:val="09145975"/>
    <w:rsid w:val="091A7535"/>
    <w:rsid w:val="09547B93"/>
    <w:rsid w:val="09D41DD9"/>
    <w:rsid w:val="0BCB7594"/>
    <w:rsid w:val="0CFB58CF"/>
    <w:rsid w:val="0D8256A8"/>
    <w:rsid w:val="0E5E6115"/>
    <w:rsid w:val="10653607"/>
    <w:rsid w:val="10A5002C"/>
    <w:rsid w:val="11561DCA"/>
    <w:rsid w:val="11A16A45"/>
    <w:rsid w:val="1582093B"/>
    <w:rsid w:val="16302145"/>
    <w:rsid w:val="170E6162"/>
    <w:rsid w:val="186366A3"/>
    <w:rsid w:val="1A1D0C33"/>
    <w:rsid w:val="1ABC669E"/>
    <w:rsid w:val="1C9D24FF"/>
    <w:rsid w:val="1D954F84"/>
    <w:rsid w:val="1E271B49"/>
    <w:rsid w:val="1E401394"/>
    <w:rsid w:val="1F5A6485"/>
    <w:rsid w:val="215D400B"/>
    <w:rsid w:val="22C72083"/>
    <w:rsid w:val="23BF0FAD"/>
    <w:rsid w:val="24207C9D"/>
    <w:rsid w:val="24C52C5B"/>
    <w:rsid w:val="25F166E0"/>
    <w:rsid w:val="263E08AF"/>
    <w:rsid w:val="27FC632B"/>
    <w:rsid w:val="292336A7"/>
    <w:rsid w:val="2BB92785"/>
    <w:rsid w:val="2BC90C1A"/>
    <w:rsid w:val="2D412A32"/>
    <w:rsid w:val="2E786928"/>
    <w:rsid w:val="2F522CD5"/>
    <w:rsid w:val="2F546A4D"/>
    <w:rsid w:val="2F601896"/>
    <w:rsid w:val="30E958BB"/>
    <w:rsid w:val="32A0644D"/>
    <w:rsid w:val="331F7372"/>
    <w:rsid w:val="33CA3782"/>
    <w:rsid w:val="33E222C5"/>
    <w:rsid w:val="34C401D1"/>
    <w:rsid w:val="34DF500B"/>
    <w:rsid w:val="34E22D4D"/>
    <w:rsid w:val="35696FCA"/>
    <w:rsid w:val="38514471"/>
    <w:rsid w:val="38547C0B"/>
    <w:rsid w:val="387B16EE"/>
    <w:rsid w:val="38D97FC3"/>
    <w:rsid w:val="39477622"/>
    <w:rsid w:val="39CE564E"/>
    <w:rsid w:val="3B2A0FAA"/>
    <w:rsid w:val="3B8C3A12"/>
    <w:rsid w:val="3DC72AE0"/>
    <w:rsid w:val="3E467EA9"/>
    <w:rsid w:val="3EFB46E2"/>
    <w:rsid w:val="3F216DFA"/>
    <w:rsid w:val="3F9966FE"/>
    <w:rsid w:val="413606A8"/>
    <w:rsid w:val="41FD11C6"/>
    <w:rsid w:val="42F73E67"/>
    <w:rsid w:val="432D1637"/>
    <w:rsid w:val="434A043B"/>
    <w:rsid w:val="455410FD"/>
    <w:rsid w:val="464C0026"/>
    <w:rsid w:val="46D87B0C"/>
    <w:rsid w:val="46E464B1"/>
    <w:rsid w:val="47305B9A"/>
    <w:rsid w:val="47332F94"/>
    <w:rsid w:val="47A143A2"/>
    <w:rsid w:val="48256D81"/>
    <w:rsid w:val="49366D6C"/>
    <w:rsid w:val="4970227E"/>
    <w:rsid w:val="4AA5332D"/>
    <w:rsid w:val="4B166E55"/>
    <w:rsid w:val="4B86222C"/>
    <w:rsid w:val="4C2548E4"/>
    <w:rsid w:val="4D765FA3"/>
    <w:rsid w:val="4F0D06D8"/>
    <w:rsid w:val="4F820F5D"/>
    <w:rsid w:val="4FD55530"/>
    <w:rsid w:val="502142D2"/>
    <w:rsid w:val="521D4F6D"/>
    <w:rsid w:val="52D01FDF"/>
    <w:rsid w:val="53746E0E"/>
    <w:rsid w:val="543D36A4"/>
    <w:rsid w:val="550146D2"/>
    <w:rsid w:val="55545149"/>
    <w:rsid w:val="56301712"/>
    <w:rsid w:val="569D042A"/>
    <w:rsid w:val="56A60FEC"/>
    <w:rsid w:val="56CB4F97"/>
    <w:rsid w:val="56DC71A4"/>
    <w:rsid w:val="59D93E6F"/>
    <w:rsid w:val="59E7658C"/>
    <w:rsid w:val="5A1A070F"/>
    <w:rsid w:val="5C7659A5"/>
    <w:rsid w:val="5C9C1C7E"/>
    <w:rsid w:val="5CD56B70"/>
    <w:rsid w:val="5D810AA5"/>
    <w:rsid w:val="5E761C8C"/>
    <w:rsid w:val="5FDB26EF"/>
    <w:rsid w:val="61E138C1"/>
    <w:rsid w:val="62157A0E"/>
    <w:rsid w:val="62DE0B80"/>
    <w:rsid w:val="63247F09"/>
    <w:rsid w:val="6461518D"/>
    <w:rsid w:val="647A1DAB"/>
    <w:rsid w:val="64BD0615"/>
    <w:rsid w:val="65501489"/>
    <w:rsid w:val="657B48C7"/>
    <w:rsid w:val="68294213"/>
    <w:rsid w:val="682B3AE8"/>
    <w:rsid w:val="68A85138"/>
    <w:rsid w:val="6A5135AE"/>
    <w:rsid w:val="6A6B28C1"/>
    <w:rsid w:val="6ABC4ECB"/>
    <w:rsid w:val="6B715CB5"/>
    <w:rsid w:val="6BEA5A68"/>
    <w:rsid w:val="6D146061"/>
    <w:rsid w:val="6D885538"/>
    <w:rsid w:val="6DA02882"/>
    <w:rsid w:val="6DB36A59"/>
    <w:rsid w:val="6DB427D1"/>
    <w:rsid w:val="6E9A19C7"/>
    <w:rsid w:val="6EE60768"/>
    <w:rsid w:val="71105F71"/>
    <w:rsid w:val="71145A61"/>
    <w:rsid w:val="715A71EC"/>
    <w:rsid w:val="720C351F"/>
    <w:rsid w:val="727918F3"/>
    <w:rsid w:val="7328014A"/>
    <w:rsid w:val="73814F04"/>
    <w:rsid w:val="75CE68EA"/>
    <w:rsid w:val="77D93560"/>
    <w:rsid w:val="78591FAB"/>
    <w:rsid w:val="78915BE9"/>
    <w:rsid w:val="793547C6"/>
    <w:rsid w:val="79667075"/>
    <w:rsid w:val="79AC25AE"/>
    <w:rsid w:val="79BA4CCB"/>
    <w:rsid w:val="79DE4E5E"/>
    <w:rsid w:val="7A886B78"/>
    <w:rsid w:val="7AF81F4F"/>
    <w:rsid w:val="7CA81753"/>
    <w:rsid w:val="7E1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85FBD"/>
  <w15:docId w15:val="{85EE50B7-2BD8-426C-A707-B0E339A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 w:cs="Times New Roman"/>
      <w:kern w:val="0"/>
      <w:sz w:val="26"/>
      <w:szCs w:val="26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5">
    <w:name w:val="修订5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shizp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axingwang@inspu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6272D8DD-6441-434A-A71A-7C522BE1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Songlin Liu (刘松林)-浪潮数字企业</dc:creator>
  <cp:lastModifiedBy>zhangjie</cp:lastModifiedBy>
  <cp:revision>3</cp:revision>
  <dcterms:created xsi:type="dcterms:W3CDTF">2025-12-17T01:46:00Z</dcterms:created>
  <dcterms:modified xsi:type="dcterms:W3CDTF">2025-12-17T05:46:00Z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AE2CF8A669DB47D5BFEF8F12F456C863_13</vt:lpwstr>
  </property>
  <property fmtid="{D5CDD505-2E9C-101B-9397-08002B2CF9AE}" pid="4" name="KSOTemplateDocerSaveRecord">
    <vt:lpwstr>eyJoZGlkIjoiNTkxZGU1Y2Q2MjAxNTFhZWViYmJiZWI1NjQ5NGUxNDQiLCJ1c2VySWQiOiI0MzQxOTg4NTcifQ==</vt:lpwstr>
  </property>
</Properties>
</file>