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E74BAE" w14:textId="77777777" w:rsidR="00BD4041" w:rsidRDefault="00000000">
      <w:pPr>
        <w:widowControl/>
        <w:shd w:val="clear" w:color="auto" w:fill="FFFFFF"/>
        <w:spacing w:line="580" w:lineRule="exact"/>
        <w:rPr>
          <w:rFonts w:ascii="仿宋_GB2312" w:hAnsi="仿宋_GB2312" w:cs="仿宋_GB2312"/>
          <w:kern w:val="0"/>
          <w:sz w:val="32"/>
          <w:szCs w:val="32"/>
        </w:rPr>
      </w:pPr>
      <w:r>
        <w:rPr>
          <w:rFonts w:ascii="仿宋_GB2312" w:hAnsi="仿宋_GB2312" w:cs="仿宋_GB2312" w:hint="eastAsia"/>
          <w:kern w:val="0"/>
          <w:sz w:val="32"/>
          <w:szCs w:val="32"/>
        </w:rPr>
        <w:t>附件</w:t>
      </w:r>
    </w:p>
    <w:p w14:paraId="074F1F2B" w14:textId="77777777" w:rsidR="00BD4041" w:rsidRDefault="00000000">
      <w:pPr>
        <w:widowControl/>
        <w:shd w:val="clear" w:color="auto" w:fill="FFFFFF"/>
        <w:spacing w:line="580" w:lineRule="exact"/>
        <w:jc w:val="center"/>
        <w:rPr>
          <w:rFonts w:eastAsia="华文中宋"/>
          <w:kern w:val="0"/>
          <w:sz w:val="36"/>
          <w:szCs w:val="36"/>
        </w:rPr>
      </w:pPr>
      <w:r>
        <w:rPr>
          <w:rFonts w:eastAsia="华文中宋"/>
          <w:kern w:val="0"/>
          <w:sz w:val="36"/>
          <w:szCs w:val="36"/>
        </w:rPr>
        <w:t>202</w:t>
      </w:r>
      <w:r>
        <w:rPr>
          <w:rFonts w:eastAsia="华文中宋" w:hint="eastAsia"/>
          <w:kern w:val="0"/>
          <w:sz w:val="36"/>
          <w:szCs w:val="36"/>
        </w:rPr>
        <w:t>5</w:t>
      </w:r>
      <w:r>
        <w:rPr>
          <w:rFonts w:eastAsia="华文中宋" w:hAnsi="华文中宋"/>
          <w:kern w:val="0"/>
          <w:sz w:val="36"/>
          <w:szCs w:val="36"/>
        </w:rPr>
        <w:t>年铁路基础研究联合基金指南</w:t>
      </w:r>
      <w:r>
        <w:rPr>
          <w:rFonts w:eastAsia="华文中宋" w:hAnsi="华文中宋" w:hint="eastAsia"/>
          <w:kern w:val="0"/>
          <w:sz w:val="36"/>
          <w:szCs w:val="36"/>
        </w:rPr>
        <w:t>研究方向的</w:t>
      </w:r>
      <w:r>
        <w:rPr>
          <w:rFonts w:eastAsia="华文中宋" w:hAnsi="华文中宋"/>
          <w:kern w:val="0"/>
          <w:sz w:val="36"/>
          <w:szCs w:val="36"/>
        </w:rPr>
        <w:t>建议</w:t>
      </w:r>
    </w:p>
    <w:p w14:paraId="016B56A5" w14:textId="77777777" w:rsidR="00BD4041" w:rsidRDefault="00000000">
      <w:pPr>
        <w:spacing w:beforeLines="50" w:before="156" w:line="360" w:lineRule="auto"/>
        <w:ind w:leftChars="-135" w:left="68" w:right="442" w:hangingChars="117" w:hanging="351"/>
        <w:jc w:val="left"/>
        <w:rPr>
          <w:sz w:val="30"/>
          <w:szCs w:val="30"/>
        </w:rPr>
      </w:pPr>
      <w:r>
        <w:rPr>
          <w:rFonts w:hint="eastAsia"/>
          <w:sz w:val="30"/>
          <w:szCs w:val="30"/>
        </w:rPr>
        <w:t>填表</w:t>
      </w:r>
      <w:r>
        <w:rPr>
          <w:sz w:val="30"/>
          <w:szCs w:val="30"/>
        </w:rPr>
        <w:t>单位：</w:t>
      </w:r>
      <w:r>
        <w:rPr>
          <w:rFonts w:hint="eastAsia"/>
          <w:sz w:val="30"/>
          <w:szCs w:val="30"/>
          <w:u w:val="single"/>
        </w:rPr>
        <w:t xml:space="preserve"> </w:t>
      </w:r>
      <w:r>
        <w:rPr>
          <w:sz w:val="30"/>
          <w:szCs w:val="30"/>
          <w:u w:val="single"/>
        </w:rPr>
        <w:t xml:space="preserve">        </w:t>
      </w:r>
      <w:r>
        <w:rPr>
          <w:rFonts w:hint="eastAsia"/>
          <w:sz w:val="30"/>
          <w:szCs w:val="30"/>
          <w:u w:val="single"/>
        </w:rPr>
        <w:t xml:space="preserve">            </w:t>
      </w:r>
      <w:r>
        <w:rPr>
          <w:rFonts w:hint="eastAsia"/>
          <w:sz w:val="30"/>
          <w:szCs w:val="30"/>
          <w:u w:val="single"/>
        </w:rPr>
        <w:t>（盖章）</w:t>
      </w:r>
    </w:p>
    <w:tbl>
      <w:tblPr>
        <w:tblW w:w="14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2556"/>
        <w:gridCol w:w="2835"/>
        <w:gridCol w:w="8465"/>
      </w:tblGrid>
      <w:tr w:rsidR="00BD4041" w14:paraId="62614920" w14:textId="77777777" w:rsidTr="00593016">
        <w:trPr>
          <w:trHeight w:val="620"/>
          <w:jc w:val="center"/>
        </w:trPr>
        <w:tc>
          <w:tcPr>
            <w:tcW w:w="1006" w:type="dxa"/>
            <w:shd w:val="clear" w:color="auto" w:fill="auto"/>
            <w:vAlign w:val="center"/>
          </w:tcPr>
          <w:p w14:paraId="0DE796E4" w14:textId="77777777" w:rsidR="00BD4041" w:rsidRDefault="00000000">
            <w:pPr>
              <w:widowControl/>
              <w:jc w:val="center"/>
              <w:rPr>
                <w:rFonts w:ascii="黑体" w:eastAsia="黑体" w:hAnsi="黑体" w:cs="黑体"/>
                <w:bCs/>
                <w:color w:val="000000"/>
                <w:kern w:val="0"/>
                <w:sz w:val="30"/>
                <w:szCs w:val="30"/>
              </w:rPr>
            </w:pPr>
            <w:r>
              <w:rPr>
                <w:rFonts w:ascii="黑体" w:eastAsia="黑体" w:hAnsi="黑体" w:cs="黑体" w:hint="eastAsia"/>
                <w:bCs/>
                <w:color w:val="000000"/>
                <w:kern w:val="0"/>
                <w:sz w:val="30"/>
                <w:szCs w:val="30"/>
              </w:rPr>
              <w:t>序号</w:t>
            </w:r>
          </w:p>
        </w:tc>
        <w:tc>
          <w:tcPr>
            <w:tcW w:w="2556" w:type="dxa"/>
            <w:shd w:val="clear" w:color="auto" w:fill="auto"/>
            <w:vAlign w:val="center"/>
          </w:tcPr>
          <w:p w14:paraId="08945CFC" w14:textId="77777777" w:rsidR="00BD4041" w:rsidRDefault="00000000">
            <w:pPr>
              <w:widowControl/>
              <w:jc w:val="center"/>
              <w:rPr>
                <w:rFonts w:ascii="黑体" w:eastAsia="黑体" w:hAnsi="黑体" w:cs="黑体"/>
                <w:bCs/>
                <w:color w:val="000000"/>
                <w:kern w:val="0"/>
                <w:sz w:val="30"/>
                <w:szCs w:val="30"/>
              </w:rPr>
            </w:pPr>
            <w:r>
              <w:rPr>
                <w:rFonts w:ascii="黑体" w:eastAsia="黑体" w:hAnsi="黑体" w:cs="黑体" w:hint="eastAsia"/>
                <w:bCs/>
                <w:color w:val="000000"/>
                <w:kern w:val="0"/>
                <w:sz w:val="30"/>
                <w:szCs w:val="30"/>
              </w:rPr>
              <w:t>指南方向</w:t>
            </w:r>
          </w:p>
        </w:tc>
        <w:tc>
          <w:tcPr>
            <w:tcW w:w="2835" w:type="dxa"/>
            <w:shd w:val="clear" w:color="auto" w:fill="auto"/>
            <w:vAlign w:val="center"/>
          </w:tcPr>
          <w:p w14:paraId="3EBFD859" w14:textId="77777777" w:rsidR="00BD4041" w:rsidRDefault="00000000">
            <w:pPr>
              <w:widowControl/>
              <w:jc w:val="center"/>
              <w:rPr>
                <w:rFonts w:ascii="黑体" w:eastAsia="黑体" w:hAnsi="黑体" w:cs="黑体"/>
                <w:bCs/>
                <w:color w:val="000000"/>
                <w:kern w:val="0"/>
                <w:sz w:val="30"/>
                <w:szCs w:val="30"/>
              </w:rPr>
            </w:pPr>
            <w:r>
              <w:rPr>
                <w:rFonts w:ascii="黑体" w:eastAsia="黑体" w:hAnsi="黑体" w:cs="黑体" w:hint="eastAsia"/>
                <w:bCs/>
                <w:color w:val="000000"/>
                <w:kern w:val="0"/>
                <w:sz w:val="30"/>
                <w:szCs w:val="30"/>
              </w:rPr>
              <w:t>背景及必要性分析</w:t>
            </w:r>
          </w:p>
        </w:tc>
        <w:tc>
          <w:tcPr>
            <w:tcW w:w="8465" w:type="dxa"/>
            <w:shd w:val="clear" w:color="auto" w:fill="auto"/>
            <w:vAlign w:val="center"/>
          </w:tcPr>
          <w:p w14:paraId="01B645E3" w14:textId="77777777" w:rsidR="00BD4041" w:rsidRDefault="00000000">
            <w:pPr>
              <w:widowControl/>
              <w:jc w:val="center"/>
              <w:rPr>
                <w:rFonts w:ascii="黑体" w:eastAsia="黑体" w:hAnsi="黑体" w:cs="黑体"/>
                <w:bCs/>
                <w:color w:val="000000"/>
                <w:kern w:val="0"/>
                <w:sz w:val="30"/>
                <w:szCs w:val="30"/>
              </w:rPr>
            </w:pPr>
            <w:r>
              <w:rPr>
                <w:rFonts w:ascii="黑体" w:eastAsia="黑体" w:hAnsi="黑体" w:cs="黑体" w:hint="eastAsia"/>
                <w:bCs/>
                <w:color w:val="000000"/>
                <w:kern w:val="0"/>
                <w:sz w:val="30"/>
                <w:szCs w:val="30"/>
              </w:rPr>
              <w:t>建议内容</w:t>
            </w:r>
          </w:p>
          <w:p w14:paraId="60DB9147" w14:textId="793D13BA" w:rsidR="00560CF1" w:rsidRDefault="00560CF1">
            <w:pPr>
              <w:widowControl/>
              <w:jc w:val="center"/>
              <w:rPr>
                <w:rFonts w:ascii="黑体" w:eastAsia="黑体" w:hAnsi="黑体" w:cs="黑体"/>
                <w:bCs/>
                <w:color w:val="000000"/>
                <w:kern w:val="0"/>
                <w:sz w:val="30"/>
                <w:szCs w:val="30"/>
              </w:rPr>
            </w:pPr>
            <w:r w:rsidRPr="008D7414">
              <w:rPr>
                <w:rFonts w:ascii="黑体" w:eastAsia="黑体" w:hAnsi="黑体" w:cs="黑体" w:hint="eastAsia"/>
                <w:bCs/>
                <w:color w:val="FF0000"/>
                <w:kern w:val="0"/>
                <w:sz w:val="24"/>
              </w:rPr>
              <w:t>可参照2024年国家基金申报指南</w:t>
            </w:r>
            <w:hyperlink r:id="rId7" w:history="1">
              <w:r w:rsidR="008D7414" w:rsidRPr="008D7414">
                <w:rPr>
                  <w:rStyle w:val="a5"/>
                  <w:rFonts w:ascii="黑体" w:eastAsia="黑体" w:hAnsi="黑体" w:cs="黑体"/>
                  <w:bCs/>
                  <w:color w:val="FF0000"/>
                  <w:kern w:val="0"/>
                  <w:sz w:val="24"/>
                </w:rPr>
                <w:t>https://www.nsfc.go</w:t>
              </w:r>
              <w:r w:rsidR="008D7414" w:rsidRPr="008D7414">
                <w:rPr>
                  <w:rStyle w:val="a5"/>
                  <w:rFonts w:ascii="黑体" w:eastAsia="黑体" w:hAnsi="黑体" w:cs="黑体"/>
                  <w:bCs/>
                  <w:color w:val="FF0000"/>
                  <w:kern w:val="0"/>
                  <w:sz w:val="24"/>
                </w:rPr>
                <w:t>v</w:t>
              </w:r>
              <w:r w:rsidR="008D7414" w:rsidRPr="008D7414">
                <w:rPr>
                  <w:rStyle w:val="a5"/>
                  <w:rFonts w:ascii="黑体" w:eastAsia="黑体" w:hAnsi="黑体" w:cs="黑体"/>
                  <w:bCs/>
                  <w:color w:val="FF0000"/>
                  <w:kern w:val="0"/>
                  <w:sz w:val="24"/>
                </w:rPr>
                <w:t>.cn/publish/porta</w:t>
              </w:r>
              <w:r w:rsidR="008D7414" w:rsidRPr="008D7414">
                <w:rPr>
                  <w:rStyle w:val="a5"/>
                  <w:rFonts w:ascii="黑体" w:eastAsia="黑体" w:hAnsi="黑体" w:cs="黑体"/>
                  <w:bCs/>
                  <w:color w:val="FF0000"/>
                  <w:kern w:val="0"/>
                  <w:sz w:val="24"/>
                </w:rPr>
                <w:t>l</w:t>
              </w:r>
              <w:r w:rsidR="008D7414" w:rsidRPr="008D7414">
                <w:rPr>
                  <w:rStyle w:val="a5"/>
                  <w:rFonts w:ascii="黑体" w:eastAsia="黑体" w:hAnsi="黑体" w:cs="黑体"/>
                  <w:bCs/>
                  <w:color w:val="FF0000"/>
                  <w:kern w:val="0"/>
                  <w:sz w:val="24"/>
                </w:rPr>
                <w:t>0/tab1543/info91638.htm</w:t>
              </w:r>
            </w:hyperlink>
          </w:p>
        </w:tc>
      </w:tr>
      <w:tr w:rsidR="00BD4041" w14:paraId="7522B306" w14:textId="77777777" w:rsidTr="00593016">
        <w:trPr>
          <w:trHeight w:val="2894"/>
          <w:jc w:val="center"/>
        </w:trPr>
        <w:tc>
          <w:tcPr>
            <w:tcW w:w="1006" w:type="dxa"/>
            <w:shd w:val="clear" w:color="auto" w:fill="auto"/>
            <w:noWrap/>
            <w:vAlign w:val="center"/>
          </w:tcPr>
          <w:p w14:paraId="493F45E3" w14:textId="1671D2F9" w:rsidR="00BD4041" w:rsidRDefault="00145496">
            <w:pPr>
              <w:widowControl/>
              <w:jc w:val="center"/>
              <w:rPr>
                <w:sz w:val="30"/>
                <w:szCs w:val="30"/>
              </w:rPr>
            </w:pPr>
            <w:r>
              <w:rPr>
                <w:rFonts w:hint="eastAsia"/>
                <w:color w:val="FF0000"/>
                <w:sz w:val="28"/>
                <w:szCs w:val="28"/>
              </w:rPr>
              <w:t>示例</w:t>
            </w:r>
          </w:p>
        </w:tc>
        <w:tc>
          <w:tcPr>
            <w:tcW w:w="2556" w:type="dxa"/>
            <w:shd w:val="clear" w:color="auto" w:fill="auto"/>
            <w:noWrap/>
            <w:vAlign w:val="center"/>
          </w:tcPr>
          <w:p w14:paraId="1B68F992" w14:textId="1C74761A" w:rsidR="00BD4041" w:rsidRPr="00145496" w:rsidRDefault="00145496">
            <w:pPr>
              <w:widowControl/>
              <w:jc w:val="center"/>
              <w:rPr>
                <w:color w:val="FF0000"/>
                <w:sz w:val="28"/>
                <w:szCs w:val="28"/>
              </w:rPr>
            </w:pPr>
            <w:r w:rsidRPr="00145496">
              <w:rPr>
                <w:rFonts w:hint="eastAsia"/>
                <w:color w:val="FF0000"/>
                <w:sz w:val="28"/>
                <w:szCs w:val="28"/>
              </w:rPr>
              <w:t>复杂服役工况下高速动车组轴承接触疲劳模型与可靠性评估方法研究</w:t>
            </w:r>
            <w:r w:rsidRPr="00145496">
              <w:rPr>
                <w:rFonts w:hint="eastAsia"/>
                <w:color w:val="FF0000"/>
                <w:sz w:val="28"/>
                <w:szCs w:val="28"/>
              </w:rPr>
              <w:t xml:space="preserve"> </w:t>
            </w:r>
          </w:p>
        </w:tc>
        <w:tc>
          <w:tcPr>
            <w:tcW w:w="2835" w:type="dxa"/>
            <w:shd w:val="clear" w:color="auto" w:fill="auto"/>
            <w:noWrap/>
            <w:vAlign w:val="center"/>
          </w:tcPr>
          <w:p w14:paraId="253B234B" w14:textId="5796DA46" w:rsidR="00BD4041" w:rsidRPr="00145496" w:rsidRDefault="00145496">
            <w:pPr>
              <w:widowControl/>
              <w:jc w:val="center"/>
              <w:rPr>
                <w:color w:val="FF0000"/>
                <w:sz w:val="28"/>
                <w:szCs w:val="28"/>
              </w:rPr>
            </w:pPr>
            <w:r>
              <w:rPr>
                <w:rFonts w:hint="eastAsia"/>
                <w:color w:val="FF0000"/>
                <w:sz w:val="28"/>
                <w:szCs w:val="28"/>
              </w:rPr>
              <w:t>根据指南建议内容总结背景及必要性</w:t>
            </w:r>
          </w:p>
        </w:tc>
        <w:tc>
          <w:tcPr>
            <w:tcW w:w="8465" w:type="dxa"/>
            <w:shd w:val="clear" w:color="auto" w:fill="auto"/>
            <w:noWrap/>
            <w:vAlign w:val="center"/>
          </w:tcPr>
          <w:p w14:paraId="17210E3B" w14:textId="77777777" w:rsidR="00593016" w:rsidRDefault="00593016">
            <w:pPr>
              <w:widowControl/>
              <w:rPr>
                <w:color w:val="FF0000"/>
                <w:sz w:val="28"/>
                <w:szCs w:val="28"/>
              </w:rPr>
            </w:pPr>
            <w:r>
              <w:rPr>
                <w:rFonts w:hint="eastAsia"/>
                <w:color w:val="FF0000"/>
                <w:sz w:val="28"/>
                <w:szCs w:val="28"/>
              </w:rPr>
              <w:t>1.</w:t>
            </w:r>
            <w:r w:rsidR="00145496" w:rsidRPr="00145496">
              <w:rPr>
                <w:rFonts w:hint="eastAsia"/>
                <w:color w:val="FF0000"/>
                <w:sz w:val="28"/>
                <w:szCs w:val="28"/>
              </w:rPr>
              <w:t>针对高速动车组轴承长寿命、高可靠性服役要求，研究轴承及轴承材料接触疲劳性能，揭示复杂服役工况下轴承运用特征和失效机理</w:t>
            </w:r>
            <w:r>
              <w:rPr>
                <w:rFonts w:hint="eastAsia"/>
                <w:color w:val="FF0000"/>
                <w:sz w:val="28"/>
                <w:szCs w:val="28"/>
              </w:rPr>
              <w:t>。</w:t>
            </w:r>
          </w:p>
          <w:p w14:paraId="00FC9668" w14:textId="28192D30" w:rsidR="00BD4041" w:rsidRPr="00145496" w:rsidRDefault="00593016">
            <w:pPr>
              <w:widowControl/>
              <w:rPr>
                <w:color w:val="FF0000"/>
                <w:sz w:val="28"/>
                <w:szCs w:val="28"/>
              </w:rPr>
            </w:pPr>
            <w:r>
              <w:rPr>
                <w:rFonts w:hint="eastAsia"/>
                <w:color w:val="FF0000"/>
                <w:sz w:val="28"/>
                <w:szCs w:val="28"/>
              </w:rPr>
              <w:t>2.</w:t>
            </w:r>
            <w:r w:rsidR="00145496" w:rsidRPr="00145496">
              <w:rPr>
                <w:rFonts w:hint="eastAsia"/>
                <w:color w:val="FF0000"/>
                <w:sz w:val="28"/>
                <w:szCs w:val="28"/>
              </w:rPr>
              <w:t>研究高速轴箱轴承载荷一时间历程测试及载荷谱编谱、疲劳可靠性寿命及疲劳损伤当量计算方法、动车组轴承加速实验评估方法，提出</w:t>
            </w:r>
            <w:r w:rsidR="00145496" w:rsidRPr="00145496">
              <w:rPr>
                <w:rFonts w:hint="eastAsia"/>
                <w:color w:val="FF0000"/>
                <w:sz w:val="28"/>
                <w:szCs w:val="28"/>
              </w:rPr>
              <w:t>400km</w:t>
            </w:r>
            <w:r w:rsidR="00145496" w:rsidRPr="00145496">
              <w:rPr>
                <w:rFonts w:hint="eastAsia"/>
                <w:color w:val="FF0000"/>
                <w:sz w:val="28"/>
                <w:szCs w:val="28"/>
              </w:rPr>
              <w:t>及以上速度级轴承及轴承关键材料可靠性评估方法。</w:t>
            </w:r>
          </w:p>
        </w:tc>
      </w:tr>
      <w:tr w:rsidR="00BD4041" w14:paraId="29CC9398" w14:textId="77777777" w:rsidTr="00593016">
        <w:trPr>
          <w:trHeight w:val="2259"/>
          <w:jc w:val="center"/>
        </w:trPr>
        <w:tc>
          <w:tcPr>
            <w:tcW w:w="1006" w:type="dxa"/>
            <w:shd w:val="clear" w:color="auto" w:fill="auto"/>
            <w:noWrap/>
            <w:vAlign w:val="center"/>
          </w:tcPr>
          <w:p w14:paraId="4F3AE391" w14:textId="084465D4" w:rsidR="00BD4041" w:rsidRDefault="00145496">
            <w:pPr>
              <w:widowControl/>
              <w:jc w:val="center"/>
              <w:rPr>
                <w:sz w:val="30"/>
                <w:szCs w:val="30"/>
              </w:rPr>
            </w:pPr>
            <w:r>
              <w:rPr>
                <w:rFonts w:hint="eastAsia"/>
                <w:sz w:val="30"/>
                <w:szCs w:val="30"/>
              </w:rPr>
              <w:t>1</w:t>
            </w:r>
          </w:p>
        </w:tc>
        <w:tc>
          <w:tcPr>
            <w:tcW w:w="2556" w:type="dxa"/>
            <w:shd w:val="clear" w:color="auto" w:fill="auto"/>
            <w:noWrap/>
            <w:vAlign w:val="center"/>
          </w:tcPr>
          <w:p w14:paraId="213916C2" w14:textId="77777777" w:rsidR="00BD4041" w:rsidRDefault="00BD4041">
            <w:pPr>
              <w:widowControl/>
              <w:jc w:val="center"/>
              <w:rPr>
                <w:sz w:val="30"/>
                <w:szCs w:val="30"/>
              </w:rPr>
            </w:pPr>
          </w:p>
        </w:tc>
        <w:tc>
          <w:tcPr>
            <w:tcW w:w="2835" w:type="dxa"/>
            <w:shd w:val="clear" w:color="auto" w:fill="auto"/>
            <w:noWrap/>
            <w:vAlign w:val="center"/>
          </w:tcPr>
          <w:p w14:paraId="262AC53A" w14:textId="77777777" w:rsidR="00BD4041" w:rsidRDefault="00BD4041">
            <w:pPr>
              <w:widowControl/>
              <w:jc w:val="center"/>
              <w:rPr>
                <w:sz w:val="30"/>
                <w:szCs w:val="30"/>
              </w:rPr>
            </w:pPr>
          </w:p>
        </w:tc>
        <w:tc>
          <w:tcPr>
            <w:tcW w:w="8465" w:type="dxa"/>
            <w:shd w:val="clear" w:color="auto" w:fill="auto"/>
            <w:noWrap/>
            <w:vAlign w:val="center"/>
          </w:tcPr>
          <w:p w14:paraId="2D2D6BAD" w14:textId="77777777" w:rsidR="00145496" w:rsidRDefault="00145496" w:rsidP="00145496">
            <w:pPr>
              <w:widowControl/>
              <w:rPr>
                <w:sz w:val="30"/>
                <w:szCs w:val="30"/>
              </w:rPr>
            </w:pPr>
            <w:r>
              <w:rPr>
                <w:rFonts w:hint="eastAsia"/>
                <w:sz w:val="30"/>
                <w:szCs w:val="30"/>
              </w:rPr>
              <w:t>1.</w:t>
            </w:r>
            <w:r>
              <w:rPr>
                <w:rFonts w:hint="eastAsia"/>
                <w:sz w:val="30"/>
                <w:szCs w:val="30"/>
              </w:rPr>
              <w:t>……</w:t>
            </w:r>
            <w:proofErr w:type="gramStart"/>
            <w:r>
              <w:rPr>
                <w:rFonts w:hint="eastAsia"/>
                <w:sz w:val="30"/>
                <w:szCs w:val="30"/>
              </w:rPr>
              <w:t>……………………</w:t>
            </w:r>
            <w:proofErr w:type="gramEnd"/>
            <w:r>
              <w:rPr>
                <w:rFonts w:hint="eastAsia"/>
                <w:sz w:val="30"/>
                <w:szCs w:val="30"/>
              </w:rPr>
              <w:t>；</w:t>
            </w:r>
          </w:p>
          <w:p w14:paraId="42889C8C" w14:textId="77777777" w:rsidR="00145496" w:rsidRDefault="00145496" w:rsidP="00145496">
            <w:pPr>
              <w:widowControl/>
              <w:rPr>
                <w:sz w:val="30"/>
                <w:szCs w:val="30"/>
              </w:rPr>
            </w:pPr>
            <w:r>
              <w:rPr>
                <w:rFonts w:hint="eastAsia"/>
                <w:sz w:val="30"/>
                <w:szCs w:val="30"/>
              </w:rPr>
              <w:t>2.</w:t>
            </w:r>
            <w:r>
              <w:rPr>
                <w:rFonts w:hint="eastAsia"/>
                <w:sz w:val="30"/>
                <w:szCs w:val="30"/>
              </w:rPr>
              <w:t>……</w:t>
            </w:r>
            <w:proofErr w:type="gramStart"/>
            <w:r>
              <w:rPr>
                <w:rFonts w:hint="eastAsia"/>
                <w:sz w:val="30"/>
                <w:szCs w:val="30"/>
              </w:rPr>
              <w:t>……………………</w:t>
            </w:r>
            <w:proofErr w:type="gramEnd"/>
            <w:r>
              <w:rPr>
                <w:rFonts w:hint="eastAsia"/>
                <w:sz w:val="30"/>
                <w:szCs w:val="30"/>
              </w:rPr>
              <w:t>；</w:t>
            </w:r>
          </w:p>
          <w:p w14:paraId="0DEA7264" w14:textId="77777777" w:rsidR="00145496" w:rsidRDefault="00145496" w:rsidP="00145496">
            <w:pPr>
              <w:widowControl/>
              <w:rPr>
                <w:sz w:val="30"/>
                <w:szCs w:val="30"/>
              </w:rPr>
            </w:pPr>
            <w:r>
              <w:rPr>
                <w:rFonts w:hint="eastAsia"/>
                <w:sz w:val="30"/>
                <w:szCs w:val="30"/>
              </w:rPr>
              <w:t>3.</w:t>
            </w:r>
            <w:r>
              <w:rPr>
                <w:rFonts w:hint="eastAsia"/>
                <w:sz w:val="30"/>
                <w:szCs w:val="30"/>
              </w:rPr>
              <w:t>……</w:t>
            </w:r>
            <w:proofErr w:type="gramStart"/>
            <w:r>
              <w:rPr>
                <w:rFonts w:hint="eastAsia"/>
                <w:sz w:val="30"/>
                <w:szCs w:val="30"/>
              </w:rPr>
              <w:t>……………………</w:t>
            </w:r>
            <w:proofErr w:type="gramEnd"/>
            <w:r>
              <w:rPr>
                <w:rFonts w:hint="eastAsia"/>
                <w:sz w:val="30"/>
                <w:szCs w:val="30"/>
              </w:rPr>
              <w:t>；</w:t>
            </w:r>
          </w:p>
          <w:p w14:paraId="51DD171D" w14:textId="76331D66" w:rsidR="00BD4041" w:rsidRDefault="00145496" w:rsidP="00145496">
            <w:pPr>
              <w:widowControl/>
              <w:jc w:val="center"/>
              <w:rPr>
                <w:sz w:val="30"/>
                <w:szCs w:val="30"/>
              </w:rPr>
            </w:pPr>
            <w:r>
              <w:rPr>
                <w:rFonts w:hint="eastAsia"/>
                <w:sz w:val="30"/>
                <w:szCs w:val="30"/>
              </w:rPr>
              <w:t>……（三至五句话）</w:t>
            </w:r>
          </w:p>
        </w:tc>
      </w:tr>
    </w:tbl>
    <w:p w14:paraId="284702D1" w14:textId="13D2E5AD" w:rsidR="00BD4041" w:rsidRDefault="00000000">
      <w:pPr>
        <w:widowControl/>
        <w:shd w:val="clear" w:color="auto" w:fill="FFFFFF"/>
        <w:spacing w:line="580" w:lineRule="exact"/>
        <w:jc w:val="left"/>
        <w:rPr>
          <w:kern w:val="0"/>
          <w:sz w:val="20"/>
          <w:szCs w:val="20"/>
        </w:rPr>
      </w:pPr>
      <w:r w:rsidRPr="00593016">
        <w:rPr>
          <w:rFonts w:hint="eastAsia"/>
          <w:sz w:val="28"/>
          <w:szCs w:val="28"/>
        </w:rPr>
        <w:lastRenderedPageBreak/>
        <w:t>注：避免与各有关科技部门以及国家自然基金其他已资助项目的重复，建议</w:t>
      </w:r>
      <w:r w:rsidR="00560CF1" w:rsidRPr="00593016">
        <w:rPr>
          <w:rFonts w:hint="eastAsia"/>
          <w:sz w:val="28"/>
          <w:szCs w:val="28"/>
        </w:rPr>
        <w:t>每个院系</w:t>
      </w:r>
      <w:r w:rsidR="00560CF1">
        <w:rPr>
          <w:rFonts w:hint="eastAsia"/>
          <w:sz w:val="28"/>
          <w:szCs w:val="28"/>
        </w:rPr>
        <w:t>提交</w:t>
      </w:r>
      <w:r w:rsidRPr="00593016">
        <w:rPr>
          <w:rFonts w:hint="eastAsia"/>
          <w:sz w:val="28"/>
          <w:szCs w:val="28"/>
        </w:rPr>
        <w:t>数量不超过</w:t>
      </w:r>
      <w:r w:rsidR="00145496" w:rsidRPr="00593016">
        <w:rPr>
          <w:rFonts w:hint="eastAsia"/>
          <w:sz w:val="28"/>
          <w:szCs w:val="28"/>
        </w:rPr>
        <w:t>2</w:t>
      </w:r>
      <w:r w:rsidRPr="00593016">
        <w:rPr>
          <w:rFonts w:hint="eastAsia"/>
          <w:sz w:val="28"/>
          <w:szCs w:val="28"/>
        </w:rPr>
        <w:t>项</w:t>
      </w:r>
      <w:r w:rsidRPr="00593016">
        <w:rPr>
          <w:rFonts w:hint="eastAsia"/>
          <w:sz w:val="36"/>
          <w:szCs w:val="36"/>
        </w:rPr>
        <w:t>。</w:t>
      </w:r>
      <w:r w:rsidRPr="00593016">
        <w:rPr>
          <w:sz w:val="36"/>
          <w:szCs w:val="36"/>
        </w:rPr>
        <w:t xml:space="preserve"> </w:t>
      </w:r>
      <w:r>
        <w:rPr>
          <w:sz w:val="36"/>
          <w:szCs w:val="36"/>
        </w:rPr>
        <w:t xml:space="preserve">      </w:t>
      </w:r>
      <w:r>
        <w:rPr>
          <w:sz w:val="32"/>
          <w:szCs w:val="32"/>
        </w:rPr>
        <w:t xml:space="preserve">                                         </w:t>
      </w:r>
    </w:p>
    <w:sectPr w:rsidR="00BD4041">
      <w:footerReference w:type="default" r:id="rId8"/>
      <w:headerReference w:type="first" r:id="rId9"/>
      <w:pgSz w:w="16840" w:h="11907" w:orient="landscape"/>
      <w:pgMar w:top="1531" w:right="1588" w:bottom="1531" w:left="992" w:header="851" w:footer="1134"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4B7A56" w14:textId="77777777" w:rsidR="00D25AB5" w:rsidRDefault="00D25AB5">
      <w:r>
        <w:separator/>
      </w:r>
    </w:p>
  </w:endnote>
  <w:endnote w:type="continuationSeparator" w:id="0">
    <w:p w14:paraId="7C177DF4" w14:textId="77777777" w:rsidR="00D25AB5" w:rsidRDefault="00D25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仿宋_GB2312">
    <w:altName w:val="·..."/>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4032E" w14:textId="77777777" w:rsidR="00BD4041" w:rsidRDefault="00000000">
    <w:pPr>
      <w:pStyle w:val="a3"/>
      <w:jc w:val="center"/>
    </w:pPr>
    <w:r>
      <w:fldChar w:fldCharType="begin"/>
    </w:r>
    <w:r>
      <w:instrText xml:space="preserve"> PAGE   \* MERGEFORMAT </w:instrText>
    </w:r>
    <w:r>
      <w:fldChar w:fldCharType="separate"/>
    </w:r>
    <w:r>
      <w:rPr>
        <w:lang w:val="zh-CN"/>
      </w:rPr>
      <w:t>3</w:t>
    </w:r>
    <w:r>
      <w:fldChar w:fldCharType="end"/>
    </w:r>
  </w:p>
  <w:p w14:paraId="4BAACFB5" w14:textId="77777777" w:rsidR="00BD4041" w:rsidRDefault="00BD404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97A3EF" w14:textId="77777777" w:rsidR="00D25AB5" w:rsidRDefault="00D25AB5">
      <w:r>
        <w:separator/>
      </w:r>
    </w:p>
  </w:footnote>
  <w:footnote w:type="continuationSeparator" w:id="0">
    <w:p w14:paraId="3445AD29" w14:textId="77777777" w:rsidR="00D25AB5" w:rsidRDefault="00D25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E0E1C" w14:textId="77777777" w:rsidR="00BD4041" w:rsidRDefault="00BD4041">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5DE0BFC"/>
    <w:rsid w:val="00050394"/>
    <w:rsid w:val="00145496"/>
    <w:rsid w:val="002E7855"/>
    <w:rsid w:val="005109CF"/>
    <w:rsid w:val="00560CF1"/>
    <w:rsid w:val="0059205D"/>
    <w:rsid w:val="00593016"/>
    <w:rsid w:val="007211C0"/>
    <w:rsid w:val="008D7414"/>
    <w:rsid w:val="00942004"/>
    <w:rsid w:val="00AF736A"/>
    <w:rsid w:val="00BD4041"/>
    <w:rsid w:val="00D25AB5"/>
    <w:rsid w:val="02881C27"/>
    <w:rsid w:val="15391AD1"/>
    <w:rsid w:val="15DE0BFC"/>
    <w:rsid w:val="1C0E72BF"/>
    <w:rsid w:val="2B3B51AF"/>
    <w:rsid w:val="30EC0184"/>
    <w:rsid w:val="41DD78BE"/>
    <w:rsid w:val="44093267"/>
    <w:rsid w:val="4FCC717A"/>
    <w:rsid w:val="58A815E6"/>
    <w:rsid w:val="5C865CE7"/>
    <w:rsid w:val="5D6F5D6F"/>
    <w:rsid w:val="5DE97838"/>
    <w:rsid w:val="66CD405C"/>
    <w:rsid w:val="685B3D20"/>
    <w:rsid w:val="69C95398"/>
    <w:rsid w:val="72D30553"/>
    <w:rsid w:val="77655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C748C6"/>
  <w15:docId w15:val="{F43BC48F-A4C1-4396-9008-FB047A4E8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仿宋_GB2312"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semiHidden/>
    <w:qFormat/>
    <w:pPr>
      <w:pBdr>
        <w:bottom w:val="single" w:sz="6" w:space="1" w:color="auto"/>
      </w:pBdr>
      <w:tabs>
        <w:tab w:val="center" w:pos="4153"/>
        <w:tab w:val="right" w:pos="8306"/>
      </w:tabs>
      <w:snapToGrid w:val="0"/>
      <w:jc w:val="center"/>
    </w:pPr>
    <w:rPr>
      <w:sz w:val="18"/>
      <w:szCs w:val="18"/>
    </w:rPr>
  </w:style>
  <w:style w:type="character" w:styleId="a5">
    <w:name w:val="Hyperlink"/>
    <w:basedOn w:val="a0"/>
    <w:rsid w:val="008D7414"/>
    <w:rPr>
      <w:color w:val="0563C1" w:themeColor="hyperlink"/>
      <w:u w:val="single"/>
    </w:rPr>
  </w:style>
  <w:style w:type="character" w:styleId="a6">
    <w:name w:val="Unresolved Mention"/>
    <w:basedOn w:val="a0"/>
    <w:uiPriority w:val="99"/>
    <w:semiHidden/>
    <w:unhideWhenUsed/>
    <w:rsid w:val="008D7414"/>
    <w:rPr>
      <w:color w:val="605E5C"/>
      <w:shd w:val="clear" w:color="auto" w:fill="E1DFDD"/>
    </w:rPr>
  </w:style>
  <w:style w:type="character" w:styleId="a7">
    <w:name w:val="FollowedHyperlink"/>
    <w:basedOn w:val="a0"/>
    <w:rsid w:val="008D74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sfc.gov.cn/publish/portal0/tab1543/info91638.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88</Words>
  <Characters>507</Characters>
  <Application>Microsoft Office Word</Application>
  <DocSecurity>0</DocSecurity>
  <Lines>4</Lines>
  <Paragraphs>1</Paragraphs>
  <ScaleCrop>false</ScaleCrop>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46043</dc:creator>
  <cp:lastModifiedBy>Yingying Ma</cp:lastModifiedBy>
  <cp:revision>4</cp:revision>
  <dcterms:created xsi:type="dcterms:W3CDTF">2024-03-18T06:23:00Z</dcterms:created>
  <dcterms:modified xsi:type="dcterms:W3CDTF">2024-05-13T01:19:00Z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