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5B1" w:rsidRPr="00E64044" w:rsidRDefault="001365B1" w:rsidP="001365B1">
      <w:pPr>
        <w:spacing w:line="480" w:lineRule="auto"/>
        <w:jc w:val="center"/>
        <w:rPr>
          <w:rFonts w:ascii="Times New Roman" w:eastAsia="仿宋" w:hAnsi="Times New Roman" w:cs="Times New Roman"/>
          <w:b/>
          <w:bCs/>
          <w:color w:val="000000" w:themeColor="text1"/>
          <w:spacing w:val="-10"/>
          <w:kern w:val="0"/>
          <w:sz w:val="44"/>
          <w:szCs w:val="44"/>
        </w:rPr>
      </w:pPr>
      <w:r w:rsidRPr="00E64044">
        <w:rPr>
          <w:rFonts w:ascii="Times New Roman" w:eastAsia="仿宋" w:hAnsi="Times New Roman" w:cs="Times New Roman"/>
          <w:b/>
          <w:bCs/>
          <w:color w:val="000000" w:themeColor="text1"/>
          <w:spacing w:val="-10"/>
          <w:kern w:val="0"/>
          <w:sz w:val="44"/>
          <w:szCs w:val="44"/>
        </w:rPr>
        <w:t>国家自然科学奖提名公示内容</w:t>
      </w:r>
    </w:p>
    <w:p w:rsidR="001365B1" w:rsidRPr="00E64044" w:rsidRDefault="001365B1" w:rsidP="001365B1">
      <w:pPr>
        <w:spacing w:line="480" w:lineRule="auto"/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 w:rsidRPr="00E64044">
        <w:rPr>
          <w:rFonts w:ascii="Times New Roman" w:eastAsia="仿宋" w:hAnsi="Times New Roman" w:cs="Times New Roman"/>
          <w:b/>
          <w:bCs/>
          <w:color w:val="000000" w:themeColor="text1"/>
          <w:spacing w:val="-10"/>
          <w:kern w:val="0"/>
          <w:sz w:val="44"/>
          <w:szCs w:val="44"/>
        </w:rPr>
        <w:t>（</w:t>
      </w:r>
      <w:r w:rsidRPr="00E64044">
        <w:rPr>
          <w:rFonts w:ascii="Times New Roman" w:eastAsia="仿宋" w:hAnsi="Times New Roman" w:cs="Times New Roman"/>
          <w:b/>
          <w:bCs/>
          <w:color w:val="000000" w:themeColor="text1"/>
          <w:spacing w:val="-10"/>
          <w:kern w:val="0"/>
          <w:sz w:val="44"/>
          <w:szCs w:val="44"/>
        </w:rPr>
        <w:t>2023</w:t>
      </w:r>
      <w:r w:rsidRPr="00E64044">
        <w:rPr>
          <w:rFonts w:ascii="Times New Roman" w:eastAsia="仿宋" w:hAnsi="Times New Roman" w:cs="Times New Roman"/>
          <w:b/>
          <w:bCs/>
          <w:color w:val="000000" w:themeColor="text1"/>
          <w:spacing w:val="-10"/>
          <w:kern w:val="0"/>
          <w:sz w:val="44"/>
          <w:szCs w:val="44"/>
        </w:rPr>
        <w:t>年度）</w:t>
      </w:r>
    </w:p>
    <w:p w:rsidR="001365B1" w:rsidRPr="00E64044" w:rsidRDefault="001365B1" w:rsidP="001365B1">
      <w:pPr>
        <w:spacing w:line="480" w:lineRule="auto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64044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 xml:space="preserve">1. </w:t>
      </w:r>
      <w:r w:rsidRPr="00E64044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项目名称：</w:t>
      </w:r>
      <w:r w:rsidRPr="00E6404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可转移多黏菌素耐药基因</w:t>
      </w:r>
      <w:proofErr w:type="spellStart"/>
      <w:r w:rsidRPr="00E64044">
        <w:rPr>
          <w:rFonts w:ascii="Times New Roman" w:eastAsia="仿宋" w:hAnsi="Times New Roman" w:cs="Times New Roman"/>
          <w:i/>
          <w:iCs/>
          <w:color w:val="000000" w:themeColor="text1"/>
          <w:sz w:val="32"/>
          <w:szCs w:val="32"/>
        </w:rPr>
        <w:t>mcr</w:t>
      </w:r>
      <w:proofErr w:type="spellEnd"/>
      <w:r w:rsidRPr="00E6404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的发现及其传播机制研究</w:t>
      </w:r>
    </w:p>
    <w:p w:rsidR="001365B1" w:rsidRPr="00E64044" w:rsidRDefault="001365B1" w:rsidP="001365B1">
      <w:pPr>
        <w:spacing w:line="480" w:lineRule="auto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64044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 xml:space="preserve">2. </w:t>
      </w:r>
      <w:r w:rsidRPr="00E64044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提名者：</w:t>
      </w:r>
      <w:r w:rsidRPr="00E6404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金梅林、张涌、谯仕彦</w:t>
      </w:r>
    </w:p>
    <w:p w:rsidR="001365B1" w:rsidRDefault="001365B1" w:rsidP="001365B1">
      <w:pPr>
        <w:spacing w:line="480" w:lineRule="auto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3</w:t>
      </w:r>
      <w:r w:rsidRPr="00E64044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 xml:space="preserve">. </w:t>
      </w:r>
      <w:r w:rsidRPr="00E64044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代表性论文（专著）目录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sz w:val="32"/>
          <w:szCs w:val="32"/>
        </w:rPr>
        <w:t>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2839"/>
        <w:gridCol w:w="708"/>
        <w:gridCol w:w="709"/>
        <w:gridCol w:w="709"/>
        <w:gridCol w:w="709"/>
        <w:gridCol w:w="1417"/>
        <w:gridCol w:w="788"/>
      </w:tblGrid>
      <w:tr w:rsidR="001365B1" w:rsidRPr="00B37540" w:rsidTr="00B37540">
        <w:tc>
          <w:tcPr>
            <w:tcW w:w="417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序号</w:t>
            </w:r>
          </w:p>
        </w:tc>
        <w:tc>
          <w:tcPr>
            <w:tcW w:w="2839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论文（专著）名称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刊名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作者</w:t>
            </w:r>
          </w:p>
        </w:tc>
        <w:tc>
          <w:tcPr>
            <w:tcW w:w="708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年卷页码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发表时间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通讯作者（含共同）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第一作者（含共同）</w:t>
            </w:r>
          </w:p>
        </w:tc>
        <w:tc>
          <w:tcPr>
            <w:tcW w:w="1417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国内作者</w:t>
            </w:r>
          </w:p>
        </w:tc>
        <w:tc>
          <w:tcPr>
            <w:tcW w:w="788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论文署名单位是否包含国外单位</w:t>
            </w:r>
          </w:p>
        </w:tc>
      </w:tr>
      <w:tr w:rsidR="001365B1" w:rsidRPr="00B37540" w:rsidTr="00B37540">
        <w:tc>
          <w:tcPr>
            <w:tcW w:w="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3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Emergence of plasmid-mediated colistin resistance mechanism MCR-1 in animals and human beings in China: a microbiological and molecular biological study/Lancet Infectious Diseases/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YiYun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Liu, Yang Wang, Timothy R Walsh,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LingXian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Yi, Rong Zhang, James Spencer,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Yohei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Doi,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Guobao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Tian,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Baolei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Dong,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Xianhui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Huang,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LinFeng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Yu, Danxia Gu, Hongwei Ren,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Xiaojie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Chen,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Luchao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Lv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Dandan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He, Hongwei Zhou,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Zisen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Liang,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JianHua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Liu, Jianzhong Shen</w:t>
            </w:r>
          </w:p>
        </w:tc>
        <w:tc>
          <w:tcPr>
            <w:tcW w:w="708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2016,16 (2):161-168.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2015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年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11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月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日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Jian-Hua Liu, Jianzhong Shen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Yi-Yun Liu, Yang Wang</w:t>
            </w:r>
          </w:p>
        </w:tc>
        <w:tc>
          <w:tcPr>
            <w:tcW w:w="1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刘艺云，汪洋，易灵娴，张嵘，田国宝，董保磊，黄显会，俞林峰，顾丹霞，任洪伟，陈孝杰，吕鲁超，贺丹丹，周宏伟，梁梓森，刘健华，沈建忠</w:t>
            </w:r>
          </w:p>
        </w:tc>
        <w:tc>
          <w:tcPr>
            <w:tcW w:w="788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是</w:t>
            </w:r>
          </w:p>
        </w:tc>
      </w:tr>
      <w:tr w:rsidR="001365B1" w:rsidRPr="00B37540" w:rsidTr="00B37540">
        <w:tc>
          <w:tcPr>
            <w:tcW w:w="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Prevalence, risk factors, outcomes, and molecular epidemiology of </w:t>
            </w:r>
            <w:r w:rsidRPr="00B37540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6"/>
                <w:szCs w:val="16"/>
              </w:rPr>
              <w:t>mcr-1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-positive Enterobacteriaceae in patients and healthy adults from China: an epidemiological and clinical study/Lancet Infectious Diseases/Yang Wang,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GuoBao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Tian, Rong Zhang,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Yingbo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 Jonathan M Tyrrell, Xi Huang, Hongwei Zhou, Lei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Lei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HongYu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Li,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Yohei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Doi, Ying Fang, Hongwei Ren, Lan-Lan Zhong,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Zhangqi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KunJiao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Zeng, Shaolin Wang, Jian-Hua Liu,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Congming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Wu, Timothy R Walsh, Jianzhong Shen</w:t>
            </w:r>
          </w:p>
        </w:tc>
        <w:tc>
          <w:tcPr>
            <w:tcW w:w="708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2017, 17(4):390-399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2017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年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月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27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日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Timothy R Walsh, Jianzhong Shen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Yang Wang, Guo-Bao Tian, Rong Zhang,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Yingbo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</w:t>
            </w:r>
          </w:p>
        </w:tc>
        <w:tc>
          <w:tcPr>
            <w:tcW w:w="1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汪洋，田国宝，张嵘，沈应博，黄曦，周宏伟，雷蕾，李洪玉，方颍，任宏伟，钟兰兰，沈张奇，曾坤娇，王少林，刘健华，吴聪明，沈建忠</w:t>
            </w:r>
          </w:p>
        </w:tc>
        <w:tc>
          <w:tcPr>
            <w:tcW w:w="788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是</w:t>
            </w:r>
          </w:p>
        </w:tc>
      </w:tr>
      <w:tr w:rsidR="001365B1" w:rsidRPr="00B37540" w:rsidTr="00B37540">
        <w:tc>
          <w:tcPr>
            <w:tcW w:w="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283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Comprehensive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resistome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analysis reveals the prevalence of NDM and MCR-1 in Chinese poultry production/Nature Microbiology/Yang Wang,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Rongmin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Zhang,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Jiyun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Li,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ZuoweiWu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Wenjuan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Yin, Stefan Schwarz, Jonathan M. Tyrrell,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Yongjun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Zheng, Shaolin Wang,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Zhangqi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Zhihai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Liu,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Jianye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Liu, Lei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Lei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, Mei Li,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Qidi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Zhang,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Congming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Wu,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Qijing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Zhang,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YongningWu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, Timothy R. Walsh, Jianzhong Shen</w:t>
            </w:r>
          </w:p>
        </w:tc>
        <w:tc>
          <w:tcPr>
            <w:tcW w:w="708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2017, 2:16260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2017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年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月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日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Timothy R Walsh, Jianzhong Shen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Yang Wang,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Rongmin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Zhang</w:t>
            </w:r>
          </w:p>
        </w:tc>
        <w:tc>
          <w:tcPr>
            <w:tcW w:w="1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汪洋，张荣民，李基云，尹文娟，郑永军，王少林，沈张奇，刘志海，刘建业，雷蕾，张启迪，吴聪明，吴永宁，沈建忠</w:t>
            </w:r>
          </w:p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:rsidR="001365B1" w:rsidRPr="00B37540" w:rsidRDefault="001365B1" w:rsidP="00A8567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是</w:t>
            </w:r>
          </w:p>
        </w:tc>
      </w:tr>
      <w:tr w:rsidR="001365B1" w:rsidRPr="00B37540" w:rsidTr="00B37540">
        <w:tc>
          <w:tcPr>
            <w:tcW w:w="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3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Novel Plasmid-Mediated Colistin Resistance Gene </w:t>
            </w:r>
            <w:r w:rsidRPr="00B37540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6"/>
                <w:szCs w:val="16"/>
              </w:rPr>
              <w:t>mcr-3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in </w:t>
            </w:r>
            <w:r w:rsidRPr="00B37540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6"/>
                <w:szCs w:val="16"/>
              </w:rPr>
              <w:t>Escherichia coli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/mBio/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Wenjuan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Yin, Hui Li,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Yingbo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Zhihai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Liu, Shaolin Wang,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Zhangqi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 Rong Zhang, Timothy R. Walsh, Jianzhong Shen, Yang Wang</w:t>
            </w:r>
          </w:p>
        </w:tc>
        <w:tc>
          <w:tcPr>
            <w:tcW w:w="708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2017, 8 (3), e00543-17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2017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年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月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27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日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Yang Wang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Wenjuan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Yin</w:t>
            </w:r>
          </w:p>
        </w:tc>
        <w:tc>
          <w:tcPr>
            <w:tcW w:w="1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尹文娟，李会，沈应博，刘志海，王少林，沈张奇，张嵘，沈建忠，汪洋</w:t>
            </w:r>
          </w:p>
        </w:tc>
        <w:tc>
          <w:tcPr>
            <w:tcW w:w="788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是</w:t>
            </w:r>
          </w:p>
        </w:tc>
      </w:tr>
      <w:tr w:rsidR="001365B1" w:rsidRPr="00B37540" w:rsidTr="00B37540">
        <w:tc>
          <w:tcPr>
            <w:tcW w:w="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Anthropogenic and environmental factors associated with high incidence of </w:t>
            </w:r>
            <w:r w:rsidRPr="00B37540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6"/>
                <w:szCs w:val="16"/>
              </w:rPr>
              <w:t>mcr-1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carriage in humans across China/Nature Microbiology/</w:t>
            </w:r>
            <w:r w:rsidRPr="00B375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Yingbo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 Hongwei Zhou, Jiao Xu,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Yongqiang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Wang,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Qijing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Zhang, Timothy R. Walsh, Bing Shao,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Congming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Wu,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Yanyan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Hu, Lu Yang,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Zhangqi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Zuowei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Wu,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Qiaoling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Sun,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Yanran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Ou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Yueling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Wang, Shaolin Wang, </w:t>
            </w: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Yongning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Wu, Chang Cai, Juan Li, Jianzhong Shen, Rong Zhang, Yang Wang</w:t>
            </w:r>
          </w:p>
        </w:tc>
        <w:tc>
          <w:tcPr>
            <w:tcW w:w="708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2018, 3(9):1054-1062.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2018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年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月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23</w:t>
            </w: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日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Jianzhong Shen, Rong Zhang, Yang Wang</w:t>
            </w:r>
          </w:p>
        </w:tc>
        <w:tc>
          <w:tcPr>
            <w:tcW w:w="709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Yingbo</w:t>
            </w:r>
            <w:proofErr w:type="spellEnd"/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Shen, Hongwei Zhou</w:t>
            </w:r>
          </w:p>
        </w:tc>
        <w:tc>
          <w:tcPr>
            <w:tcW w:w="1417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沈应博，周宏伟，徐娇，王永强，邵兵，吴聪明，胡燕燕，杨璐，沈张奇，孙巧玲，欧嫣然，王月玲，王少林，吴永宁，蔡畅，李娟，沈建忠，张嵘，汪洋</w:t>
            </w:r>
          </w:p>
        </w:tc>
        <w:tc>
          <w:tcPr>
            <w:tcW w:w="788" w:type="dxa"/>
            <w:vAlign w:val="center"/>
          </w:tcPr>
          <w:p w:rsidR="001365B1" w:rsidRPr="00B37540" w:rsidRDefault="001365B1" w:rsidP="00A8567F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37540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是</w:t>
            </w:r>
          </w:p>
        </w:tc>
      </w:tr>
    </w:tbl>
    <w:p w:rsidR="00932306" w:rsidRPr="001365B1" w:rsidRDefault="001365B1" w:rsidP="001365B1">
      <w:pPr>
        <w:spacing w:beforeLines="50" w:before="156" w:afterLines="50" w:after="156" w:line="480" w:lineRule="auto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4</w:t>
      </w:r>
      <w:r w:rsidRPr="00E64044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 xml:space="preserve">. </w:t>
      </w:r>
      <w:r w:rsidRPr="00E64044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主要完成人（完成单位）：</w:t>
      </w:r>
      <w:r w:rsidRPr="00E6404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沈建忠（中国农业大学）；刘健华（华南农业大学）；汪洋（中国农业大学）；张嵘（浙江大学）；沈张奇（中国农业大学）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。</w:t>
      </w:r>
    </w:p>
    <w:sectPr w:rsidR="00932306" w:rsidRPr="0013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B1"/>
    <w:rsid w:val="0002635C"/>
    <w:rsid w:val="00052CAA"/>
    <w:rsid w:val="000673BA"/>
    <w:rsid w:val="00085A58"/>
    <w:rsid w:val="0009124C"/>
    <w:rsid w:val="000E1047"/>
    <w:rsid w:val="000E6677"/>
    <w:rsid w:val="001003B4"/>
    <w:rsid w:val="0011128F"/>
    <w:rsid w:val="00114BBE"/>
    <w:rsid w:val="00115C11"/>
    <w:rsid w:val="00116D32"/>
    <w:rsid w:val="00133209"/>
    <w:rsid w:val="001365B1"/>
    <w:rsid w:val="001E2E4F"/>
    <w:rsid w:val="00203A22"/>
    <w:rsid w:val="00261E35"/>
    <w:rsid w:val="0027618B"/>
    <w:rsid w:val="002F11A2"/>
    <w:rsid w:val="0030466D"/>
    <w:rsid w:val="00377C22"/>
    <w:rsid w:val="003C669B"/>
    <w:rsid w:val="003F772D"/>
    <w:rsid w:val="004259ED"/>
    <w:rsid w:val="00433B5F"/>
    <w:rsid w:val="00464709"/>
    <w:rsid w:val="00482A57"/>
    <w:rsid w:val="004F27F1"/>
    <w:rsid w:val="005D39A6"/>
    <w:rsid w:val="00611F30"/>
    <w:rsid w:val="006325FA"/>
    <w:rsid w:val="006921E3"/>
    <w:rsid w:val="006D1FCA"/>
    <w:rsid w:val="00722A39"/>
    <w:rsid w:val="007A376E"/>
    <w:rsid w:val="007C3FCC"/>
    <w:rsid w:val="0080034C"/>
    <w:rsid w:val="00824321"/>
    <w:rsid w:val="008B54ED"/>
    <w:rsid w:val="008D237E"/>
    <w:rsid w:val="008D3F7C"/>
    <w:rsid w:val="008F0761"/>
    <w:rsid w:val="00902F9E"/>
    <w:rsid w:val="00932306"/>
    <w:rsid w:val="0094394D"/>
    <w:rsid w:val="00966EC7"/>
    <w:rsid w:val="009768A4"/>
    <w:rsid w:val="009B0D19"/>
    <w:rsid w:val="009B7045"/>
    <w:rsid w:val="009F3C8E"/>
    <w:rsid w:val="00A0265E"/>
    <w:rsid w:val="00A06754"/>
    <w:rsid w:val="00A17A35"/>
    <w:rsid w:val="00A93B96"/>
    <w:rsid w:val="00AA23B9"/>
    <w:rsid w:val="00AA6432"/>
    <w:rsid w:val="00AC07E5"/>
    <w:rsid w:val="00B16175"/>
    <w:rsid w:val="00B37540"/>
    <w:rsid w:val="00B679D3"/>
    <w:rsid w:val="00BC1F8D"/>
    <w:rsid w:val="00C0027D"/>
    <w:rsid w:val="00C2714B"/>
    <w:rsid w:val="00C35F1D"/>
    <w:rsid w:val="00C41AF4"/>
    <w:rsid w:val="00C604FA"/>
    <w:rsid w:val="00C63F5D"/>
    <w:rsid w:val="00CD0948"/>
    <w:rsid w:val="00CF3875"/>
    <w:rsid w:val="00D21D61"/>
    <w:rsid w:val="00D40C8D"/>
    <w:rsid w:val="00D705DE"/>
    <w:rsid w:val="00D80897"/>
    <w:rsid w:val="00D963B1"/>
    <w:rsid w:val="00DA3683"/>
    <w:rsid w:val="00DD4928"/>
    <w:rsid w:val="00E02EB7"/>
    <w:rsid w:val="00E070D6"/>
    <w:rsid w:val="00E21CD4"/>
    <w:rsid w:val="00E2573F"/>
    <w:rsid w:val="00E355DF"/>
    <w:rsid w:val="00E527F8"/>
    <w:rsid w:val="00E62C5D"/>
    <w:rsid w:val="00E96D7B"/>
    <w:rsid w:val="00F01576"/>
    <w:rsid w:val="00F07C7F"/>
    <w:rsid w:val="00F32C68"/>
    <w:rsid w:val="00F818B2"/>
    <w:rsid w:val="00FB37EB"/>
    <w:rsid w:val="00F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9C5BA66-BED5-754C-817A-FDDD064E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5B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Dejun</dc:creator>
  <cp:keywords/>
  <dc:description/>
  <cp:lastModifiedBy>Liu Dejun</cp:lastModifiedBy>
  <cp:revision>2</cp:revision>
  <dcterms:created xsi:type="dcterms:W3CDTF">2023-12-29T08:05:00Z</dcterms:created>
  <dcterms:modified xsi:type="dcterms:W3CDTF">2023-12-29T08:11:00Z</dcterms:modified>
</cp:coreProperties>
</file>