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val="en-US" w:eastAsia="zh-CN" w:bidi="ar-SA"/>
        </w:rPr>
        <w:t>附件6</w:t>
      </w:r>
      <w:r>
        <w:rPr>
          <w:rFonts w:hint="default" w:ascii="黑体" w:hAnsi="黑体" w:eastAsia="黑体" w:cs="黑体"/>
          <w:bCs/>
          <w:color w:val="auto"/>
          <w:kern w:val="2"/>
          <w:sz w:val="32"/>
          <w:szCs w:val="32"/>
          <w:lang w:eastAsia="zh-CN" w:bidi="ar-SA"/>
        </w:rPr>
        <w:t>-2</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Cs/>
          <w:color w:val="auto"/>
          <w:kern w:val="2"/>
          <w:sz w:val="44"/>
          <w:szCs w:val="44"/>
          <w:lang w:val="en-US" w:eastAsia="zh-CN" w:bidi="ar-SA"/>
        </w:rPr>
      </w:pPr>
      <w:r>
        <w:rPr>
          <w:rFonts w:hint="eastAsia" w:ascii="Times New Roman" w:hAnsi="Times New Roman" w:eastAsia="方正小标宋简体" w:cs="Times New Roman"/>
          <w:bCs/>
          <w:color w:val="auto"/>
          <w:kern w:val="2"/>
          <w:sz w:val="44"/>
          <w:szCs w:val="44"/>
          <w:lang w:val="en-US" w:eastAsia="zh-CN" w:bidi="ar-SA"/>
        </w:rPr>
        <w:t>2022年</w:t>
      </w:r>
      <w:r>
        <w:rPr>
          <w:rFonts w:hint="eastAsia" w:eastAsia="方正小标宋简体" w:cs="Times New Roman"/>
          <w:bCs/>
          <w:color w:val="auto"/>
          <w:kern w:val="2"/>
          <w:sz w:val="44"/>
          <w:szCs w:val="44"/>
          <w:lang w:val="en-US" w:eastAsia="zh-CN" w:bidi="ar-SA"/>
        </w:rPr>
        <w:t>度</w:t>
      </w:r>
      <w:r>
        <w:rPr>
          <w:rFonts w:hint="eastAsia" w:ascii="Times New Roman" w:hAnsi="Times New Roman" w:eastAsia="方正小标宋简体" w:cs="Times New Roman"/>
          <w:bCs/>
          <w:color w:val="auto"/>
          <w:kern w:val="2"/>
          <w:sz w:val="44"/>
          <w:szCs w:val="44"/>
          <w:lang w:val="en-US" w:eastAsia="zh-CN" w:bidi="ar-SA"/>
        </w:rPr>
        <w:t>浙江省知识产权奖</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Cs/>
          <w:color w:val="auto"/>
          <w:kern w:val="2"/>
          <w:sz w:val="44"/>
          <w:szCs w:val="44"/>
          <w:lang w:val="en-US" w:eastAsia="zh-CN" w:bidi="ar-SA"/>
        </w:rPr>
      </w:pPr>
      <w:r>
        <w:rPr>
          <w:rFonts w:hint="eastAsia" w:ascii="Times New Roman" w:hAnsi="Times New Roman" w:eastAsia="方正小标宋简体" w:cs="Times New Roman"/>
          <w:bCs/>
          <w:color w:val="auto"/>
          <w:kern w:val="2"/>
          <w:sz w:val="44"/>
          <w:szCs w:val="44"/>
          <w:lang w:val="en-US" w:eastAsia="zh-CN" w:bidi="ar-SA"/>
        </w:rPr>
        <w:t>提名公示表</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lang w:val="en-US" w:eastAsia="zh-CN"/>
        </w:rPr>
      </w:pPr>
      <w:r>
        <w:rPr>
          <w:rFonts w:hint="eastAsia" w:ascii="楷体_GB2312" w:hAnsi="楷体_GB2312" w:eastAsia="楷体_GB2312" w:cs="楷体_GB2312"/>
          <w:color w:val="000000"/>
          <w:sz w:val="32"/>
          <w:szCs w:val="32"/>
        </w:rPr>
        <w:t>（</w:t>
      </w:r>
      <w:r>
        <w:rPr>
          <w:rFonts w:hint="eastAsia" w:ascii="楷体_GB2312" w:hAnsi="楷体_GB2312" w:cs="楷体_GB2312"/>
          <w:color w:val="000000"/>
          <w:sz w:val="32"/>
          <w:szCs w:val="32"/>
          <w:lang w:val="en-US" w:eastAsia="zh-CN"/>
        </w:rPr>
        <w:t>供门类奖提名公示用</w:t>
      </w:r>
      <w:r>
        <w:rPr>
          <w:rFonts w:hint="eastAsia" w:ascii="楷体_GB2312" w:hAnsi="楷体_GB2312" w:eastAsia="楷体_GB2312" w:cs="楷体_GB2312"/>
          <w:color w:val="000000"/>
          <w:sz w:val="32"/>
          <w:szCs w:val="32"/>
        </w:rPr>
        <w:t>）</w:t>
      </w:r>
    </w:p>
    <w:tbl>
      <w:tblPr>
        <w:tblStyle w:val="5"/>
        <w:tblW w:w="8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2209"/>
        <w:gridCol w:w="2209"/>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提名者</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被提名者</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被提名者代码</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12100000470095016Q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拟提名奖项类别</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专利奖（发明专利）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拟提名奖项等级</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FF0000"/>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一等奖</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是否参加低于提名等级评审</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FF0000"/>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项目名称</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一种基于多级同步的零延时锁相环频率综合器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项目证书编号</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ZL201910812883.9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第一权利人</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其他权利人</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FF0000"/>
                <w:sz w:val="24"/>
                <w:szCs w:val="24"/>
                <w:u w:val="none"/>
                <w:lang w:val="en-US" w:eastAsia="zh-CN"/>
              </w:rPr>
            </w:pPr>
            <w:r>
              <w:rPr>
                <w:rFonts w:hint="eastAsia" w:ascii="仿宋_GB2312" w:hAnsi="仿宋_GB2312" w:eastAsia="仿宋_GB2312" w:cs="仿宋_GB2312"/>
                <w:i w:val="0"/>
                <w:iCs w:val="0"/>
                <w:color w:val="auto"/>
                <w:sz w:val="28"/>
                <w:szCs w:val="2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主要完成人</w:t>
            </w: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1.徐志伟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2.陈姜波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3.刘嘉冰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4.聂辉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5.丁凯杰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66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6.宋春毅</w:t>
            </w:r>
          </w:p>
        </w:tc>
      </w:tr>
    </w:tbl>
    <w:p>
      <w:r>
        <w:br w:type="page"/>
      </w:r>
      <w:bookmarkStart w:id="0" w:name="_GoBack"/>
      <w:bookmarkEnd w:id="0"/>
    </w:p>
    <w:p>
      <w:pPr>
        <w:pStyle w:val="4"/>
      </w:pPr>
    </w:p>
    <w:tbl>
      <w:tblPr>
        <w:tblStyle w:val="6"/>
        <w:tblW w:w="8956"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956" w:type="dxa"/>
            <w:vAlign w:val="center"/>
          </w:tcPr>
          <w:p>
            <w:pPr>
              <w:jc w:val="center"/>
              <w:rPr>
                <w:rFonts w:hint="default" w:eastAsiaTheme="minorEastAsia"/>
                <w:vertAlign w:val="baseline"/>
                <w:lang w:val="en-US" w:eastAsia="zh-CN"/>
              </w:rPr>
            </w:pPr>
            <w:r>
              <w:rPr>
                <w:rFonts w:hint="eastAsia" w:ascii="仿宋_GB2312" w:hAnsi="仿宋_GB2312" w:eastAsia="仿宋_GB2312" w:cs="仿宋_GB2312"/>
                <w:i w:val="0"/>
                <w:iCs w:val="0"/>
                <w:color w:val="000000"/>
                <w:sz w:val="28"/>
                <w:szCs w:val="28"/>
                <w:u w:val="none"/>
                <w:lang w:val="en-US" w:eastAsia="zh-CN"/>
              </w:rPr>
              <w:t>被提名知识产权项目情况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3" w:hRule="atLeast"/>
        </w:trPr>
        <w:tc>
          <w:tcPr>
            <w:tcW w:w="8956" w:type="dxa"/>
          </w:tcPr>
          <w:p>
            <w:pPr>
              <w:widowControl/>
              <w:spacing w:line="360" w:lineRule="auto"/>
              <w:ind w:firstLine="560" w:firstLineChars="200"/>
              <w:textAlignment w:val="center"/>
              <w:rPr>
                <w:rFonts w:ascii="宋体" w:hAnsi="宋体" w:cs="宋体"/>
                <w:kern w:val="0"/>
                <w:sz w:val="24"/>
              </w:rPr>
            </w:pPr>
            <w:r>
              <w:rPr>
                <w:rFonts w:hint="eastAsia" w:ascii="Times New Roman" w:hAnsi="Times New Roman" w:eastAsia="宋体" w:cs="Times New Roman"/>
                <w:kern w:val="2"/>
                <w:sz w:val="28"/>
                <w:szCs w:val="28"/>
                <w:lang w:val="en-US" w:eastAsia="zh-CN" w:bidi="ar-SA"/>
              </w:rPr>
              <w:t>本</w:t>
            </w:r>
            <w:r>
              <w:rPr>
                <w:rFonts w:hint="eastAsia" w:ascii="Times New Roman" w:hAnsi="Times New Roman" w:cs="Times New Roman"/>
                <w:kern w:val="2"/>
                <w:sz w:val="28"/>
                <w:szCs w:val="28"/>
                <w:lang w:val="en-US" w:eastAsia="zh-CN" w:bidi="ar-SA"/>
              </w:rPr>
              <w:t>项目</w:t>
            </w:r>
            <w:r>
              <w:rPr>
                <w:rFonts w:hint="eastAsia" w:ascii="Times New Roman" w:hAnsi="Times New Roman" w:eastAsia="宋体" w:cs="Times New Roman"/>
                <w:kern w:val="2"/>
                <w:sz w:val="28"/>
                <w:szCs w:val="28"/>
                <w:lang w:val="en-US" w:eastAsia="zh-CN" w:bidi="ar-SA"/>
              </w:rPr>
              <w:t>揭示了一种低功耗、低成本、实施便捷的解决困扰数字相控阵列同步难题的多级零延迟锁相环时钟同步方法，在此基础上形成了一系列专利并</w:t>
            </w:r>
            <w:r>
              <w:rPr>
                <w:rFonts w:hint="eastAsia" w:ascii="Times New Roman" w:hAnsi="Times New Roman" w:eastAsia="宋体" w:cs="Times New Roman"/>
                <w:kern w:val="2"/>
                <w:sz w:val="28"/>
                <w:szCs w:val="28"/>
                <w:lang w:val="en-US" w:eastAsia="zh-CN" w:bidi="ar-SA"/>
              </w:rPr>
              <w:t>提出了解决数字阵列的性能自适应、快速同步和幅相校正以及抵抗环境变化等共性难题的阵列自愈方法，构成首套国产自研集成数字相控阵列芯片和系统的</w:t>
            </w:r>
            <w:r>
              <w:rPr>
                <w:rFonts w:hint="eastAsia" w:ascii="Times New Roman" w:hAnsi="Times New Roman" w:eastAsia="宋体" w:cs="Times New Roman"/>
                <w:kern w:val="2"/>
                <w:sz w:val="28"/>
                <w:szCs w:val="28"/>
                <w:lang w:val="en-US" w:eastAsia="zh-CN" w:bidi="ar-SA"/>
              </w:rPr>
              <w:t>核心技术</w:t>
            </w:r>
            <w:r>
              <w:rPr>
                <w:rFonts w:hint="eastAsia" w:cs="Times New Roman"/>
                <w:kern w:val="2"/>
                <w:sz w:val="28"/>
                <w:szCs w:val="28"/>
                <w:lang w:val="en-US" w:eastAsia="zh-CN" w:bidi="ar-SA"/>
              </w:rPr>
              <w:t>。被提名方为保护该项目的专利权，</w:t>
            </w:r>
            <w:r>
              <w:rPr>
                <w:rFonts w:hint="eastAsia" w:ascii="Times New Roman" w:hAnsi="Times New Roman" w:eastAsia="宋体" w:cs="Times New Roman"/>
                <w:kern w:val="2"/>
                <w:sz w:val="28"/>
                <w:szCs w:val="28"/>
                <w:lang w:val="en-US" w:eastAsia="zh-CN" w:bidi="ar-SA"/>
              </w:rPr>
              <w:t>围绕</w:t>
            </w:r>
            <w:r>
              <w:rPr>
                <w:rFonts w:hint="eastAsia" w:cs="Times New Roman"/>
                <w:kern w:val="2"/>
                <w:sz w:val="28"/>
                <w:szCs w:val="28"/>
                <w:lang w:val="en-US" w:eastAsia="zh-CN" w:bidi="ar-SA"/>
              </w:rPr>
              <w:t>项目</w:t>
            </w:r>
            <w:r>
              <w:rPr>
                <w:rFonts w:hint="eastAsia" w:ascii="Times New Roman" w:hAnsi="Times New Roman" w:eastAsia="宋体" w:cs="Times New Roman"/>
                <w:kern w:val="2"/>
                <w:sz w:val="28"/>
                <w:szCs w:val="28"/>
                <w:lang w:val="en-US" w:eastAsia="zh-CN" w:bidi="ar-SA"/>
              </w:rPr>
              <w:t>先后申报了9项外围专利，</w:t>
            </w:r>
            <w:r>
              <w:rPr>
                <w:rFonts w:hint="eastAsia" w:cs="Times New Roman"/>
                <w:kern w:val="2"/>
                <w:sz w:val="28"/>
                <w:szCs w:val="28"/>
                <w:lang w:val="en-US" w:eastAsia="zh-CN" w:bidi="ar-SA"/>
              </w:rPr>
              <w:t>并为项目提交了国际专利申请，现已获美国专利授权，对项目形成包围式保护</w:t>
            </w:r>
            <w:r>
              <w:rPr>
                <w:rFonts w:hint="eastAsia" w:ascii="Times New Roman" w:hAnsi="Times New Roman" w:eastAsia="宋体" w:cs="Times New Roman"/>
                <w:kern w:val="2"/>
                <w:sz w:val="28"/>
                <w:szCs w:val="28"/>
                <w:lang w:val="en-US" w:eastAsia="zh-CN" w:bidi="ar-SA"/>
              </w:rPr>
              <w:t>。</w:t>
            </w:r>
            <w:r>
              <w:rPr>
                <w:rFonts w:hint="eastAsia" w:cs="Times New Roman"/>
                <w:kern w:val="2"/>
                <w:sz w:val="28"/>
                <w:szCs w:val="28"/>
                <w:lang w:val="en-US" w:eastAsia="zh-CN" w:bidi="ar-SA"/>
              </w:rPr>
              <w:t>项目</w:t>
            </w:r>
            <w:r>
              <w:rPr>
                <w:rFonts w:hint="eastAsia" w:ascii="Times New Roman" w:hAnsi="Times New Roman" w:eastAsia="宋体" w:cs="Times New Roman"/>
                <w:kern w:val="2"/>
                <w:sz w:val="28"/>
                <w:szCs w:val="28"/>
                <w:lang w:val="en-US" w:eastAsia="zh-CN" w:bidi="ar-SA"/>
              </w:rPr>
              <w:t>先后获国家重点项目、省重点研发与国防项目等支持，同时计划三年内申报国家级项目2项，预计项目经费5000万元。项目形成的技术已经在电科集团的测控装备和数据传输设备中转化</w:t>
            </w:r>
            <w:r>
              <w:rPr>
                <w:rFonts w:hint="eastAsia" w:ascii="Times New Roman" w:hAnsi="Times New Roman" w:eastAsia="宋体" w:cs="Times New Roman"/>
                <w:kern w:val="2"/>
                <w:sz w:val="28"/>
                <w:szCs w:val="28"/>
                <w:lang w:val="en-US" w:eastAsia="zh-CN" w:bidi="ar-SA"/>
              </w:rPr>
              <w:t>，支持了北斗系统（北斗3号）的运行，支撑了我国的火星探测科学研究，形成了一批具有自主知识产权的装备，</w:t>
            </w:r>
            <w:r>
              <w:rPr>
                <w:rFonts w:hint="eastAsia" w:ascii="Times New Roman" w:hAnsi="Times New Roman" w:eastAsia="宋体" w:cs="Times New Roman"/>
                <w:kern w:val="2"/>
                <w:sz w:val="28"/>
                <w:szCs w:val="28"/>
                <w:lang w:val="en-US" w:eastAsia="zh-CN" w:bidi="ar-SA"/>
              </w:rPr>
              <w:t>近三年实现相关产值约10亿元。</w:t>
            </w:r>
            <w:r>
              <w:rPr>
                <w:rFonts w:hint="eastAsia" w:cs="Times New Roman"/>
                <w:kern w:val="2"/>
                <w:sz w:val="28"/>
                <w:szCs w:val="28"/>
                <w:lang w:val="en-US" w:eastAsia="zh-CN" w:bidi="ar-SA"/>
              </w:rPr>
              <w:t>项目</w:t>
            </w:r>
            <w:r>
              <w:rPr>
                <w:rFonts w:hint="eastAsia" w:ascii="Times New Roman" w:hAnsi="Times New Roman" w:eastAsia="宋体" w:cs="Times New Roman"/>
                <w:kern w:val="2"/>
                <w:sz w:val="28"/>
                <w:szCs w:val="28"/>
                <w:lang w:val="en-US" w:eastAsia="zh-CN" w:bidi="ar-SA"/>
              </w:rPr>
              <w:t>研究成果还可用于支持5G/6G通信设备、智慧城市、智慧交通和安防等国家重点行业，为</w:t>
            </w:r>
            <w:r>
              <w:rPr>
                <w:rFonts w:hint="eastAsia" w:cs="Times New Roman"/>
                <w:kern w:val="2"/>
                <w:sz w:val="28"/>
                <w:szCs w:val="28"/>
                <w:lang w:val="en-US" w:eastAsia="zh-CN" w:bidi="ar-SA"/>
              </w:rPr>
              <w:t>国家经济</w:t>
            </w:r>
            <w:r>
              <w:rPr>
                <w:rFonts w:hint="default" w:ascii="Times New Roman" w:hAnsi="Times New Roman" w:eastAsia="宋体" w:cs="Times New Roman"/>
                <w:kern w:val="2"/>
                <w:sz w:val="28"/>
                <w:szCs w:val="28"/>
                <w:lang w:val="en-US" w:eastAsia="zh-CN" w:bidi="ar-SA"/>
              </w:rPr>
              <w:t>高质量发展塑造新动能新优势</w:t>
            </w:r>
            <w:r>
              <w:rPr>
                <w:rFonts w:hint="eastAsia" w:ascii="Times New Roman" w:hAnsi="Times New Roman" w:eastAsia="宋体" w:cs="Times New Roman"/>
                <w:kern w:val="2"/>
                <w:sz w:val="28"/>
                <w:szCs w:val="28"/>
                <w:lang w:val="en-US" w:eastAsia="zh-CN" w:bidi="ar-SA"/>
              </w:rPr>
              <w:t>。</w:t>
            </w:r>
          </w:p>
          <w:p>
            <w:pPr>
              <w:pStyle w:val="2"/>
              <w:ind w:firstLine="420" w:firstLineChars="200"/>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TFkYTU3ODZkOTMyNTYwYmYwNTZhYzNhMTcxNzQifQ=="/>
  </w:docVars>
  <w:rsids>
    <w:rsidRoot w:val="00000000"/>
    <w:rsid w:val="268B1475"/>
    <w:rsid w:val="29B268F2"/>
    <w:rsid w:val="325977DA"/>
    <w:rsid w:val="32F6EF11"/>
    <w:rsid w:val="336C7797"/>
    <w:rsid w:val="3FC91E6E"/>
    <w:rsid w:val="46F250FF"/>
    <w:rsid w:val="47280774"/>
    <w:rsid w:val="4B4F286F"/>
    <w:rsid w:val="523F51F1"/>
    <w:rsid w:val="53124658"/>
    <w:rsid w:val="58304F89"/>
    <w:rsid w:val="5F6F775E"/>
    <w:rsid w:val="66637170"/>
    <w:rsid w:val="68BE078C"/>
    <w:rsid w:val="769B3CFA"/>
    <w:rsid w:val="7DA5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_GB2312"/>
    </w:rPr>
  </w:style>
  <w:style w:type="paragraph" w:styleId="3">
    <w:name w:val="Title"/>
    <w:basedOn w:val="1"/>
    <w:next w:val="1"/>
    <w:qFormat/>
    <w:uiPriority w:val="0"/>
    <w:pPr>
      <w:widowControl w:val="0"/>
      <w:spacing w:line="560" w:lineRule="exact"/>
      <w:ind w:firstLine="720" w:firstLineChars="200"/>
      <w:jc w:val="center"/>
      <w:outlineLvl w:val="0"/>
    </w:pPr>
    <w:rPr>
      <w:rFonts w:ascii="方正小标宋_GBK" w:hAnsi="方正小标宋_GBK" w:eastAsia="方正小标宋_GBK" w:cs="方正小标宋_GBK"/>
      <w:kern w:val="2"/>
      <w:sz w:val="44"/>
      <w:szCs w:val="44"/>
      <w:lang w:val="en-US" w:eastAsia="zh-CN" w:bidi="ar-SA"/>
    </w:rPr>
  </w:style>
  <w:style w:type="paragraph" w:styleId="4">
    <w:name w:val="Body Text First Indent"/>
    <w:basedOn w:val="2"/>
    <w:qFormat/>
    <w:uiPriority w:val="0"/>
    <w:pPr>
      <w:spacing w:line="500" w:lineRule="exact"/>
      <w:ind w:firstLine="420"/>
    </w:pPr>
    <w:rPr>
      <w:rFonts w:eastAsia="宋体"/>
      <w:sz w:val="32"/>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236</Words>
  <Characters>256</Characters>
  <Lines>0</Lines>
  <Paragraphs>0</Paragraphs>
  <TotalTime>7</TotalTime>
  <ScaleCrop>false</ScaleCrop>
  <LinksUpToDate>false</LinksUpToDate>
  <CharactersWithSpaces>256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2022-11-01T18:01:00Z</dcterms:created>
  <dc:creator>1</dc:creator>
  <cp:lastModifiedBy>张麒</cp:lastModifiedBy>
  <dcterms:modified xsi:type="dcterms:W3CDTF">2022-12-21T01:33:32Z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995153954DBD44789100E74B3B384CA4</vt:lpwstr>
  </property>
</Properties>
</file>