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C0B5BE">
      <w:pPr>
        <w:jc w:val="center"/>
      </w:pPr>
      <w:r>
        <w:rPr>
          <w:rFonts w:ascii="黑体" w:hAnsi="黑体" w:eastAsia="黑体"/>
          <w:b/>
          <w:sz w:val="44"/>
        </w:rPr>
        <w:t>内蒙古自治区科学技术奖提名公示</w:t>
      </w:r>
    </w:p>
    <w:p w14:paraId="1848E02B">
      <w:pPr>
        <w:jc w:val="center"/>
      </w:pPr>
      <w:r>
        <w:rPr>
          <w:rFonts w:ascii="黑体" w:hAnsi="黑体" w:eastAsia="黑体"/>
          <w:b/>
          <w:sz w:val="32"/>
        </w:rPr>
        <w:t>（科技进步奖）</w:t>
      </w:r>
    </w:p>
    <w:p w14:paraId="483F255A">
      <w:pPr>
        <w:ind w:firstLine="420"/>
      </w:pPr>
      <w:r>
        <w:rPr>
          <w:rFonts w:ascii="宋体" w:hAnsi="宋体" w:eastAsia="宋体"/>
          <w:b w:val="0"/>
          <w:sz w:val="24"/>
        </w:rPr>
        <w:t>根据《内蒙古自治区科学技术奖励办法》及其实施细则的有关规定，现将拟提名2026年度内蒙古自治区科学技术进步奖的项目有关内容予以公示。公示期为</w:t>
      </w:r>
      <w:r>
        <w:rPr>
          <w:rFonts w:hint="eastAsia"/>
          <w:b w:val="0"/>
          <w:sz w:val="24"/>
          <w:lang w:val="en-US" w:eastAsia="zh-CN"/>
        </w:rPr>
        <w:t>5</w:t>
      </w:r>
      <w:r>
        <w:rPr>
          <w:rFonts w:ascii="宋体" w:hAnsi="宋体" w:eastAsia="宋体"/>
          <w:b w:val="0"/>
          <w:sz w:val="24"/>
        </w:rPr>
        <w:t>个工作日（自</w:t>
      </w:r>
      <w:r>
        <w:rPr>
          <w:rFonts w:hint="eastAsia"/>
          <w:b w:val="0"/>
          <w:sz w:val="24"/>
          <w:lang w:val="en-US" w:eastAsia="zh-CN"/>
        </w:rPr>
        <w:t>2026</w:t>
      </w:r>
      <w:r>
        <w:rPr>
          <w:rFonts w:ascii="宋体" w:hAnsi="宋体" w:eastAsia="宋体"/>
          <w:b w:val="0"/>
          <w:sz w:val="24"/>
        </w:rPr>
        <w:t>年</w:t>
      </w:r>
      <w:r>
        <w:rPr>
          <w:rFonts w:hint="eastAsia"/>
          <w:b w:val="0"/>
          <w:sz w:val="24"/>
          <w:lang w:val="en-US" w:eastAsia="zh-CN"/>
        </w:rPr>
        <w:t>08</w:t>
      </w:r>
      <w:r>
        <w:rPr>
          <w:rFonts w:ascii="宋体" w:hAnsi="宋体" w:eastAsia="宋体"/>
          <w:b w:val="0"/>
          <w:sz w:val="24"/>
        </w:rPr>
        <w:t>月</w:t>
      </w:r>
      <w:r>
        <w:rPr>
          <w:rFonts w:hint="eastAsia"/>
          <w:b w:val="0"/>
          <w:sz w:val="24"/>
          <w:lang w:val="en-US" w:eastAsia="zh-CN"/>
        </w:rPr>
        <w:t>17</w:t>
      </w:r>
      <w:r>
        <w:rPr>
          <w:rFonts w:ascii="宋体" w:hAnsi="宋体" w:eastAsia="宋体"/>
          <w:b w:val="0"/>
          <w:sz w:val="24"/>
        </w:rPr>
        <w:t>日至</w:t>
      </w:r>
      <w:r>
        <w:rPr>
          <w:rFonts w:hint="eastAsia"/>
          <w:b w:val="0"/>
          <w:sz w:val="24"/>
          <w:lang w:val="en-US" w:eastAsia="zh-CN"/>
        </w:rPr>
        <w:t>2026</w:t>
      </w:r>
      <w:r>
        <w:rPr>
          <w:rFonts w:ascii="宋体" w:hAnsi="宋体" w:eastAsia="宋体"/>
          <w:b w:val="0"/>
          <w:sz w:val="24"/>
        </w:rPr>
        <w:t>年</w:t>
      </w:r>
      <w:r>
        <w:rPr>
          <w:rFonts w:hint="eastAsia"/>
          <w:b w:val="0"/>
          <w:sz w:val="24"/>
          <w:lang w:val="en-US" w:eastAsia="zh-CN"/>
        </w:rPr>
        <w:t>08</w:t>
      </w:r>
      <w:r>
        <w:rPr>
          <w:rFonts w:ascii="宋体" w:hAnsi="宋体" w:eastAsia="宋体"/>
          <w:b w:val="0"/>
          <w:sz w:val="24"/>
        </w:rPr>
        <w:t>月</w:t>
      </w:r>
      <w:r>
        <w:rPr>
          <w:rFonts w:hint="eastAsia"/>
          <w:b w:val="0"/>
          <w:sz w:val="24"/>
          <w:lang w:val="en-US" w:eastAsia="zh-CN"/>
        </w:rPr>
        <w:t>21</w:t>
      </w:r>
      <w:r>
        <w:rPr>
          <w:rFonts w:ascii="宋体" w:hAnsi="宋体" w:eastAsia="宋体"/>
          <w:b w:val="0"/>
          <w:sz w:val="24"/>
        </w:rPr>
        <w:t>日）。在公示期内，任何单位或个人对公示内容持有异议的，请以书面形式向本单位提出，并提供必要的证明材料。</w:t>
      </w:r>
    </w:p>
    <w:p w14:paraId="351739B3">
      <w:pPr>
        <w:jc w:val="left"/>
      </w:pPr>
      <w:r>
        <w:rPr>
          <w:rFonts w:ascii="黑体" w:hAnsi="黑体" w:eastAsia="黑体"/>
          <w:b/>
          <w:sz w:val="28"/>
        </w:rPr>
        <w:t>一、项目名称</w:t>
      </w:r>
    </w:p>
    <w:p w14:paraId="01547DB4">
      <w:pPr>
        <w:ind w:firstLine="420"/>
      </w:pPr>
      <w:r>
        <w:rPr>
          <w:rFonts w:ascii="宋体" w:hAnsi="宋体" w:eastAsia="宋体"/>
          <w:b/>
          <w:sz w:val="24"/>
        </w:rPr>
        <w:t>麝香通心滴丸效应物质导向的质控与量效毒安全评价体系创研及应用</w:t>
      </w:r>
    </w:p>
    <w:p w14:paraId="685D2BDD">
      <w:pPr>
        <w:jc w:val="left"/>
      </w:pPr>
      <w:r>
        <w:rPr>
          <w:rFonts w:ascii="黑体" w:hAnsi="黑体" w:eastAsia="黑体"/>
          <w:b/>
          <w:sz w:val="28"/>
        </w:rPr>
        <w:t>二、提名者</w:t>
      </w:r>
    </w:p>
    <w:p w14:paraId="2CC1B507">
      <w:pPr>
        <w:ind w:firstLine="420"/>
      </w:pPr>
      <w:r>
        <w:rPr>
          <w:rFonts w:hint="eastAsia"/>
          <w:b w:val="0"/>
          <w:sz w:val="24"/>
          <w:lang w:val="en-US" w:eastAsia="zh-CN"/>
        </w:rPr>
        <w:t>鄂尔多斯市科学技术局</w:t>
      </w:r>
    </w:p>
    <w:p w14:paraId="58B490ED">
      <w:pPr>
        <w:jc w:val="left"/>
      </w:pPr>
      <w:r>
        <w:rPr>
          <w:rFonts w:ascii="黑体" w:hAnsi="黑体" w:eastAsia="黑体"/>
          <w:b/>
          <w:sz w:val="28"/>
        </w:rPr>
        <w:t>三、主要知识产权和标准规范等目录</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
        <w:gridCol w:w="1185"/>
        <w:gridCol w:w="1800"/>
        <w:gridCol w:w="800"/>
        <w:gridCol w:w="1220"/>
        <w:gridCol w:w="1180"/>
        <w:gridCol w:w="1355"/>
        <w:gridCol w:w="2174"/>
        <w:gridCol w:w="680"/>
      </w:tblGrid>
      <w:tr w14:paraId="25046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dxa"/>
            <w:vAlign w:val="center"/>
          </w:tcPr>
          <w:p w14:paraId="2C432B62">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sz w:val="18"/>
              </w:rPr>
              <w:t>序号</w:t>
            </w:r>
          </w:p>
        </w:tc>
        <w:tc>
          <w:tcPr>
            <w:tcW w:w="1185" w:type="dxa"/>
            <w:vAlign w:val="center"/>
          </w:tcPr>
          <w:p w14:paraId="0DE93911">
            <w:pPr>
              <w:keepNext w:val="0"/>
              <w:keepLines w:val="0"/>
              <w:widowControl/>
              <w:suppressLineNumbers w:val="0"/>
              <w:spacing w:before="0" w:beforeAutospacing="0" w:after="0" w:afterAutospacing="0" w:line="240" w:lineRule="auto"/>
              <w:ind w:left="0" w:right="0"/>
              <w:jc w:val="center"/>
              <w:rPr>
                <w:rFonts w:hint="default" w:ascii="宋体" w:hAnsi="宋体" w:eastAsia="宋体"/>
                <w:b/>
                <w:sz w:val="18"/>
              </w:rPr>
            </w:pPr>
            <w:r>
              <w:rPr>
                <w:rFonts w:hint="default" w:ascii="宋体" w:hAnsi="宋体" w:eastAsia="宋体"/>
                <w:b/>
                <w:sz w:val="18"/>
              </w:rPr>
              <w:t>知识产权</w:t>
            </w:r>
          </w:p>
          <w:p w14:paraId="153D307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sz w:val="18"/>
              </w:rPr>
              <w:t>(标准)类别</w:t>
            </w:r>
          </w:p>
        </w:tc>
        <w:tc>
          <w:tcPr>
            <w:tcW w:w="1800" w:type="dxa"/>
            <w:vAlign w:val="center"/>
          </w:tcPr>
          <w:p w14:paraId="0DBDE08F">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sz w:val="18"/>
              </w:rPr>
              <w:t>知识产权(标准)具体名称</w:t>
            </w:r>
          </w:p>
        </w:tc>
        <w:tc>
          <w:tcPr>
            <w:tcW w:w="800" w:type="dxa"/>
            <w:vAlign w:val="center"/>
          </w:tcPr>
          <w:p w14:paraId="613E0F94">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sz w:val="18"/>
              </w:rPr>
              <w:t>国家(地区)</w:t>
            </w:r>
          </w:p>
        </w:tc>
        <w:tc>
          <w:tcPr>
            <w:tcW w:w="1220" w:type="dxa"/>
            <w:vAlign w:val="center"/>
          </w:tcPr>
          <w:p w14:paraId="7EA469C0">
            <w:pPr>
              <w:keepNext w:val="0"/>
              <w:keepLines w:val="0"/>
              <w:widowControl/>
              <w:suppressLineNumbers w:val="0"/>
              <w:spacing w:before="0" w:beforeAutospacing="0" w:after="0" w:afterAutospacing="0" w:line="240" w:lineRule="auto"/>
              <w:ind w:left="0" w:right="0"/>
              <w:jc w:val="center"/>
              <w:rPr>
                <w:rFonts w:hint="default" w:ascii="宋体" w:hAnsi="宋体" w:eastAsia="宋体"/>
                <w:b/>
                <w:sz w:val="18"/>
              </w:rPr>
            </w:pPr>
            <w:r>
              <w:rPr>
                <w:rFonts w:hint="eastAsia"/>
                <w:b/>
                <w:sz w:val="18"/>
                <w:lang w:val="en-US" w:eastAsia="zh-CN"/>
              </w:rPr>
              <w:t>专利</w:t>
            </w:r>
            <w:r>
              <w:rPr>
                <w:rFonts w:hint="default" w:ascii="宋体" w:hAnsi="宋体" w:eastAsia="宋体"/>
                <w:b/>
                <w:sz w:val="18"/>
              </w:rPr>
              <w:t>号</w:t>
            </w:r>
          </w:p>
          <w:p w14:paraId="29CB4D7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sz w:val="18"/>
              </w:rPr>
              <w:t>(标准编号)</w:t>
            </w:r>
          </w:p>
        </w:tc>
        <w:tc>
          <w:tcPr>
            <w:tcW w:w="1180" w:type="dxa"/>
            <w:vAlign w:val="center"/>
          </w:tcPr>
          <w:p w14:paraId="471265DB">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sz w:val="18"/>
              </w:rPr>
              <w:t>授权(标准发布)日期</w:t>
            </w:r>
          </w:p>
        </w:tc>
        <w:tc>
          <w:tcPr>
            <w:tcW w:w="1355" w:type="dxa"/>
            <w:vAlign w:val="center"/>
          </w:tcPr>
          <w:p w14:paraId="6DEC567F">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sz w:val="18"/>
              </w:rPr>
              <w:t>权利人(标准起草单位)</w:t>
            </w:r>
          </w:p>
        </w:tc>
        <w:tc>
          <w:tcPr>
            <w:tcW w:w="2174" w:type="dxa"/>
            <w:vAlign w:val="center"/>
          </w:tcPr>
          <w:p w14:paraId="092EE249">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sz w:val="18"/>
              </w:rPr>
              <w:t>发明人(标准起草人)</w:t>
            </w:r>
          </w:p>
        </w:tc>
        <w:tc>
          <w:tcPr>
            <w:tcW w:w="680" w:type="dxa"/>
            <w:vAlign w:val="center"/>
          </w:tcPr>
          <w:p w14:paraId="178A4BE9">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sz w:val="18"/>
              </w:rPr>
              <w:t>有效状态</w:t>
            </w:r>
          </w:p>
        </w:tc>
      </w:tr>
      <w:tr w14:paraId="2B0A3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dxa"/>
            <w:vAlign w:val="center"/>
          </w:tcPr>
          <w:p w14:paraId="59436027">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1</w:t>
            </w:r>
          </w:p>
        </w:tc>
        <w:tc>
          <w:tcPr>
            <w:tcW w:w="1185" w:type="dxa"/>
            <w:vAlign w:val="center"/>
          </w:tcPr>
          <w:p w14:paraId="60B8AC9B">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发明专利</w:t>
            </w:r>
          </w:p>
        </w:tc>
        <w:tc>
          <w:tcPr>
            <w:tcW w:w="1800" w:type="dxa"/>
            <w:vAlign w:val="center"/>
          </w:tcPr>
          <w:p w14:paraId="60926C5E">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一种复方中药的人参茎叶总皂苷含量检测方法</w:t>
            </w:r>
          </w:p>
        </w:tc>
        <w:tc>
          <w:tcPr>
            <w:tcW w:w="800" w:type="dxa"/>
            <w:vAlign w:val="center"/>
          </w:tcPr>
          <w:p w14:paraId="5858FCDA">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中国</w:t>
            </w:r>
          </w:p>
        </w:tc>
        <w:tc>
          <w:tcPr>
            <w:tcW w:w="1220" w:type="dxa"/>
            <w:vAlign w:val="center"/>
          </w:tcPr>
          <w:p w14:paraId="04E24A3F">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ZL201910858247.X</w:t>
            </w:r>
          </w:p>
        </w:tc>
        <w:tc>
          <w:tcPr>
            <w:tcW w:w="1180" w:type="dxa"/>
            <w:vAlign w:val="center"/>
          </w:tcPr>
          <w:p w14:paraId="12BA681D">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2022.03.08</w:t>
            </w:r>
          </w:p>
        </w:tc>
        <w:tc>
          <w:tcPr>
            <w:tcW w:w="1355" w:type="dxa"/>
            <w:vAlign w:val="center"/>
          </w:tcPr>
          <w:p w14:paraId="62A77D89">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内蒙古康恩贝药业有限公司</w:t>
            </w:r>
          </w:p>
        </w:tc>
        <w:tc>
          <w:tcPr>
            <w:tcW w:w="2174" w:type="dxa"/>
            <w:vAlign w:val="center"/>
          </w:tcPr>
          <w:p w14:paraId="005C226B">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周祥；吴华铃；王如伟；金辉辉；杨千千；叶剑锋；宋永标；麻懿文；刘玮峰；李学臻</w:t>
            </w:r>
          </w:p>
        </w:tc>
        <w:tc>
          <w:tcPr>
            <w:tcW w:w="680" w:type="dxa"/>
            <w:vAlign w:val="center"/>
          </w:tcPr>
          <w:p w14:paraId="2DD6D69A">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专利权维持</w:t>
            </w:r>
          </w:p>
        </w:tc>
      </w:tr>
      <w:tr w14:paraId="2839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dxa"/>
            <w:vAlign w:val="center"/>
          </w:tcPr>
          <w:p w14:paraId="5D288AE0">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2</w:t>
            </w:r>
          </w:p>
        </w:tc>
        <w:tc>
          <w:tcPr>
            <w:tcW w:w="1185" w:type="dxa"/>
            <w:vAlign w:val="center"/>
          </w:tcPr>
          <w:p w14:paraId="16E5CF2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发明专利</w:t>
            </w:r>
          </w:p>
        </w:tc>
        <w:tc>
          <w:tcPr>
            <w:tcW w:w="1800" w:type="dxa"/>
            <w:vAlign w:val="center"/>
          </w:tcPr>
          <w:p w14:paraId="2A4D49BE">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一种复方中药特征图谱构建及含量测定方法</w:t>
            </w:r>
          </w:p>
        </w:tc>
        <w:tc>
          <w:tcPr>
            <w:tcW w:w="800" w:type="dxa"/>
            <w:vAlign w:val="center"/>
          </w:tcPr>
          <w:p w14:paraId="4392791E">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中国</w:t>
            </w:r>
          </w:p>
        </w:tc>
        <w:tc>
          <w:tcPr>
            <w:tcW w:w="1220" w:type="dxa"/>
            <w:vAlign w:val="center"/>
          </w:tcPr>
          <w:p w14:paraId="0B9E47AF">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ZL201911410029.6</w:t>
            </w:r>
          </w:p>
        </w:tc>
        <w:tc>
          <w:tcPr>
            <w:tcW w:w="1180" w:type="dxa"/>
            <w:vAlign w:val="center"/>
          </w:tcPr>
          <w:p w14:paraId="3D12F4C4">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2022.03.08</w:t>
            </w:r>
          </w:p>
        </w:tc>
        <w:tc>
          <w:tcPr>
            <w:tcW w:w="1355" w:type="dxa"/>
            <w:vAlign w:val="center"/>
          </w:tcPr>
          <w:p w14:paraId="777179DD">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内蒙古康恩贝药业有限公司</w:t>
            </w:r>
          </w:p>
        </w:tc>
        <w:tc>
          <w:tcPr>
            <w:tcW w:w="2174" w:type="dxa"/>
            <w:vAlign w:val="center"/>
          </w:tcPr>
          <w:p w14:paraId="7032A1AB">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吴华铃；平夏婷；来灿林；杨千千；毕真真；金辉辉；宋永标；麻懿文；刘玮峰；叶剑锋</w:t>
            </w:r>
          </w:p>
        </w:tc>
        <w:tc>
          <w:tcPr>
            <w:tcW w:w="680" w:type="dxa"/>
            <w:vAlign w:val="center"/>
          </w:tcPr>
          <w:p w14:paraId="6218FD55">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专利权维持</w:t>
            </w:r>
          </w:p>
        </w:tc>
      </w:tr>
      <w:tr w14:paraId="4827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dxa"/>
            <w:vAlign w:val="center"/>
          </w:tcPr>
          <w:p w14:paraId="6F0D856F">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3</w:t>
            </w:r>
          </w:p>
        </w:tc>
        <w:tc>
          <w:tcPr>
            <w:tcW w:w="1185" w:type="dxa"/>
            <w:vAlign w:val="center"/>
          </w:tcPr>
          <w:p w14:paraId="5485E0E2">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发明专利</w:t>
            </w:r>
          </w:p>
        </w:tc>
        <w:tc>
          <w:tcPr>
            <w:tcW w:w="1800" w:type="dxa"/>
            <w:vAlign w:val="center"/>
          </w:tcPr>
          <w:p w14:paraId="064C250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一种大鼠血浆中麝香通心滴丸蟾蜍二烯内酯成分的检测方法及其用途</w:t>
            </w:r>
          </w:p>
        </w:tc>
        <w:tc>
          <w:tcPr>
            <w:tcW w:w="800" w:type="dxa"/>
            <w:vAlign w:val="center"/>
          </w:tcPr>
          <w:p w14:paraId="3EA015C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中国</w:t>
            </w:r>
          </w:p>
        </w:tc>
        <w:tc>
          <w:tcPr>
            <w:tcW w:w="1220" w:type="dxa"/>
            <w:vAlign w:val="center"/>
          </w:tcPr>
          <w:p w14:paraId="1E641958">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ZL202110072178.7</w:t>
            </w:r>
          </w:p>
        </w:tc>
        <w:tc>
          <w:tcPr>
            <w:tcW w:w="1180" w:type="dxa"/>
            <w:vAlign w:val="center"/>
          </w:tcPr>
          <w:p w14:paraId="2C447DA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2024.04.12</w:t>
            </w:r>
          </w:p>
        </w:tc>
        <w:tc>
          <w:tcPr>
            <w:tcW w:w="1355" w:type="dxa"/>
            <w:vAlign w:val="center"/>
          </w:tcPr>
          <w:p w14:paraId="1F4ABBC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内蒙古康恩贝药业有限公司</w:t>
            </w:r>
          </w:p>
        </w:tc>
        <w:tc>
          <w:tcPr>
            <w:tcW w:w="2174" w:type="dxa"/>
            <w:vAlign w:val="center"/>
          </w:tcPr>
          <w:p w14:paraId="13AA9E6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叶剑锋；姚建标；宋永标；许照；李学臻；麻懿文；朱林娜；徐斌；李绵葵；吴飞群</w:t>
            </w:r>
          </w:p>
        </w:tc>
        <w:tc>
          <w:tcPr>
            <w:tcW w:w="680" w:type="dxa"/>
            <w:vAlign w:val="center"/>
          </w:tcPr>
          <w:p w14:paraId="1C11DED0">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专利权维持</w:t>
            </w:r>
          </w:p>
        </w:tc>
      </w:tr>
      <w:tr w14:paraId="0C390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dxa"/>
            <w:vAlign w:val="center"/>
          </w:tcPr>
          <w:p w14:paraId="76092801">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4</w:t>
            </w:r>
          </w:p>
        </w:tc>
        <w:tc>
          <w:tcPr>
            <w:tcW w:w="1185" w:type="dxa"/>
            <w:vAlign w:val="center"/>
          </w:tcPr>
          <w:p w14:paraId="04F03B41">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发明专利</w:t>
            </w:r>
          </w:p>
        </w:tc>
        <w:tc>
          <w:tcPr>
            <w:tcW w:w="1800" w:type="dxa"/>
            <w:vAlign w:val="center"/>
          </w:tcPr>
          <w:p w14:paraId="79332991">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一种麝香通心滴丸中蟾酥或丹参入血成分的定量检测方法</w:t>
            </w:r>
          </w:p>
        </w:tc>
        <w:tc>
          <w:tcPr>
            <w:tcW w:w="800" w:type="dxa"/>
            <w:vAlign w:val="center"/>
          </w:tcPr>
          <w:p w14:paraId="6321DD89">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中国</w:t>
            </w:r>
          </w:p>
        </w:tc>
        <w:tc>
          <w:tcPr>
            <w:tcW w:w="1220" w:type="dxa"/>
            <w:vAlign w:val="center"/>
          </w:tcPr>
          <w:p w14:paraId="52FE41E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ZL202310771714.1</w:t>
            </w:r>
          </w:p>
        </w:tc>
        <w:tc>
          <w:tcPr>
            <w:tcW w:w="1180" w:type="dxa"/>
            <w:vAlign w:val="center"/>
          </w:tcPr>
          <w:p w14:paraId="0A8DF95B">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2025.09.26</w:t>
            </w:r>
          </w:p>
        </w:tc>
        <w:tc>
          <w:tcPr>
            <w:tcW w:w="1355" w:type="dxa"/>
            <w:vAlign w:val="center"/>
          </w:tcPr>
          <w:p w14:paraId="0BB57755">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内蒙古康恩贝药业有限公司</w:t>
            </w:r>
          </w:p>
        </w:tc>
        <w:tc>
          <w:tcPr>
            <w:tcW w:w="2174" w:type="dxa"/>
            <w:vAlign w:val="center"/>
          </w:tcPr>
          <w:p w14:paraId="323FA1F0">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王建方；麻懿文；何厚洪；周慧；徐勇；庞锦萍；刘豪；郑亚纯</w:t>
            </w:r>
          </w:p>
        </w:tc>
        <w:tc>
          <w:tcPr>
            <w:tcW w:w="680" w:type="dxa"/>
            <w:vAlign w:val="center"/>
          </w:tcPr>
          <w:p w14:paraId="0DA82D80">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专利权维持</w:t>
            </w:r>
          </w:p>
        </w:tc>
      </w:tr>
      <w:tr w14:paraId="134E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dxa"/>
            <w:vAlign w:val="center"/>
          </w:tcPr>
          <w:p w14:paraId="78C19BA2">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5</w:t>
            </w:r>
          </w:p>
        </w:tc>
        <w:tc>
          <w:tcPr>
            <w:tcW w:w="1185" w:type="dxa"/>
            <w:vAlign w:val="center"/>
          </w:tcPr>
          <w:p w14:paraId="55DD74C5">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发明专利</w:t>
            </w:r>
          </w:p>
        </w:tc>
        <w:tc>
          <w:tcPr>
            <w:tcW w:w="1800" w:type="dxa"/>
            <w:vAlign w:val="center"/>
          </w:tcPr>
          <w:p w14:paraId="524BC7CB">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一种麝香通心滴丸的制备方法及装置</w:t>
            </w:r>
          </w:p>
        </w:tc>
        <w:tc>
          <w:tcPr>
            <w:tcW w:w="800" w:type="dxa"/>
            <w:vAlign w:val="center"/>
          </w:tcPr>
          <w:p w14:paraId="2B09F4A8">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中国</w:t>
            </w:r>
          </w:p>
        </w:tc>
        <w:tc>
          <w:tcPr>
            <w:tcW w:w="1220" w:type="dxa"/>
            <w:vAlign w:val="center"/>
          </w:tcPr>
          <w:p w14:paraId="6872E6AE">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ZL202510301515.3</w:t>
            </w:r>
          </w:p>
        </w:tc>
        <w:tc>
          <w:tcPr>
            <w:tcW w:w="1180" w:type="dxa"/>
            <w:vAlign w:val="center"/>
          </w:tcPr>
          <w:p w14:paraId="23EB34D0">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2025.12.16</w:t>
            </w:r>
          </w:p>
        </w:tc>
        <w:tc>
          <w:tcPr>
            <w:tcW w:w="1355" w:type="dxa"/>
            <w:vAlign w:val="center"/>
          </w:tcPr>
          <w:p w14:paraId="317230E3">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内蒙古康恩贝药业有限公司</w:t>
            </w:r>
          </w:p>
        </w:tc>
        <w:tc>
          <w:tcPr>
            <w:tcW w:w="2174" w:type="dxa"/>
            <w:vAlign w:val="center"/>
          </w:tcPr>
          <w:p w14:paraId="39CDF327">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叶剑锋；麻懿文；张惠；海燕；刘玮峰；宋永标</w:t>
            </w:r>
          </w:p>
        </w:tc>
        <w:tc>
          <w:tcPr>
            <w:tcW w:w="680" w:type="dxa"/>
            <w:vAlign w:val="center"/>
          </w:tcPr>
          <w:p w14:paraId="35F8E93E">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专利权维持</w:t>
            </w:r>
          </w:p>
        </w:tc>
      </w:tr>
      <w:tr w14:paraId="6CD2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dxa"/>
            <w:vAlign w:val="center"/>
          </w:tcPr>
          <w:p w14:paraId="0CE9FB2E">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6</w:t>
            </w:r>
          </w:p>
        </w:tc>
        <w:tc>
          <w:tcPr>
            <w:tcW w:w="1185" w:type="dxa"/>
            <w:vAlign w:val="center"/>
          </w:tcPr>
          <w:p w14:paraId="0E48608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发明专利</w:t>
            </w:r>
          </w:p>
        </w:tc>
        <w:tc>
          <w:tcPr>
            <w:tcW w:w="1800" w:type="dxa"/>
            <w:vAlign w:val="center"/>
          </w:tcPr>
          <w:p w14:paraId="773D4717">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一种麝香通心滴丸入血成分的定性检测方法</w:t>
            </w:r>
          </w:p>
        </w:tc>
        <w:tc>
          <w:tcPr>
            <w:tcW w:w="800" w:type="dxa"/>
            <w:vAlign w:val="center"/>
          </w:tcPr>
          <w:p w14:paraId="29D483D1">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中国</w:t>
            </w:r>
          </w:p>
        </w:tc>
        <w:tc>
          <w:tcPr>
            <w:tcW w:w="1220" w:type="dxa"/>
            <w:vAlign w:val="center"/>
          </w:tcPr>
          <w:p w14:paraId="45AD7524">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ZL202310771641.6</w:t>
            </w:r>
          </w:p>
        </w:tc>
        <w:tc>
          <w:tcPr>
            <w:tcW w:w="1180" w:type="dxa"/>
            <w:vAlign w:val="center"/>
          </w:tcPr>
          <w:p w14:paraId="601EF9E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2026.01.27</w:t>
            </w:r>
          </w:p>
        </w:tc>
        <w:tc>
          <w:tcPr>
            <w:tcW w:w="1355" w:type="dxa"/>
            <w:vAlign w:val="center"/>
          </w:tcPr>
          <w:p w14:paraId="2E5B17B5">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内蒙古康恩贝药业有限公司</w:t>
            </w:r>
          </w:p>
        </w:tc>
        <w:tc>
          <w:tcPr>
            <w:tcW w:w="2174" w:type="dxa"/>
            <w:vAlign w:val="center"/>
          </w:tcPr>
          <w:p w14:paraId="60B49F10">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姚建标；蒋惠娣；江超；闵会；海燕；徐斌；吴旦</w:t>
            </w:r>
          </w:p>
        </w:tc>
        <w:tc>
          <w:tcPr>
            <w:tcW w:w="680" w:type="dxa"/>
            <w:vAlign w:val="center"/>
          </w:tcPr>
          <w:p w14:paraId="43EB3870">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专利权维持</w:t>
            </w:r>
          </w:p>
        </w:tc>
      </w:tr>
      <w:tr w14:paraId="666D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dxa"/>
            <w:vAlign w:val="center"/>
          </w:tcPr>
          <w:p w14:paraId="4B169631">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7</w:t>
            </w:r>
          </w:p>
        </w:tc>
        <w:tc>
          <w:tcPr>
            <w:tcW w:w="1185" w:type="dxa"/>
            <w:vAlign w:val="center"/>
          </w:tcPr>
          <w:p w14:paraId="005A2EBE">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发明专利</w:t>
            </w:r>
          </w:p>
        </w:tc>
        <w:tc>
          <w:tcPr>
            <w:tcW w:w="1800" w:type="dxa"/>
            <w:vAlign w:val="center"/>
          </w:tcPr>
          <w:p w14:paraId="780CFC28">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一种丹参提取工艺</w:t>
            </w:r>
          </w:p>
        </w:tc>
        <w:tc>
          <w:tcPr>
            <w:tcW w:w="800" w:type="dxa"/>
            <w:vAlign w:val="center"/>
          </w:tcPr>
          <w:p w14:paraId="6D9A7C8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中国</w:t>
            </w:r>
          </w:p>
        </w:tc>
        <w:tc>
          <w:tcPr>
            <w:tcW w:w="1220" w:type="dxa"/>
            <w:vAlign w:val="center"/>
          </w:tcPr>
          <w:p w14:paraId="1C52D670">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ZL202311101548.0</w:t>
            </w:r>
          </w:p>
        </w:tc>
        <w:tc>
          <w:tcPr>
            <w:tcW w:w="1180" w:type="dxa"/>
            <w:vAlign w:val="center"/>
          </w:tcPr>
          <w:p w14:paraId="19998181">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2026.06.12</w:t>
            </w:r>
          </w:p>
        </w:tc>
        <w:tc>
          <w:tcPr>
            <w:tcW w:w="1355" w:type="dxa"/>
            <w:vAlign w:val="center"/>
          </w:tcPr>
          <w:p w14:paraId="7EAB8247">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内蒙古康恩贝药业有限公司</w:t>
            </w:r>
          </w:p>
        </w:tc>
        <w:tc>
          <w:tcPr>
            <w:tcW w:w="2174" w:type="dxa"/>
            <w:vAlign w:val="center"/>
          </w:tcPr>
          <w:p w14:paraId="6F8B4E2B">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麻懿文；宋永标；刘晓燕；杨燕；赵文军；沙日娜；张波；赵艳云</w:t>
            </w:r>
          </w:p>
        </w:tc>
        <w:tc>
          <w:tcPr>
            <w:tcW w:w="680" w:type="dxa"/>
            <w:vAlign w:val="center"/>
          </w:tcPr>
          <w:p w14:paraId="3D556C07">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专利权维持</w:t>
            </w:r>
          </w:p>
        </w:tc>
      </w:tr>
      <w:tr w14:paraId="5996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dxa"/>
            <w:vAlign w:val="center"/>
          </w:tcPr>
          <w:p w14:paraId="51EBEF0F">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8</w:t>
            </w:r>
          </w:p>
        </w:tc>
        <w:tc>
          <w:tcPr>
            <w:tcW w:w="1185" w:type="dxa"/>
            <w:vAlign w:val="center"/>
          </w:tcPr>
          <w:p w14:paraId="119086DB">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药品注册标准</w:t>
            </w:r>
          </w:p>
        </w:tc>
        <w:tc>
          <w:tcPr>
            <w:tcW w:w="1800" w:type="dxa"/>
            <w:vAlign w:val="center"/>
          </w:tcPr>
          <w:p w14:paraId="7704A93C">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麝香通心滴丸</w:t>
            </w:r>
          </w:p>
        </w:tc>
        <w:tc>
          <w:tcPr>
            <w:tcW w:w="800" w:type="dxa"/>
            <w:vAlign w:val="center"/>
          </w:tcPr>
          <w:p w14:paraId="234D168A">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中国</w:t>
            </w:r>
          </w:p>
        </w:tc>
        <w:tc>
          <w:tcPr>
            <w:tcW w:w="1220" w:type="dxa"/>
            <w:vAlign w:val="center"/>
          </w:tcPr>
          <w:p w14:paraId="471F6F33">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YBZ00272023</w:t>
            </w:r>
          </w:p>
        </w:tc>
        <w:tc>
          <w:tcPr>
            <w:tcW w:w="1180" w:type="dxa"/>
            <w:vAlign w:val="center"/>
          </w:tcPr>
          <w:p w14:paraId="4F423A5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2023.06.01</w:t>
            </w:r>
          </w:p>
        </w:tc>
        <w:tc>
          <w:tcPr>
            <w:tcW w:w="1355" w:type="dxa"/>
            <w:vAlign w:val="center"/>
          </w:tcPr>
          <w:p w14:paraId="59A9503C">
            <w:pPr>
              <w:keepNext w:val="0"/>
              <w:keepLines w:val="0"/>
              <w:widowControl/>
              <w:suppressLineNumbers w:val="0"/>
              <w:spacing w:before="0" w:beforeAutospacing="0" w:after="0" w:afterAutospacing="0" w:line="240" w:lineRule="auto"/>
              <w:ind w:left="0" w:right="0"/>
              <w:jc w:val="center"/>
              <w:rPr>
                <w:rFonts w:hint="eastAsia" w:eastAsia="宋体"/>
                <w:lang w:val="en-US" w:eastAsia="zh-CN"/>
              </w:rPr>
            </w:pPr>
            <w:r>
              <w:rPr>
                <w:rFonts w:hint="default" w:ascii="宋体" w:hAnsi="宋体" w:eastAsia="宋体"/>
                <w:b w:val="0"/>
                <w:sz w:val="16"/>
              </w:rPr>
              <w:t>内蒙古康恩贝药业有限公司</w:t>
            </w:r>
            <w:r>
              <w:rPr>
                <w:rFonts w:hint="eastAsia"/>
                <w:b w:val="0"/>
                <w:sz w:val="16"/>
                <w:lang w:val="en-US" w:eastAsia="zh-CN"/>
              </w:rPr>
              <w:t>圣龙分公司</w:t>
            </w:r>
          </w:p>
        </w:tc>
        <w:tc>
          <w:tcPr>
            <w:tcW w:w="2174" w:type="dxa"/>
            <w:vAlign w:val="center"/>
          </w:tcPr>
          <w:p w14:paraId="013C48A7">
            <w:pPr>
              <w:keepNext w:val="0"/>
              <w:keepLines w:val="0"/>
              <w:widowControl/>
              <w:suppressLineNumbers w:val="0"/>
              <w:spacing w:before="0" w:beforeAutospacing="0" w:after="0" w:afterAutospacing="0" w:line="240" w:lineRule="auto"/>
              <w:ind w:left="0" w:right="0"/>
              <w:jc w:val="center"/>
              <w:rPr>
                <w:rFonts w:hint="eastAsia" w:eastAsia="宋体"/>
                <w:lang w:eastAsia="zh-CN"/>
              </w:rPr>
            </w:pPr>
            <w:r>
              <w:rPr>
                <w:rFonts w:hint="eastAsia"/>
                <w:b w:val="0"/>
                <w:sz w:val="16"/>
                <w:lang w:val="en-US" w:eastAsia="zh-CN"/>
              </w:rPr>
              <w:t>/</w:t>
            </w:r>
          </w:p>
        </w:tc>
        <w:tc>
          <w:tcPr>
            <w:tcW w:w="680" w:type="dxa"/>
            <w:vAlign w:val="center"/>
          </w:tcPr>
          <w:p w14:paraId="3F3A796B">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有效</w:t>
            </w:r>
          </w:p>
        </w:tc>
      </w:tr>
      <w:tr w14:paraId="367A4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dxa"/>
            <w:vAlign w:val="center"/>
          </w:tcPr>
          <w:p w14:paraId="24BF8C81">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9</w:t>
            </w:r>
          </w:p>
        </w:tc>
        <w:tc>
          <w:tcPr>
            <w:tcW w:w="1185" w:type="dxa"/>
            <w:vAlign w:val="center"/>
          </w:tcPr>
          <w:p w14:paraId="45DCFAAF">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药品注册标准</w:t>
            </w:r>
          </w:p>
        </w:tc>
        <w:tc>
          <w:tcPr>
            <w:tcW w:w="1800" w:type="dxa"/>
            <w:vAlign w:val="center"/>
          </w:tcPr>
          <w:p w14:paraId="7D1EB4DD">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麝香通心滴丸</w:t>
            </w:r>
          </w:p>
        </w:tc>
        <w:tc>
          <w:tcPr>
            <w:tcW w:w="800" w:type="dxa"/>
            <w:vAlign w:val="center"/>
          </w:tcPr>
          <w:p w14:paraId="749B78E0">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中国</w:t>
            </w:r>
          </w:p>
        </w:tc>
        <w:tc>
          <w:tcPr>
            <w:tcW w:w="1220" w:type="dxa"/>
            <w:vAlign w:val="center"/>
          </w:tcPr>
          <w:p w14:paraId="5ADBBC8C">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YBZ00272023</w:t>
            </w:r>
          </w:p>
        </w:tc>
        <w:tc>
          <w:tcPr>
            <w:tcW w:w="1180" w:type="dxa"/>
            <w:vAlign w:val="center"/>
          </w:tcPr>
          <w:p w14:paraId="79A4667B">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2024.08.08</w:t>
            </w:r>
          </w:p>
        </w:tc>
        <w:tc>
          <w:tcPr>
            <w:tcW w:w="1355" w:type="dxa"/>
            <w:vAlign w:val="center"/>
          </w:tcPr>
          <w:p w14:paraId="07F8338F">
            <w:pPr>
              <w:keepNext w:val="0"/>
              <w:keepLines w:val="0"/>
              <w:widowControl/>
              <w:suppressLineNumbers w:val="0"/>
              <w:spacing w:before="0" w:beforeAutospacing="0" w:after="0" w:afterAutospacing="0" w:line="240" w:lineRule="auto"/>
              <w:ind w:left="0" w:right="0"/>
              <w:jc w:val="center"/>
              <w:rPr>
                <w:rFonts w:hint="eastAsia" w:eastAsia="宋体"/>
                <w:lang w:val="en-US" w:eastAsia="zh-CN"/>
              </w:rPr>
            </w:pPr>
            <w:r>
              <w:rPr>
                <w:rFonts w:hint="default" w:ascii="宋体" w:hAnsi="宋体" w:eastAsia="宋体"/>
                <w:b w:val="0"/>
                <w:sz w:val="16"/>
              </w:rPr>
              <w:t>内蒙古康恩贝药业有限公司</w:t>
            </w:r>
            <w:r>
              <w:rPr>
                <w:rFonts w:hint="eastAsia"/>
                <w:b w:val="0"/>
                <w:sz w:val="16"/>
                <w:lang w:val="en-US" w:eastAsia="zh-CN"/>
              </w:rPr>
              <w:t>圣龙分公司</w:t>
            </w:r>
          </w:p>
        </w:tc>
        <w:tc>
          <w:tcPr>
            <w:tcW w:w="2174" w:type="dxa"/>
            <w:vAlign w:val="center"/>
          </w:tcPr>
          <w:p w14:paraId="4CE42375">
            <w:pPr>
              <w:keepNext w:val="0"/>
              <w:keepLines w:val="0"/>
              <w:widowControl/>
              <w:suppressLineNumbers w:val="0"/>
              <w:spacing w:before="0" w:beforeAutospacing="0" w:after="0" w:afterAutospacing="0" w:line="240" w:lineRule="auto"/>
              <w:ind w:left="0" w:right="0"/>
              <w:jc w:val="center"/>
              <w:rPr>
                <w:rFonts w:hint="eastAsia" w:eastAsia="宋体"/>
                <w:lang w:eastAsia="zh-CN"/>
              </w:rPr>
            </w:pPr>
            <w:r>
              <w:rPr>
                <w:rFonts w:hint="eastAsia"/>
                <w:b w:val="0"/>
                <w:sz w:val="16"/>
                <w:lang w:val="en-US" w:eastAsia="zh-CN"/>
              </w:rPr>
              <w:t>/</w:t>
            </w:r>
          </w:p>
        </w:tc>
        <w:tc>
          <w:tcPr>
            <w:tcW w:w="680" w:type="dxa"/>
            <w:vAlign w:val="center"/>
          </w:tcPr>
          <w:p w14:paraId="5C9B747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有效</w:t>
            </w:r>
          </w:p>
        </w:tc>
      </w:tr>
      <w:tr w14:paraId="74E10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dxa"/>
            <w:vAlign w:val="center"/>
          </w:tcPr>
          <w:p w14:paraId="6DF738FB">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10</w:t>
            </w:r>
          </w:p>
        </w:tc>
        <w:tc>
          <w:tcPr>
            <w:tcW w:w="1185" w:type="dxa"/>
            <w:vAlign w:val="center"/>
          </w:tcPr>
          <w:p w14:paraId="6567DB9C">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药品注册标准</w:t>
            </w:r>
          </w:p>
        </w:tc>
        <w:tc>
          <w:tcPr>
            <w:tcW w:w="1800" w:type="dxa"/>
            <w:vAlign w:val="center"/>
          </w:tcPr>
          <w:p w14:paraId="48784C6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麝香通心滴丸</w:t>
            </w:r>
          </w:p>
        </w:tc>
        <w:tc>
          <w:tcPr>
            <w:tcW w:w="800" w:type="dxa"/>
            <w:vAlign w:val="center"/>
          </w:tcPr>
          <w:p w14:paraId="53402D01">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中国</w:t>
            </w:r>
          </w:p>
        </w:tc>
        <w:tc>
          <w:tcPr>
            <w:tcW w:w="1220" w:type="dxa"/>
            <w:vAlign w:val="center"/>
          </w:tcPr>
          <w:p w14:paraId="05B9ECD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《中国药典》2025年版一部</w:t>
            </w:r>
          </w:p>
        </w:tc>
        <w:tc>
          <w:tcPr>
            <w:tcW w:w="1180" w:type="dxa"/>
            <w:vAlign w:val="center"/>
          </w:tcPr>
          <w:p w14:paraId="347038D0">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2026.05.08</w:t>
            </w:r>
          </w:p>
        </w:tc>
        <w:tc>
          <w:tcPr>
            <w:tcW w:w="1355" w:type="dxa"/>
            <w:vAlign w:val="center"/>
          </w:tcPr>
          <w:p w14:paraId="4586BD9A">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内蒙古康恩贝药业有限公司</w:t>
            </w:r>
          </w:p>
        </w:tc>
        <w:tc>
          <w:tcPr>
            <w:tcW w:w="2174" w:type="dxa"/>
            <w:vAlign w:val="center"/>
          </w:tcPr>
          <w:p w14:paraId="11007061">
            <w:pPr>
              <w:keepNext w:val="0"/>
              <w:keepLines w:val="0"/>
              <w:widowControl/>
              <w:suppressLineNumbers w:val="0"/>
              <w:spacing w:before="0" w:beforeAutospacing="0" w:after="0" w:afterAutospacing="0" w:line="240" w:lineRule="auto"/>
              <w:ind w:left="0" w:right="0"/>
              <w:jc w:val="center"/>
              <w:rPr>
                <w:rFonts w:hint="eastAsia" w:eastAsia="宋体"/>
                <w:lang w:eastAsia="zh-CN"/>
              </w:rPr>
            </w:pPr>
            <w:r>
              <w:rPr>
                <w:rFonts w:hint="eastAsia"/>
                <w:b w:val="0"/>
                <w:sz w:val="16"/>
                <w:lang w:val="en-US" w:eastAsia="zh-CN"/>
              </w:rPr>
              <w:t>/</w:t>
            </w:r>
          </w:p>
        </w:tc>
        <w:tc>
          <w:tcPr>
            <w:tcW w:w="680" w:type="dxa"/>
            <w:vAlign w:val="center"/>
          </w:tcPr>
          <w:p w14:paraId="5BE4E195">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有效</w:t>
            </w:r>
          </w:p>
        </w:tc>
      </w:tr>
      <w:tr w14:paraId="6D39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dxa"/>
            <w:vAlign w:val="center"/>
          </w:tcPr>
          <w:p w14:paraId="333BD3C0">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11</w:t>
            </w:r>
          </w:p>
        </w:tc>
        <w:tc>
          <w:tcPr>
            <w:tcW w:w="1185" w:type="dxa"/>
            <w:vAlign w:val="center"/>
          </w:tcPr>
          <w:p w14:paraId="4CCBE1E8">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论文</w:t>
            </w:r>
          </w:p>
        </w:tc>
        <w:tc>
          <w:tcPr>
            <w:tcW w:w="1800" w:type="dxa"/>
            <w:vAlign w:val="center"/>
          </w:tcPr>
          <w:p w14:paraId="172ADDCD">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Quality Evaluation of Shexiang Tongxin Dropping Pill Based on HPLC Fingerprints Combined with HPLC-Q-TOF-MS/MS Method</w:t>
            </w:r>
          </w:p>
        </w:tc>
        <w:tc>
          <w:tcPr>
            <w:tcW w:w="800" w:type="dxa"/>
            <w:vAlign w:val="center"/>
          </w:tcPr>
          <w:p w14:paraId="23C396FF">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w:t>
            </w:r>
          </w:p>
        </w:tc>
        <w:tc>
          <w:tcPr>
            <w:tcW w:w="1220" w:type="dxa"/>
            <w:vAlign w:val="center"/>
          </w:tcPr>
          <w:p w14:paraId="5BE79EB3">
            <w:pPr>
              <w:keepNext w:val="0"/>
              <w:keepLines w:val="0"/>
              <w:widowControl/>
              <w:suppressLineNumbers w:val="0"/>
              <w:spacing w:before="0" w:beforeAutospacing="0" w:after="0" w:afterAutospacing="0" w:line="240" w:lineRule="auto"/>
              <w:ind w:left="0" w:right="0"/>
              <w:jc w:val="center"/>
              <w:rPr>
                <w:rFonts w:hint="eastAsia" w:eastAsia="宋体"/>
                <w:lang w:val="en-US" w:eastAsia="zh-CN"/>
              </w:rPr>
            </w:pPr>
            <w:r>
              <w:rPr>
                <w:rFonts w:hint="eastAsia" w:ascii="宋体" w:hAnsi="宋体" w:eastAsia="宋体"/>
                <w:b w:val="0"/>
                <w:sz w:val="16"/>
                <w:lang w:val="en-US" w:eastAsia="zh-CN"/>
              </w:rPr>
              <w:t>DOI：10.1093/CHROMSCI/BMAE015</w:t>
            </w:r>
          </w:p>
        </w:tc>
        <w:tc>
          <w:tcPr>
            <w:tcW w:w="1180" w:type="dxa"/>
            <w:shd w:val="clear" w:color="auto" w:fill="auto"/>
            <w:vAlign w:val="center"/>
          </w:tcPr>
          <w:p w14:paraId="78EB83AA">
            <w:pPr>
              <w:keepNext w:val="0"/>
              <w:keepLines w:val="0"/>
              <w:widowControl/>
              <w:suppressLineNumbers w:val="0"/>
              <w:spacing w:before="0" w:beforeAutospacing="0" w:after="0" w:afterAutospacing="0" w:line="240" w:lineRule="auto"/>
              <w:ind w:left="0" w:right="0"/>
              <w:jc w:val="center"/>
              <w:rPr>
                <w:rFonts w:hint="default" w:ascii="宋体" w:hAnsi="宋体" w:eastAsia="宋体" w:cstheme="minorBidi"/>
                <w:sz w:val="24"/>
                <w:szCs w:val="22"/>
                <w:lang w:val="en-US" w:eastAsia="en-US" w:bidi="ar-SA"/>
              </w:rPr>
            </w:pPr>
            <w:r>
              <w:rPr>
                <w:rFonts w:hint="default" w:ascii="宋体" w:hAnsi="宋体" w:eastAsia="宋体"/>
                <w:b w:val="0"/>
                <w:sz w:val="16"/>
              </w:rPr>
              <w:t>2024</w:t>
            </w:r>
          </w:p>
        </w:tc>
        <w:tc>
          <w:tcPr>
            <w:tcW w:w="1355" w:type="dxa"/>
            <w:vAlign w:val="center"/>
          </w:tcPr>
          <w:p w14:paraId="23EA4B61">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浙江中医药大学；浙江康恩贝制药股份有限公司；浙江大学；</w:t>
            </w:r>
            <w:r>
              <w:rPr>
                <w:rFonts w:hint="eastAsia"/>
                <w:b w:val="0"/>
                <w:sz w:val="16"/>
                <w:lang w:val="en-US" w:eastAsia="zh-CN"/>
              </w:rPr>
              <w:t>浙江省中药制药技术重点实验室；</w:t>
            </w:r>
            <w:r>
              <w:rPr>
                <w:rFonts w:hint="default" w:ascii="宋体" w:hAnsi="宋体" w:eastAsia="宋体"/>
                <w:b w:val="0"/>
                <w:sz w:val="16"/>
              </w:rPr>
              <w:t>内蒙古康恩贝药业有限公司</w:t>
            </w:r>
          </w:p>
        </w:tc>
        <w:tc>
          <w:tcPr>
            <w:tcW w:w="2174" w:type="dxa"/>
            <w:vAlign w:val="center"/>
          </w:tcPr>
          <w:p w14:paraId="78453728">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Ming Lin, Chun-ling Xu, Hong-ye Pan, Yong-biao Song（宋永标）, Yi-wen Ma（麻懿文）, Xing-yu Liu, Jian-biao Yao（姚建标）, Ru-wei Wang</w:t>
            </w:r>
          </w:p>
        </w:tc>
        <w:tc>
          <w:tcPr>
            <w:tcW w:w="680" w:type="dxa"/>
            <w:vAlign w:val="center"/>
          </w:tcPr>
          <w:p w14:paraId="277A5E1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已发表</w:t>
            </w:r>
          </w:p>
        </w:tc>
      </w:tr>
      <w:tr w14:paraId="149B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dxa"/>
            <w:vAlign w:val="center"/>
          </w:tcPr>
          <w:p w14:paraId="1644F8F8">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12</w:t>
            </w:r>
          </w:p>
        </w:tc>
        <w:tc>
          <w:tcPr>
            <w:tcW w:w="1185" w:type="dxa"/>
            <w:vAlign w:val="center"/>
          </w:tcPr>
          <w:p w14:paraId="0EC626CD">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论文</w:t>
            </w:r>
          </w:p>
        </w:tc>
        <w:tc>
          <w:tcPr>
            <w:tcW w:w="1800" w:type="dxa"/>
            <w:vAlign w:val="center"/>
          </w:tcPr>
          <w:p w14:paraId="20CF1383">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Interactions of neocryptotanshinone and human cytochrome P450 in silico and in vitro</w:t>
            </w:r>
          </w:p>
        </w:tc>
        <w:tc>
          <w:tcPr>
            <w:tcW w:w="800" w:type="dxa"/>
            <w:vAlign w:val="center"/>
          </w:tcPr>
          <w:p w14:paraId="79FCC008">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w:t>
            </w:r>
          </w:p>
        </w:tc>
        <w:tc>
          <w:tcPr>
            <w:tcW w:w="1220" w:type="dxa"/>
            <w:vAlign w:val="center"/>
          </w:tcPr>
          <w:p w14:paraId="4309998E">
            <w:pPr>
              <w:keepNext w:val="0"/>
              <w:keepLines w:val="0"/>
              <w:widowControl/>
              <w:suppressLineNumbers w:val="0"/>
              <w:spacing w:before="0" w:beforeAutospacing="0" w:after="0" w:afterAutospacing="0" w:line="240" w:lineRule="auto"/>
              <w:ind w:left="0" w:right="0"/>
              <w:jc w:val="center"/>
              <w:rPr>
                <w:rFonts w:hint="eastAsia" w:ascii="宋体" w:hAnsi="宋体" w:eastAsia="宋体"/>
                <w:b w:val="0"/>
                <w:sz w:val="16"/>
                <w:lang w:val="en-US" w:eastAsia="zh-CN"/>
              </w:rPr>
            </w:pPr>
            <w:r>
              <w:rPr>
                <w:rFonts w:hint="eastAsia" w:ascii="宋体" w:hAnsi="宋体" w:eastAsia="宋体"/>
                <w:b w:val="0"/>
                <w:sz w:val="16"/>
                <w:lang w:val="en-US" w:eastAsia="zh-CN"/>
              </w:rPr>
              <w:t>DOI：10.1016/J.TIV.2025.106191</w:t>
            </w:r>
          </w:p>
        </w:tc>
        <w:tc>
          <w:tcPr>
            <w:tcW w:w="1180" w:type="dxa"/>
            <w:shd w:val="clear" w:color="auto" w:fill="auto"/>
            <w:vAlign w:val="center"/>
          </w:tcPr>
          <w:p w14:paraId="0E098D1E">
            <w:pPr>
              <w:keepNext w:val="0"/>
              <w:keepLines w:val="0"/>
              <w:widowControl/>
              <w:suppressLineNumbers w:val="0"/>
              <w:spacing w:before="0" w:beforeAutospacing="0" w:after="0" w:afterAutospacing="0" w:line="240" w:lineRule="auto"/>
              <w:ind w:left="0" w:right="0"/>
              <w:jc w:val="center"/>
              <w:rPr>
                <w:rFonts w:hint="default" w:ascii="宋体" w:hAnsi="宋体" w:eastAsia="宋体" w:cstheme="minorBidi"/>
                <w:sz w:val="24"/>
                <w:szCs w:val="22"/>
                <w:lang w:val="en-US" w:eastAsia="en-US" w:bidi="ar-SA"/>
              </w:rPr>
            </w:pPr>
            <w:r>
              <w:rPr>
                <w:rFonts w:hint="default" w:ascii="宋体" w:hAnsi="宋体" w:eastAsia="宋体"/>
                <w:b w:val="0"/>
                <w:sz w:val="16"/>
              </w:rPr>
              <w:t>2026</w:t>
            </w:r>
          </w:p>
        </w:tc>
        <w:tc>
          <w:tcPr>
            <w:tcW w:w="1355" w:type="dxa"/>
            <w:vAlign w:val="center"/>
          </w:tcPr>
          <w:p w14:paraId="2C21A0DA">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浙江大学；浙江康恩贝制药股份有限公司；内蒙古康恩贝药业有限公司</w:t>
            </w:r>
          </w:p>
        </w:tc>
        <w:tc>
          <w:tcPr>
            <w:tcW w:w="2174" w:type="dxa"/>
            <w:vAlign w:val="center"/>
          </w:tcPr>
          <w:p w14:paraId="7E55E874">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Xiu Chen, Xiaoyi Pan, Jieping Zhao, Huihui Jin（金辉辉）, Hengbin Zhang, Yongbiao Song（宋永标）, Hui Zhou（周慧）, Jianbiao Yao（姚建标）, Huidi Jiang（蒋惠娣）</w:t>
            </w:r>
          </w:p>
        </w:tc>
        <w:tc>
          <w:tcPr>
            <w:tcW w:w="680" w:type="dxa"/>
            <w:vAlign w:val="center"/>
          </w:tcPr>
          <w:p w14:paraId="3234C489">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已发表</w:t>
            </w:r>
          </w:p>
        </w:tc>
      </w:tr>
      <w:tr w14:paraId="7524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dxa"/>
            <w:vAlign w:val="center"/>
          </w:tcPr>
          <w:p w14:paraId="37EE8A2D">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13</w:t>
            </w:r>
          </w:p>
        </w:tc>
        <w:tc>
          <w:tcPr>
            <w:tcW w:w="1185" w:type="dxa"/>
            <w:vAlign w:val="center"/>
          </w:tcPr>
          <w:p w14:paraId="1B278E34">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论文</w:t>
            </w:r>
          </w:p>
        </w:tc>
        <w:tc>
          <w:tcPr>
            <w:tcW w:w="1800" w:type="dxa"/>
            <w:vAlign w:val="center"/>
          </w:tcPr>
          <w:p w14:paraId="5259A881">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Protective effects of Shexiang-Tongxin dropping pill against acute myocardial infarction in rats through inhibition of apoptosis and ERK/MAPK signaling pathways</w:t>
            </w:r>
          </w:p>
        </w:tc>
        <w:tc>
          <w:tcPr>
            <w:tcW w:w="800" w:type="dxa"/>
            <w:vAlign w:val="center"/>
          </w:tcPr>
          <w:p w14:paraId="320B80D4">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w:t>
            </w:r>
          </w:p>
        </w:tc>
        <w:tc>
          <w:tcPr>
            <w:tcW w:w="1220" w:type="dxa"/>
            <w:vAlign w:val="center"/>
          </w:tcPr>
          <w:p w14:paraId="4BDE344B">
            <w:pPr>
              <w:keepNext w:val="0"/>
              <w:keepLines w:val="0"/>
              <w:widowControl/>
              <w:suppressLineNumbers w:val="0"/>
              <w:spacing w:before="0" w:beforeAutospacing="0" w:after="0" w:afterAutospacing="0" w:line="240" w:lineRule="auto"/>
              <w:ind w:left="0" w:right="0"/>
              <w:jc w:val="center"/>
              <w:rPr>
                <w:rFonts w:hint="eastAsia" w:ascii="宋体" w:hAnsi="宋体" w:eastAsia="宋体"/>
                <w:b w:val="0"/>
                <w:sz w:val="16"/>
                <w:lang w:val="en-US" w:eastAsia="zh-CN"/>
              </w:rPr>
            </w:pPr>
            <w:r>
              <w:rPr>
                <w:rFonts w:hint="eastAsia" w:ascii="宋体" w:hAnsi="宋体" w:eastAsia="宋体"/>
                <w:b w:val="0"/>
                <w:sz w:val="16"/>
                <w:lang w:val="en-US" w:eastAsia="zh-CN"/>
              </w:rPr>
              <w:t>DOI：10.1016/j.heliyon.2024.e39939</w:t>
            </w:r>
          </w:p>
        </w:tc>
        <w:tc>
          <w:tcPr>
            <w:tcW w:w="1180" w:type="dxa"/>
            <w:shd w:val="clear" w:color="auto" w:fill="auto"/>
            <w:vAlign w:val="center"/>
          </w:tcPr>
          <w:p w14:paraId="17934116">
            <w:pPr>
              <w:keepNext w:val="0"/>
              <w:keepLines w:val="0"/>
              <w:widowControl/>
              <w:suppressLineNumbers w:val="0"/>
              <w:spacing w:before="0" w:beforeAutospacing="0" w:after="0" w:afterAutospacing="0" w:line="240" w:lineRule="auto"/>
              <w:ind w:left="0" w:right="0"/>
              <w:jc w:val="center"/>
              <w:rPr>
                <w:rFonts w:hint="default" w:ascii="宋体" w:hAnsi="宋体" w:eastAsia="宋体" w:cstheme="minorBidi"/>
                <w:sz w:val="24"/>
                <w:szCs w:val="22"/>
                <w:lang w:val="en-US" w:eastAsia="en-US" w:bidi="ar-SA"/>
              </w:rPr>
            </w:pPr>
            <w:r>
              <w:rPr>
                <w:rFonts w:hint="default" w:ascii="宋体" w:hAnsi="宋体" w:eastAsia="宋体"/>
                <w:b w:val="0"/>
                <w:sz w:val="16"/>
              </w:rPr>
              <w:t>2024</w:t>
            </w:r>
          </w:p>
        </w:tc>
        <w:tc>
          <w:tcPr>
            <w:tcW w:w="1355" w:type="dxa"/>
            <w:vAlign w:val="center"/>
          </w:tcPr>
          <w:p w14:paraId="275C653F">
            <w:pPr>
              <w:keepNext w:val="0"/>
              <w:keepLines w:val="0"/>
              <w:widowControl/>
              <w:suppressLineNumbers w:val="0"/>
              <w:spacing w:before="0" w:beforeAutospacing="0" w:after="0" w:afterAutospacing="0" w:line="240" w:lineRule="auto"/>
              <w:ind w:left="0" w:right="0"/>
              <w:jc w:val="center"/>
              <w:rPr>
                <w:rFonts w:hint="default" w:eastAsia="宋体"/>
                <w:lang w:val="en-US" w:eastAsia="zh-CN"/>
              </w:rPr>
            </w:pPr>
            <w:r>
              <w:rPr>
                <w:rFonts w:hint="default" w:ascii="宋体" w:hAnsi="宋体" w:eastAsia="宋体"/>
                <w:b w:val="0"/>
                <w:sz w:val="16"/>
              </w:rPr>
              <w:t>天津中医药大学；浙江大学；内蒙古康恩贝药业有限公司</w:t>
            </w:r>
            <w:r>
              <w:rPr>
                <w:rFonts w:hint="eastAsia"/>
                <w:b w:val="0"/>
                <w:sz w:val="16"/>
                <w:lang w:eastAsia="zh-CN"/>
              </w:rPr>
              <w:t>；</w:t>
            </w:r>
            <w:r>
              <w:rPr>
                <w:rFonts w:hint="eastAsia"/>
                <w:b w:val="0"/>
                <w:sz w:val="16"/>
                <w:lang w:val="en-US" w:eastAsia="zh-CN"/>
              </w:rPr>
              <w:t>浙江大学金华研究院</w:t>
            </w:r>
          </w:p>
        </w:tc>
        <w:tc>
          <w:tcPr>
            <w:tcW w:w="2174" w:type="dxa"/>
            <w:vAlign w:val="center"/>
          </w:tcPr>
          <w:p w14:paraId="62A8CF8C">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Jun Yan, Hanbing Liu, Jiaxin Shang, Qianqian Fang, Jianfeng Ye（叶剑锋）, Xiaoyan Lu（陆晓燕）, Xiaohui Fan（范骁辉）</w:t>
            </w:r>
          </w:p>
        </w:tc>
        <w:tc>
          <w:tcPr>
            <w:tcW w:w="680" w:type="dxa"/>
            <w:vAlign w:val="center"/>
          </w:tcPr>
          <w:p w14:paraId="77F400FE">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已发表</w:t>
            </w:r>
          </w:p>
        </w:tc>
      </w:tr>
      <w:tr w14:paraId="6357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dxa"/>
            <w:vAlign w:val="center"/>
          </w:tcPr>
          <w:p w14:paraId="4F85E729">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14</w:t>
            </w:r>
          </w:p>
        </w:tc>
        <w:tc>
          <w:tcPr>
            <w:tcW w:w="1185" w:type="dxa"/>
            <w:vAlign w:val="center"/>
          </w:tcPr>
          <w:p w14:paraId="09E552A5">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论文</w:t>
            </w:r>
          </w:p>
        </w:tc>
        <w:tc>
          <w:tcPr>
            <w:tcW w:w="1800" w:type="dxa"/>
            <w:vAlign w:val="center"/>
          </w:tcPr>
          <w:p w14:paraId="634C3D31">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Shexiang Tongxin Dropping Pill Protects Against Chronic Heart Failure in Mice via Inhibiting the ERK/MAPK and TGF-β Signaling Pathways</w:t>
            </w:r>
          </w:p>
        </w:tc>
        <w:tc>
          <w:tcPr>
            <w:tcW w:w="800" w:type="dxa"/>
            <w:vAlign w:val="center"/>
          </w:tcPr>
          <w:p w14:paraId="0426C809">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w:t>
            </w:r>
          </w:p>
        </w:tc>
        <w:tc>
          <w:tcPr>
            <w:tcW w:w="1220" w:type="dxa"/>
            <w:vAlign w:val="center"/>
          </w:tcPr>
          <w:p w14:paraId="0D190783">
            <w:pPr>
              <w:keepNext w:val="0"/>
              <w:keepLines w:val="0"/>
              <w:widowControl/>
              <w:suppressLineNumbers w:val="0"/>
              <w:spacing w:before="0" w:beforeAutospacing="0" w:after="0" w:afterAutospacing="0" w:line="240" w:lineRule="auto"/>
              <w:ind w:left="0" w:right="0"/>
              <w:jc w:val="center"/>
              <w:rPr>
                <w:rFonts w:hint="eastAsia" w:ascii="宋体" w:hAnsi="宋体" w:eastAsia="宋体"/>
                <w:b w:val="0"/>
                <w:sz w:val="16"/>
                <w:lang w:val="en-US" w:eastAsia="zh-CN"/>
              </w:rPr>
            </w:pPr>
            <w:r>
              <w:rPr>
                <w:rFonts w:hint="eastAsia" w:ascii="宋体" w:hAnsi="宋体" w:eastAsia="宋体"/>
                <w:b w:val="0"/>
                <w:sz w:val="16"/>
                <w:lang w:val="en-US" w:eastAsia="zh-CN"/>
              </w:rPr>
              <w:t>DOI：10.3389/FPHAR.2021.796354</w:t>
            </w:r>
          </w:p>
        </w:tc>
        <w:tc>
          <w:tcPr>
            <w:tcW w:w="1180" w:type="dxa"/>
            <w:shd w:val="clear" w:color="auto" w:fill="auto"/>
            <w:vAlign w:val="center"/>
          </w:tcPr>
          <w:p w14:paraId="79F28EC4">
            <w:pPr>
              <w:keepNext w:val="0"/>
              <w:keepLines w:val="0"/>
              <w:widowControl/>
              <w:suppressLineNumbers w:val="0"/>
              <w:spacing w:before="0" w:beforeAutospacing="0" w:after="0" w:afterAutospacing="0" w:line="240" w:lineRule="auto"/>
              <w:ind w:left="0" w:right="0"/>
              <w:jc w:val="center"/>
              <w:rPr>
                <w:rFonts w:hint="default" w:ascii="宋体" w:hAnsi="宋体" w:eastAsia="宋体" w:cstheme="minorBidi"/>
                <w:sz w:val="24"/>
                <w:szCs w:val="22"/>
                <w:lang w:val="en-US" w:eastAsia="en-US" w:bidi="ar-SA"/>
              </w:rPr>
            </w:pPr>
            <w:r>
              <w:rPr>
                <w:rFonts w:hint="default" w:ascii="宋体" w:hAnsi="宋体" w:eastAsia="宋体"/>
                <w:b w:val="0"/>
                <w:sz w:val="16"/>
              </w:rPr>
              <w:t>2021</w:t>
            </w:r>
          </w:p>
        </w:tc>
        <w:tc>
          <w:tcPr>
            <w:tcW w:w="1355" w:type="dxa"/>
            <w:vAlign w:val="center"/>
          </w:tcPr>
          <w:p w14:paraId="40BC7BA4">
            <w:pPr>
              <w:keepNext w:val="0"/>
              <w:keepLines w:val="0"/>
              <w:widowControl/>
              <w:suppressLineNumbers w:val="0"/>
              <w:spacing w:before="0" w:beforeAutospacing="0" w:after="0" w:afterAutospacing="0" w:line="240" w:lineRule="auto"/>
              <w:ind w:left="0" w:right="0"/>
              <w:jc w:val="center"/>
              <w:rPr>
                <w:rFonts w:hint="default" w:eastAsia="宋体"/>
                <w:lang w:val="en-US" w:eastAsia="zh-CN"/>
              </w:rPr>
            </w:pPr>
            <w:r>
              <w:rPr>
                <w:rFonts w:hint="default" w:ascii="宋体" w:hAnsi="宋体" w:eastAsia="宋体"/>
                <w:b w:val="0"/>
                <w:sz w:val="16"/>
              </w:rPr>
              <w:t>天津中医药大学；内蒙古康恩贝药业有限公司；浙江康恩贝制药股份有限公司；浙江大学</w:t>
            </w:r>
            <w:r>
              <w:rPr>
                <w:rFonts w:hint="eastAsia"/>
                <w:b w:val="0"/>
                <w:sz w:val="16"/>
                <w:lang w:eastAsia="zh-CN"/>
              </w:rPr>
              <w:t>；</w:t>
            </w:r>
            <w:r>
              <w:rPr>
                <w:rFonts w:hint="eastAsia"/>
                <w:b w:val="0"/>
                <w:sz w:val="16"/>
                <w:lang w:val="en-US" w:eastAsia="zh-CN"/>
              </w:rPr>
              <w:t>西湖实验室（生命科学和生物医药浙江省实验室）</w:t>
            </w:r>
          </w:p>
        </w:tc>
        <w:tc>
          <w:tcPr>
            <w:tcW w:w="2174" w:type="dxa"/>
            <w:vAlign w:val="center"/>
          </w:tcPr>
          <w:p w14:paraId="33BBBDE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Shuying Zhang, Hanbing Liu, Qianqian Fang, Houhong He, Xiaoyan Lu（陆晓燕）, Yi Wang, Xiaohui Fan（范骁辉）</w:t>
            </w:r>
          </w:p>
        </w:tc>
        <w:tc>
          <w:tcPr>
            <w:tcW w:w="680" w:type="dxa"/>
            <w:vAlign w:val="center"/>
          </w:tcPr>
          <w:p w14:paraId="6A9FF78F">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已发表</w:t>
            </w:r>
          </w:p>
        </w:tc>
      </w:tr>
      <w:tr w14:paraId="10D9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dxa"/>
            <w:vAlign w:val="center"/>
          </w:tcPr>
          <w:p w14:paraId="5F9E504D">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15</w:t>
            </w:r>
          </w:p>
        </w:tc>
        <w:tc>
          <w:tcPr>
            <w:tcW w:w="1185" w:type="dxa"/>
            <w:vAlign w:val="center"/>
          </w:tcPr>
          <w:p w14:paraId="186A276F">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论文</w:t>
            </w:r>
          </w:p>
        </w:tc>
        <w:tc>
          <w:tcPr>
            <w:tcW w:w="1800" w:type="dxa"/>
            <w:vAlign w:val="center"/>
          </w:tcPr>
          <w:p w14:paraId="6145CDBF">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Efficacy and compatibility mechanism of bear bile powder in Shexiang Tongxin dropping pills for acute myocardial infarction treatment</w:t>
            </w:r>
          </w:p>
        </w:tc>
        <w:tc>
          <w:tcPr>
            <w:tcW w:w="800" w:type="dxa"/>
            <w:vAlign w:val="center"/>
          </w:tcPr>
          <w:p w14:paraId="0E34BFAD">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w:t>
            </w:r>
          </w:p>
        </w:tc>
        <w:tc>
          <w:tcPr>
            <w:tcW w:w="1220" w:type="dxa"/>
            <w:vAlign w:val="center"/>
          </w:tcPr>
          <w:p w14:paraId="5BD9400D">
            <w:pPr>
              <w:keepNext w:val="0"/>
              <w:keepLines w:val="0"/>
              <w:widowControl/>
              <w:suppressLineNumbers w:val="0"/>
              <w:spacing w:before="0" w:beforeAutospacing="0" w:after="0" w:afterAutospacing="0" w:line="240" w:lineRule="auto"/>
              <w:ind w:left="0" w:right="0"/>
              <w:jc w:val="center"/>
              <w:rPr>
                <w:rFonts w:hint="eastAsia" w:ascii="宋体" w:hAnsi="宋体" w:eastAsia="宋体"/>
                <w:b w:val="0"/>
                <w:sz w:val="16"/>
                <w:lang w:val="en-US" w:eastAsia="zh-CN"/>
              </w:rPr>
            </w:pPr>
            <w:r>
              <w:rPr>
                <w:rFonts w:hint="eastAsia" w:ascii="宋体" w:hAnsi="宋体" w:eastAsia="宋体"/>
                <w:b w:val="0"/>
                <w:sz w:val="16"/>
                <w:lang w:val="en-US" w:eastAsia="zh-CN"/>
              </w:rPr>
              <w:t>DOI：10.1186/S13020-025-01060-X</w:t>
            </w:r>
          </w:p>
        </w:tc>
        <w:tc>
          <w:tcPr>
            <w:tcW w:w="1180" w:type="dxa"/>
            <w:shd w:val="clear" w:color="auto" w:fill="auto"/>
            <w:vAlign w:val="center"/>
          </w:tcPr>
          <w:p w14:paraId="18E0E751">
            <w:pPr>
              <w:keepNext w:val="0"/>
              <w:keepLines w:val="0"/>
              <w:widowControl/>
              <w:suppressLineNumbers w:val="0"/>
              <w:spacing w:before="0" w:beforeAutospacing="0" w:after="0" w:afterAutospacing="0" w:line="240" w:lineRule="auto"/>
              <w:ind w:left="0" w:right="0"/>
              <w:jc w:val="center"/>
              <w:rPr>
                <w:rFonts w:hint="default" w:ascii="宋体" w:hAnsi="宋体" w:eastAsia="宋体" w:cstheme="minorBidi"/>
                <w:sz w:val="24"/>
                <w:szCs w:val="22"/>
                <w:lang w:val="en-US" w:eastAsia="en-US" w:bidi="ar-SA"/>
              </w:rPr>
            </w:pPr>
            <w:r>
              <w:rPr>
                <w:rFonts w:hint="default" w:ascii="宋体" w:hAnsi="宋体" w:eastAsia="宋体"/>
                <w:b w:val="0"/>
                <w:sz w:val="16"/>
              </w:rPr>
              <w:t>2025</w:t>
            </w:r>
          </w:p>
        </w:tc>
        <w:tc>
          <w:tcPr>
            <w:tcW w:w="1355" w:type="dxa"/>
            <w:vAlign w:val="center"/>
          </w:tcPr>
          <w:p w14:paraId="210B0D9A">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浙江康恩贝制药股份有限公司；浙江大学</w:t>
            </w:r>
          </w:p>
        </w:tc>
        <w:tc>
          <w:tcPr>
            <w:tcW w:w="2174" w:type="dxa"/>
            <w:vAlign w:val="center"/>
          </w:tcPr>
          <w:p w14:paraId="5D6D0224">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Yu Luo, Fangmin Zhang, Lidan Zhu, Jianfeng Ye（叶剑锋）, Hong-ye Pan, Xiaoyan Lu（陆晓燕）, Xiaohui Fan（范骁辉）</w:t>
            </w:r>
          </w:p>
        </w:tc>
        <w:tc>
          <w:tcPr>
            <w:tcW w:w="680" w:type="dxa"/>
            <w:vAlign w:val="center"/>
          </w:tcPr>
          <w:p w14:paraId="6B1B2698">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6"/>
              </w:rPr>
              <w:t>已发表</w:t>
            </w:r>
          </w:p>
        </w:tc>
      </w:tr>
    </w:tbl>
    <w:p w14:paraId="2FE21EFD"/>
    <w:p w14:paraId="38762F39">
      <w:pPr>
        <w:jc w:val="left"/>
      </w:pPr>
      <w:r>
        <w:rPr>
          <w:rFonts w:ascii="黑体" w:hAnsi="黑体" w:eastAsia="黑体"/>
          <w:b/>
          <w:sz w:val="28"/>
        </w:rPr>
        <w:t>四、主要完成人</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850"/>
        <w:gridCol w:w="640"/>
        <w:gridCol w:w="2770"/>
        <w:gridCol w:w="1700"/>
        <w:gridCol w:w="2920"/>
        <w:gridCol w:w="1496"/>
      </w:tblGrid>
      <w:tr w14:paraId="377B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Pr>
          <w:p w14:paraId="31BCE501">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sz w:val="20"/>
              </w:rPr>
              <w:t>排名</w:t>
            </w:r>
          </w:p>
        </w:tc>
        <w:tc>
          <w:tcPr>
            <w:tcW w:w="850" w:type="dxa"/>
          </w:tcPr>
          <w:p w14:paraId="7D1959DA">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sz w:val="20"/>
              </w:rPr>
              <w:t>姓名</w:t>
            </w:r>
          </w:p>
        </w:tc>
        <w:tc>
          <w:tcPr>
            <w:tcW w:w="640" w:type="dxa"/>
          </w:tcPr>
          <w:p w14:paraId="11A60FFF">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sz w:val="20"/>
              </w:rPr>
              <w:t>性别</w:t>
            </w:r>
          </w:p>
        </w:tc>
        <w:tc>
          <w:tcPr>
            <w:tcW w:w="2770" w:type="dxa"/>
          </w:tcPr>
          <w:p w14:paraId="75CFD9B5">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sz w:val="20"/>
              </w:rPr>
              <w:t>工作单位</w:t>
            </w:r>
          </w:p>
        </w:tc>
        <w:tc>
          <w:tcPr>
            <w:tcW w:w="1700" w:type="dxa"/>
          </w:tcPr>
          <w:p w14:paraId="2C38273B">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sz w:val="20"/>
              </w:rPr>
              <w:t>技术职称</w:t>
            </w:r>
          </w:p>
        </w:tc>
        <w:tc>
          <w:tcPr>
            <w:tcW w:w="2920" w:type="dxa"/>
          </w:tcPr>
          <w:p w14:paraId="62727EB5">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sz w:val="20"/>
              </w:rPr>
              <w:t>行政职务</w:t>
            </w:r>
          </w:p>
        </w:tc>
        <w:tc>
          <w:tcPr>
            <w:tcW w:w="1496" w:type="dxa"/>
          </w:tcPr>
          <w:p w14:paraId="51A1CDDA">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sz w:val="20"/>
              </w:rPr>
              <w:t>现从事专业</w:t>
            </w:r>
          </w:p>
        </w:tc>
      </w:tr>
      <w:tr w14:paraId="5782B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14:paraId="671AE6BB">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1</w:t>
            </w:r>
          </w:p>
        </w:tc>
        <w:tc>
          <w:tcPr>
            <w:tcW w:w="850" w:type="dxa"/>
            <w:vAlign w:val="center"/>
          </w:tcPr>
          <w:p w14:paraId="1C44F338">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叶剑锋</w:t>
            </w:r>
          </w:p>
        </w:tc>
        <w:tc>
          <w:tcPr>
            <w:tcW w:w="640" w:type="dxa"/>
            <w:vAlign w:val="center"/>
          </w:tcPr>
          <w:p w14:paraId="20ED2628">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男</w:t>
            </w:r>
          </w:p>
        </w:tc>
        <w:tc>
          <w:tcPr>
            <w:tcW w:w="2770" w:type="dxa"/>
            <w:vAlign w:val="center"/>
          </w:tcPr>
          <w:p w14:paraId="26F79F07">
            <w:pPr>
              <w:keepNext w:val="0"/>
              <w:keepLines w:val="0"/>
              <w:widowControl/>
              <w:suppressLineNumbers w:val="0"/>
              <w:spacing w:before="0" w:beforeAutospacing="0" w:after="0" w:afterAutospacing="0" w:line="240" w:lineRule="auto"/>
              <w:ind w:left="0" w:right="0"/>
              <w:jc w:val="center"/>
              <w:rPr>
                <w:rFonts w:hint="eastAsia" w:ascii="宋体" w:hAnsi="宋体" w:eastAsia="宋体"/>
                <w:b w:val="0"/>
                <w:sz w:val="18"/>
                <w:lang w:val="en-US" w:eastAsia="zh-CN"/>
              </w:rPr>
            </w:pPr>
            <w:r>
              <w:rPr>
                <w:rFonts w:hint="default" w:ascii="宋体" w:hAnsi="宋体" w:eastAsia="宋体"/>
                <w:b w:val="0"/>
                <w:sz w:val="18"/>
              </w:rPr>
              <w:t>浙江康恩贝制药股份有限公司</w:t>
            </w:r>
            <w:r>
              <w:rPr>
                <w:rFonts w:hint="eastAsia"/>
                <w:b w:val="0"/>
                <w:sz w:val="18"/>
                <w:lang w:val="en-US" w:eastAsia="zh-CN"/>
              </w:rPr>
              <w:t>/</w:t>
            </w:r>
          </w:p>
          <w:p w14:paraId="7B240591">
            <w:pPr>
              <w:keepNext w:val="0"/>
              <w:keepLines w:val="0"/>
              <w:widowControl/>
              <w:suppressLineNumbers w:val="0"/>
              <w:spacing w:before="0" w:beforeAutospacing="0" w:after="0" w:afterAutospacing="0" w:line="240" w:lineRule="auto"/>
              <w:ind w:left="0" w:right="0"/>
              <w:jc w:val="center"/>
              <w:rPr>
                <w:rFonts w:hint="eastAsia" w:ascii="宋体" w:hAnsi="宋体" w:eastAsia="宋体"/>
                <w:b w:val="0"/>
                <w:sz w:val="18"/>
                <w:lang w:val="en-US" w:eastAsia="zh-CN"/>
              </w:rPr>
            </w:pPr>
            <w:r>
              <w:rPr>
                <w:rFonts w:hint="eastAsia"/>
                <w:b w:val="0"/>
                <w:sz w:val="18"/>
                <w:lang w:val="en-US" w:eastAsia="zh-CN"/>
              </w:rPr>
              <w:t>内蒙古康恩贝药业有限公司</w:t>
            </w:r>
          </w:p>
        </w:tc>
        <w:tc>
          <w:tcPr>
            <w:tcW w:w="1700" w:type="dxa"/>
            <w:vAlign w:val="center"/>
          </w:tcPr>
          <w:p w14:paraId="7B5D9747">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教授级高级工程师</w:t>
            </w:r>
          </w:p>
        </w:tc>
        <w:tc>
          <w:tcPr>
            <w:tcW w:w="2920" w:type="dxa"/>
            <w:vAlign w:val="center"/>
          </w:tcPr>
          <w:p w14:paraId="3C84486C">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副总裁</w:t>
            </w:r>
          </w:p>
        </w:tc>
        <w:tc>
          <w:tcPr>
            <w:tcW w:w="1496" w:type="dxa"/>
            <w:vAlign w:val="center"/>
          </w:tcPr>
          <w:p w14:paraId="405B88DF">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药学</w:t>
            </w:r>
          </w:p>
        </w:tc>
      </w:tr>
      <w:tr w14:paraId="21827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Pr>
          <w:p w14:paraId="7674597E">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2</w:t>
            </w:r>
          </w:p>
        </w:tc>
        <w:tc>
          <w:tcPr>
            <w:tcW w:w="850" w:type="dxa"/>
          </w:tcPr>
          <w:p w14:paraId="3FBF5BF7">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范骁辉</w:t>
            </w:r>
          </w:p>
        </w:tc>
        <w:tc>
          <w:tcPr>
            <w:tcW w:w="640" w:type="dxa"/>
          </w:tcPr>
          <w:p w14:paraId="56FE4D4A">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男</w:t>
            </w:r>
          </w:p>
        </w:tc>
        <w:tc>
          <w:tcPr>
            <w:tcW w:w="2770" w:type="dxa"/>
          </w:tcPr>
          <w:p w14:paraId="27C77AE7">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浙江大学</w:t>
            </w:r>
          </w:p>
        </w:tc>
        <w:tc>
          <w:tcPr>
            <w:tcW w:w="1700" w:type="dxa"/>
          </w:tcPr>
          <w:p w14:paraId="580BF815">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教授</w:t>
            </w:r>
          </w:p>
        </w:tc>
        <w:tc>
          <w:tcPr>
            <w:tcW w:w="2920" w:type="dxa"/>
          </w:tcPr>
          <w:p w14:paraId="01C5B82D">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浙江中医药大学副校长</w:t>
            </w:r>
          </w:p>
        </w:tc>
        <w:tc>
          <w:tcPr>
            <w:tcW w:w="1496" w:type="dxa"/>
          </w:tcPr>
          <w:p w14:paraId="0BE56412">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中药学</w:t>
            </w:r>
          </w:p>
        </w:tc>
      </w:tr>
      <w:tr w14:paraId="0874B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Pr>
          <w:p w14:paraId="1ED0650B">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3</w:t>
            </w:r>
          </w:p>
        </w:tc>
        <w:tc>
          <w:tcPr>
            <w:tcW w:w="850" w:type="dxa"/>
          </w:tcPr>
          <w:p w14:paraId="5E5B914D">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姚建标</w:t>
            </w:r>
          </w:p>
        </w:tc>
        <w:tc>
          <w:tcPr>
            <w:tcW w:w="640" w:type="dxa"/>
          </w:tcPr>
          <w:p w14:paraId="12ADE997">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男</w:t>
            </w:r>
          </w:p>
        </w:tc>
        <w:tc>
          <w:tcPr>
            <w:tcW w:w="2770" w:type="dxa"/>
          </w:tcPr>
          <w:p w14:paraId="6744E424">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浙江康恩贝制药股份有限公司</w:t>
            </w:r>
          </w:p>
        </w:tc>
        <w:tc>
          <w:tcPr>
            <w:tcW w:w="1700" w:type="dxa"/>
          </w:tcPr>
          <w:p w14:paraId="7BAF5658">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正高级工程师</w:t>
            </w:r>
          </w:p>
        </w:tc>
        <w:tc>
          <w:tcPr>
            <w:tcW w:w="2920" w:type="dxa"/>
          </w:tcPr>
          <w:p w14:paraId="3180D28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药品研发中心副总经理</w:t>
            </w:r>
          </w:p>
        </w:tc>
        <w:tc>
          <w:tcPr>
            <w:tcW w:w="1496" w:type="dxa"/>
          </w:tcPr>
          <w:p w14:paraId="780EC3FA">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药品研发</w:t>
            </w:r>
          </w:p>
        </w:tc>
      </w:tr>
      <w:tr w14:paraId="569D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Pr>
          <w:p w14:paraId="42D2D86E">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4</w:t>
            </w:r>
          </w:p>
        </w:tc>
        <w:tc>
          <w:tcPr>
            <w:tcW w:w="850" w:type="dxa"/>
          </w:tcPr>
          <w:p w14:paraId="2763E242">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蒋惠娣</w:t>
            </w:r>
          </w:p>
        </w:tc>
        <w:tc>
          <w:tcPr>
            <w:tcW w:w="640" w:type="dxa"/>
          </w:tcPr>
          <w:p w14:paraId="1962B0DC">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女</w:t>
            </w:r>
          </w:p>
        </w:tc>
        <w:tc>
          <w:tcPr>
            <w:tcW w:w="2770" w:type="dxa"/>
          </w:tcPr>
          <w:p w14:paraId="11A8C64A">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浙江大学</w:t>
            </w:r>
          </w:p>
        </w:tc>
        <w:tc>
          <w:tcPr>
            <w:tcW w:w="1700" w:type="dxa"/>
          </w:tcPr>
          <w:p w14:paraId="1738D8C5">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教授</w:t>
            </w:r>
          </w:p>
        </w:tc>
        <w:tc>
          <w:tcPr>
            <w:tcW w:w="2920" w:type="dxa"/>
          </w:tcPr>
          <w:p w14:paraId="143642A1">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无</w:t>
            </w:r>
          </w:p>
        </w:tc>
        <w:tc>
          <w:tcPr>
            <w:tcW w:w="1496" w:type="dxa"/>
          </w:tcPr>
          <w:p w14:paraId="69DB3CF7">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药学</w:t>
            </w:r>
          </w:p>
        </w:tc>
      </w:tr>
      <w:tr w14:paraId="0DAD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Pr>
          <w:p w14:paraId="01779579">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5</w:t>
            </w:r>
          </w:p>
        </w:tc>
        <w:tc>
          <w:tcPr>
            <w:tcW w:w="850" w:type="dxa"/>
          </w:tcPr>
          <w:p w14:paraId="601E2509">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麻懿文</w:t>
            </w:r>
          </w:p>
        </w:tc>
        <w:tc>
          <w:tcPr>
            <w:tcW w:w="640" w:type="dxa"/>
          </w:tcPr>
          <w:p w14:paraId="4365417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女</w:t>
            </w:r>
          </w:p>
        </w:tc>
        <w:tc>
          <w:tcPr>
            <w:tcW w:w="2770" w:type="dxa"/>
          </w:tcPr>
          <w:p w14:paraId="16106A45">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内蒙古康恩贝药业有限公司</w:t>
            </w:r>
          </w:p>
        </w:tc>
        <w:tc>
          <w:tcPr>
            <w:tcW w:w="1700" w:type="dxa"/>
          </w:tcPr>
          <w:p w14:paraId="39CB901C">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高级工程师</w:t>
            </w:r>
          </w:p>
        </w:tc>
        <w:tc>
          <w:tcPr>
            <w:tcW w:w="2920" w:type="dxa"/>
          </w:tcPr>
          <w:p w14:paraId="5228154C">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总经理助理</w:t>
            </w:r>
          </w:p>
        </w:tc>
        <w:tc>
          <w:tcPr>
            <w:tcW w:w="1496" w:type="dxa"/>
          </w:tcPr>
          <w:p w14:paraId="4EECD00A">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药学</w:t>
            </w:r>
          </w:p>
        </w:tc>
      </w:tr>
      <w:tr w14:paraId="2452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Pr>
          <w:p w14:paraId="5B049FA4">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6</w:t>
            </w:r>
          </w:p>
        </w:tc>
        <w:tc>
          <w:tcPr>
            <w:tcW w:w="850" w:type="dxa"/>
          </w:tcPr>
          <w:p w14:paraId="32DC4861">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金辉辉</w:t>
            </w:r>
          </w:p>
        </w:tc>
        <w:tc>
          <w:tcPr>
            <w:tcW w:w="640" w:type="dxa"/>
          </w:tcPr>
          <w:p w14:paraId="22F415A0">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女</w:t>
            </w:r>
          </w:p>
        </w:tc>
        <w:tc>
          <w:tcPr>
            <w:tcW w:w="2770" w:type="dxa"/>
          </w:tcPr>
          <w:p w14:paraId="24AAEE45">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浙江康恩贝制药股份有限公司</w:t>
            </w:r>
          </w:p>
        </w:tc>
        <w:tc>
          <w:tcPr>
            <w:tcW w:w="1700" w:type="dxa"/>
          </w:tcPr>
          <w:p w14:paraId="602BAAFB">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高级工程师</w:t>
            </w:r>
          </w:p>
        </w:tc>
        <w:tc>
          <w:tcPr>
            <w:tcW w:w="2920" w:type="dxa"/>
          </w:tcPr>
          <w:p w14:paraId="7B1FE89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药品研发中心药学部副部长</w:t>
            </w:r>
          </w:p>
        </w:tc>
        <w:tc>
          <w:tcPr>
            <w:tcW w:w="1496" w:type="dxa"/>
          </w:tcPr>
          <w:p w14:paraId="683F41E5">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药物研发</w:t>
            </w:r>
          </w:p>
        </w:tc>
      </w:tr>
      <w:tr w14:paraId="0690B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Pr>
          <w:p w14:paraId="61617342">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7</w:t>
            </w:r>
          </w:p>
        </w:tc>
        <w:tc>
          <w:tcPr>
            <w:tcW w:w="850" w:type="dxa"/>
          </w:tcPr>
          <w:p w14:paraId="75DA800E">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金朱明</w:t>
            </w:r>
          </w:p>
        </w:tc>
        <w:tc>
          <w:tcPr>
            <w:tcW w:w="640" w:type="dxa"/>
          </w:tcPr>
          <w:p w14:paraId="0CCFC233">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男</w:t>
            </w:r>
          </w:p>
        </w:tc>
        <w:tc>
          <w:tcPr>
            <w:tcW w:w="2770" w:type="dxa"/>
          </w:tcPr>
          <w:p w14:paraId="7B21C4E4">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浙江康恩贝制药股份有限公司</w:t>
            </w:r>
          </w:p>
        </w:tc>
        <w:tc>
          <w:tcPr>
            <w:tcW w:w="1700" w:type="dxa"/>
          </w:tcPr>
          <w:p w14:paraId="718028CA">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高级工程师</w:t>
            </w:r>
          </w:p>
        </w:tc>
        <w:tc>
          <w:tcPr>
            <w:tcW w:w="2920" w:type="dxa"/>
          </w:tcPr>
          <w:p w14:paraId="333E3CFA">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药品研发中心副总经理</w:t>
            </w:r>
          </w:p>
        </w:tc>
        <w:tc>
          <w:tcPr>
            <w:tcW w:w="1496" w:type="dxa"/>
          </w:tcPr>
          <w:p w14:paraId="17AC3DAE">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药物研发</w:t>
            </w:r>
          </w:p>
        </w:tc>
      </w:tr>
      <w:tr w14:paraId="199D7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Pr>
          <w:p w14:paraId="1A1AAEFA">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8</w:t>
            </w:r>
          </w:p>
        </w:tc>
        <w:tc>
          <w:tcPr>
            <w:tcW w:w="850" w:type="dxa"/>
          </w:tcPr>
          <w:p w14:paraId="2DA17B0E">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陆晓燕</w:t>
            </w:r>
          </w:p>
        </w:tc>
        <w:tc>
          <w:tcPr>
            <w:tcW w:w="640" w:type="dxa"/>
          </w:tcPr>
          <w:p w14:paraId="25A115DA">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女</w:t>
            </w:r>
          </w:p>
        </w:tc>
        <w:tc>
          <w:tcPr>
            <w:tcW w:w="2770" w:type="dxa"/>
          </w:tcPr>
          <w:p w14:paraId="4A04403C">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浙江大学</w:t>
            </w:r>
          </w:p>
        </w:tc>
        <w:tc>
          <w:tcPr>
            <w:tcW w:w="1700" w:type="dxa"/>
          </w:tcPr>
          <w:p w14:paraId="48454D8F">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教授</w:t>
            </w:r>
          </w:p>
        </w:tc>
        <w:tc>
          <w:tcPr>
            <w:tcW w:w="2920" w:type="dxa"/>
          </w:tcPr>
          <w:p w14:paraId="303FCC5D">
            <w:pPr>
              <w:keepNext w:val="0"/>
              <w:keepLines w:val="0"/>
              <w:widowControl/>
              <w:suppressLineNumbers w:val="0"/>
              <w:spacing w:before="0" w:beforeAutospacing="0" w:after="0" w:afterAutospacing="0" w:line="240" w:lineRule="auto"/>
              <w:ind w:left="0" w:right="0"/>
              <w:jc w:val="center"/>
              <w:rPr>
                <w:rFonts w:hint="default"/>
              </w:rPr>
            </w:pPr>
            <w:r>
              <w:rPr>
                <w:rFonts w:hint="eastAsia" w:ascii="宋体" w:hAnsi="宋体" w:eastAsia="宋体"/>
                <w:b w:val="0"/>
                <w:sz w:val="18"/>
              </w:rPr>
              <w:t>浙江大学药物信息学研究所</w:t>
            </w:r>
            <w:r>
              <w:rPr>
                <w:rFonts w:hint="default" w:ascii="宋体" w:hAnsi="宋体" w:eastAsia="宋体"/>
                <w:b w:val="0"/>
                <w:sz w:val="18"/>
              </w:rPr>
              <w:t>副所长</w:t>
            </w:r>
          </w:p>
        </w:tc>
        <w:tc>
          <w:tcPr>
            <w:tcW w:w="1496" w:type="dxa"/>
          </w:tcPr>
          <w:p w14:paraId="1FCA5001">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中药药理与毒理</w:t>
            </w:r>
          </w:p>
        </w:tc>
      </w:tr>
      <w:tr w14:paraId="3DB7B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Pr>
          <w:p w14:paraId="468406FF">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9</w:t>
            </w:r>
          </w:p>
        </w:tc>
        <w:tc>
          <w:tcPr>
            <w:tcW w:w="850" w:type="dxa"/>
          </w:tcPr>
          <w:p w14:paraId="39124178">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周慧</w:t>
            </w:r>
          </w:p>
        </w:tc>
        <w:tc>
          <w:tcPr>
            <w:tcW w:w="640" w:type="dxa"/>
          </w:tcPr>
          <w:p w14:paraId="1D6843D4">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女</w:t>
            </w:r>
          </w:p>
        </w:tc>
        <w:tc>
          <w:tcPr>
            <w:tcW w:w="2770" w:type="dxa"/>
          </w:tcPr>
          <w:p w14:paraId="56BE8878">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浙江大学</w:t>
            </w:r>
          </w:p>
        </w:tc>
        <w:tc>
          <w:tcPr>
            <w:tcW w:w="1700" w:type="dxa"/>
          </w:tcPr>
          <w:p w14:paraId="321883C0">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副教授</w:t>
            </w:r>
          </w:p>
        </w:tc>
        <w:tc>
          <w:tcPr>
            <w:tcW w:w="2920" w:type="dxa"/>
          </w:tcPr>
          <w:p w14:paraId="680AA173">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无</w:t>
            </w:r>
          </w:p>
        </w:tc>
        <w:tc>
          <w:tcPr>
            <w:tcW w:w="1496" w:type="dxa"/>
          </w:tcPr>
          <w:p w14:paraId="3F677718">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药学</w:t>
            </w:r>
          </w:p>
        </w:tc>
      </w:tr>
      <w:tr w14:paraId="0A13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Pr>
          <w:p w14:paraId="313EB0F9">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10</w:t>
            </w:r>
          </w:p>
        </w:tc>
        <w:tc>
          <w:tcPr>
            <w:tcW w:w="850" w:type="dxa"/>
          </w:tcPr>
          <w:p w14:paraId="3CF7917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胡江宁</w:t>
            </w:r>
          </w:p>
        </w:tc>
        <w:tc>
          <w:tcPr>
            <w:tcW w:w="640" w:type="dxa"/>
          </w:tcPr>
          <w:p w14:paraId="1AD5D9B4">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男</w:t>
            </w:r>
          </w:p>
        </w:tc>
        <w:tc>
          <w:tcPr>
            <w:tcW w:w="2770" w:type="dxa"/>
          </w:tcPr>
          <w:p w14:paraId="6A609B8B">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浙江康恩贝制药股份有限公司</w:t>
            </w:r>
          </w:p>
        </w:tc>
        <w:tc>
          <w:tcPr>
            <w:tcW w:w="1700" w:type="dxa"/>
          </w:tcPr>
          <w:p w14:paraId="7BC82C8F">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正高级工程师</w:t>
            </w:r>
          </w:p>
        </w:tc>
        <w:tc>
          <w:tcPr>
            <w:tcW w:w="2920" w:type="dxa"/>
          </w:tcPr>
          <w:p w14:paraId="56098EF1">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药品研发中心总经理</w:t>
            </w:r>
          </w:p>
        </w:tc>
        <w:tc>
          <w:tcPr>
            <w:tcW w:w="1496" w:type="dxa"/>
          </w:tcPr>
          <w:p w14:paraId="235C3853">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药物研发</w:t>
            </w:r>
          </w:p>
        </w:tc>
      </w:tr>
      <w:tr w14:paraId="2B7B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Pr>
          <w:p w14:paraId="2D6B441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11</w:t>
            </w:r>
          </w:p>
        </w:tc>
        <w:tc>
          <w:tcPr>
            <w:tcW w:w="850" w:type="dxa"/>
          </w:tcPr>
          <w:p w14:paraId="74F6C541">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王建方</w:t>
            </w:r>
          </w:p>
        </w:tc>
        <w:tc>
          <w:tcPr>
            <w:tcW w:w="640" w:type="dxa"/>
          </w:tcPr>
          <w:p w14:paraId="7026EEF3">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男</w:t>
            </w:r>
          </w:p>
        </w:tc>
        <w:tc>
          <w:tcPr>
            <w:tcW w:w="2770" w:type="dxa"/>
          </w:tcPr>
          <w:p w14:paraId="3F374EBC">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浙江康恩贝制药股份有限公司</w:t>
            </w:r>
          </w:p>
        </w:tc>
        <w:tc>
          <w:tcPr>
            <w:tcW w:w="1700" w:type="dxa"/>
          </w:tcPr>
          <w:p w14:paraId="441A8498">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高级工程师</w:t>
            </w:r>
          </w:p>
        </w:tc>
        <w:tc>
          <w:tcPr>
            <w:tcW w:w="2920" w:type="dxa"/>
          </w:tcPr>
          <w:p w14:paraId="5485FE8B">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药品研发中心药学部药学总监</w:t>
            </w:r>
          </w:p>
        </w:tc>
        <w:tc>
          <w:tcPr>
            <w:tcW w:w="1496" w:type="dxa"/>
          </w:tcPr>
          <w:p w14:paraId="503DF095">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药物研发</w:t>
            </w:r>
          </w:p>
        </w:tc>
      </w:tr>
      <w:tr w14:paraId="0B82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Pr>
          <w:p w14:paraId="597186A0">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12</w:t>
            </w:r>
          </w:p>
        </w:tc>
        <w:tc>
          <w:tcPr>
            <w:tcW w:w="850" w:type="dxa"/>
          </w:tcPr>
          <w:p w14:paraId="022B6D3F">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周祥</w:t>
            </w:r>
          </w:p>
        </w:tc>
        <w:tc>
          <w:tcPr>
            <w:tcW w:w="640" w:type="dxa"/>
          </w:tcPr>
          <w:p w14:paraId="5D2B8134">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男</w:t>
            </w:r>
          </w:p>
        </w:tc>
        <w:tc>
          <w:tcPr>
            <w:tcW w:w="2770" w:type="dxa"/>
          </w:tcPr>
          <w:p w14:paraId="4FDEDBE2">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浙江康恩贝制药股份有限公司</w:t>
            </w:r>
          </w:p>
        </w:tc>
        <w:tc>
          <w:tcPr>
            <w:tcW w:w="1700" w:type="dxa"/>
          </w:tcPr>
          <w:p w14:paraId="5CB15EDE">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高级工程师</w:t>
            </w:r>
          </w:p>
        </w:tc>
        <w:tc>
          <w:tcPr>
            <w:tcW w:w="2920" w:type="dxa"/>
          </w:tcPr>
          <w:p w14:paraId="74B9F181">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药品研发中心信息管理部部长</w:t>
            </w:r>
          </w:p>
        </w:tc>
        <w:tc>
          <w:tcPr>
            <w:tcW w:w="1496" w:type="dxa"/>
          </w:tcPr>
          <w:p w14:paraId="42C4530D">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药物研发</w:t>
            </w:r>
          </w:p>
        </w:tc>
      </w:tr>
      <w:tr w14:paraId="48B73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Pr>
          <w:p w14:paraId="3A1EB5DE">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13</w:t>
            </w:r>
          </w:p>
        </w:tc>
        <w:tc>
          <w:tcPr>
            <w:tcW w:w="850" w:type="dxa"/>
          </w:tcPr>
          <w:p w14:paraId="6ACA4A05">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张艳</w:t>
            </w:r>
          </w:p>
        </w:tc>
        <w:tc>
          <w:tcPr>
            <w:tcW w:w="640" w:type="dxa"/>
          </w:tcPr>
          <w:p w14:paraId="07643F45">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女</w:t>
            </w:r>
          </w:p>
        </w:tc>
        <w:tc>
          <w:tcPr>
            <w:tcW w:w="2770" w:type="dxa"/>
          </w:tcPr>
          <w:p w14:paraId="03A9DAEB">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内蒙古康恩贝药业有限公司</w:t>
            </w:r>
          </w:p>
        </w:tc>
        <w:tc>
          <w:tcPr>
            <w:tcW w:w="1700" w:type="dxa"/>
          </w:tcPr>
          <w:p w14:paraId="631B372B">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助理工程师</w:t>
            </w:r>
          </w:p>
        </w:tc>
        <w:tc>
          <w:tcPr>
            <w:tcW w:w="2920" w:type="dxa"/>
          </w:tcPr>
          <w:p w14:paraId="6CE5BE4A">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药物警戒部经理</w:t>
            </w:r>
          </w:p>
        </w:tc>
        <w:tc>
          <w:tcPr>
            <w:tcW w:w="1496" w:type="dxa"/>
          </w:tcPr>
          <w:p w14:paraId="67CD22ED">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药学</w:t>
            </w:r>
          </w:p>
        </w:tc>
      </w:tr>
      <w:tr w14:paraId="1F1BF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Pr>
          <w:p w14:paraId="6CFB67D2">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14</w:t>
            </w:r>
          </w:p>
        </w:tc>
        <w:tc>
          <w:tcPr>
            <w:tcW w:w="850" w:type="dxa"/>
          </w:tcPr>
          <w:p w14:paraId="5DF63C5E">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宋永标</w:t>
            </w:r>
          </w:p>
        </w:tc>
        <w:tc>
          <w:tcPr>
            <w:tcW w:w="640" w:type="dxa"/>
          </w:tcPr>
          <w:p w14:paraId="0CCC164D">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男</w:t>
            </w:r>
          </w:p>
        </w:tc>
        <w:tc>
          <w:tcPr>
            <w:tcW w:w="2770" w:type="dxa"/>
          </w:tcPr>
          <w:p w14:paraId="2EC9462A">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内蒙古康恩贝药业有限公司</w:t>
            </w:r>
          </w:p>
        </w:tc>
        <w:tc>
          <w:tcPr>
            <w:tcW w:w="1700" w:type="dxa"/>
          </w:tcPr>
          <w:p w14:paraId="6D3AFEA8">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工程师</w:t>
            </w:r>
          </w:p>
        </w:tc>
        <w:tc>
          <w:tcPr>
            <w:tcW w:w="2920" w:type="dxa"/>
          </w:tcPr>
          <w:p w14:paraId="1239E3B0">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总经理</w:t>
            </w:r>
          </w:p>
        </w:tc>
        <w:tc>
          <w:tcPr>
            <w:tcW w:w="1496" w:type="dxa"/>
          </w:tcPr>
          <w:p w14:paraId="1D8F05CC">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药学</w:t>
            </w:r>
          </w:p>
        </w:tc>
      </w:tr>
      <w:tr w14:paraId="43EA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Pr>
          <w:p w14:paraId="01F9C30D">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15</w:t>
            </w:r>
          </w:p>
        </w:tc>
        <w:tc>
          <w:tcPr>
            <w:tcW w:w="850" w:type="dxa"/>
          </w:tcPr>
          <w:p w14:paraId="6FA49DA2">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吴健</w:t>
            </w:r>
          </w:p>
        </w:tc>
        <w:tc>
          <w:tcPr>
            <w:tcW w:w="640" w:type="dxa"/>
          </w:tcPr>
          <w:p w14:paraId="007B084D">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男</w:t>
            </w:r>
          </w:p>
        </w:tc>
        <w:tc>
          <w:tcPr>
            <w:tcW w:w="2770" w:type="dxa"/>
          </w:tcPr>
          <w:p w14:paraId="0BA0CB90">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浙江康恩贝制药股份有限公司</w:t>
            </w:r>
          </w:p>
        </w:tc>
        <w:tc>
          <w:tcPr>
            <w:tcW w:w="1700" w:type="dxa"/>
          </w:tcPr>
          <w:p w14:paraId="4AA48A7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正高级工程师</w:t>
            </w:r>
          </w:p>
        </w:tc>
        <w:tc>
          <w:tcPr>
            <w:tcW w:w="2920" w:type="dxa"/>
          </w:tcPr>
          <w:p w14:paraId="42E3E537">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产业管理中心总经理</w:t>
            </w:r>
          </w:p>
        </w:tc>
        <w:tc>
          <w:tcPr>
            <w:tcW w:w="1496" w:type="dxa"/>
          </w:tcPr>
          <w:p w14:paraId="109754C1">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18"/>
              </w:rPr>
              <w:t>药学</w:t>
            </w:r>
          </w:p>
        </w:tc>
      </w:tr>
    </w:tbl>
    <w:p w14:paraId="7FEC70F4"/>
    <w:p w14:paraId="15E99589">
      <w:pPr>
        <w:jc w:val="left"/>
      </w:pPr>
      <w:r>
        <w:rPr>
          <w:rFonts w:ascii="黑体" w:hAnsi="黑体" w:eastAsia="黑体"/>
          <w:b/>
          <w:sz w:val="28"/>
        </w:rPr>
        <w:t>五、主要完成单位</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2990"/>
        <w:gridCol w:w="2240"/>
        <w:gridCol w:w="1190"/>
        <w:gridCol w:w="2480"/>
        <w:gridCol w:w="1248"/>
      </w:tblGrid>
      <w:tr w14:paraId="57FE0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Align w:val="center"/>
          </w:tcPr>
          <w:p w14:paraId="2B1715FC">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sz w:val="20"/>
              </w:rPr>
              <w:t>排名</w:t>
            </w:r>
          </w:p>
        </w:tc>
        <w:tc>
          <w:tcPr>
            <w:tcW w:w="2990" w:type="dxa"/>
            <w:vAlign w:val="center"/>
          </w:tcPr>
          <w:p w14:paraId="04059758">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sz w:val="20"/>
              </w:rPr>
              <w:t>单位名称</w:t>
            </w:r>
          </w:p>
        </w:tc>
        <w:tc>
          <w:tcPr>
            <w:tcW w:w="2240" w:type="dxa"/>
            <w:vAlign w:val="center"/>
          </w:tcPr>
          <w:p w14:paraId="5F5B04B0">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sz w:val="20"/>
              </w:rPr>
              <w:t>统一社会信用代码</w:t>
            </w:r>
          </w:p>
        </w:tc>
        <w:tc>
          <w:tcPr>
            <w:tcW w:w="1190" w:type="dxa"/>
            <w:vAlign w:val="center"/>
          </w:tcPr>
          <w:p w14:paraId="3ABCF8BE">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sz w:val="20"/>
              </w:rPr>
              <w:t>单位类型</w:t>
            </w:r>
          </w:p>
        </w:tc>
        <w:tc>
          <w:tcPr>
            <w:tcW w:w="2480" w:type="dxa"/>
            <w:vAlign w:val="center"/>
          </w:tcPr>
          <w:p w14:paraId="7EEBDAEE">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sz w:val="20"/>
              </w:rPr>
              <w:t>所在地区</w:t>
            </w:r>
          </w:p>
        </w:tc>
        <w:tc>
          <w:tcPr>
            <w:tcW w:w="1248" w:type="dxa"/>
            <w:vAlign w:val="center"/>
          </w:tcPr>
          <w:p w14:paraId="7F476544">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sz w:val="20"/>
              </w:rPr>
              <w:t>法定代表人</w:t>
            </w:r>
          </w:p>
        </w:tc>
      </w:tr>
      <w:tr w14:paraId="5A00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Align w:val="center"/>
          </w:tcPr>
          <w:p w14:paraId="422602E7">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20"/>
              </w:rPr>
              <w:t>1</w:t>
            </w:r>
          </w:p>
        </w:tc>
        <w:tc>
          <w:tcPr>
            <w:tcW w:w="2990" w:type="dxa"/>
            <w:vAlign w:val="center"/>
          </w:tcPr>
          <w:p w14:paraId="7C417B0B">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20"/>
              </w:rPr>
              <w:t>内蒙古康恩贝药业有限公司</w:t>
            </w:r>
          </w:p>
        </w:tc>
        <w:tc>
          <w:tcPr>
            <w:tcW w:w="2240" w:type="dxa"/>
            <w:vAlign w:val="center"/>
          </w:tcPr>
          <w:p w14:paraId="7D01ABEF">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20"/>
              </w:rPr>
              <w:t>911506251169460170</w:t>
            </w:r>
          </w:p>
        </w:tc>
        <w:tc>
          <w:tcPr>
            <w:tcW w:w="1190" w:type="dxa"/>
            <w:vAlign w:val="center"/>
          </w:tcPr>
          <w:p w14:paraId="39690B78">
            <w:pPr>
              <w:keepNext w:val="0"/>
              <w:keepLines w:val="0"/>
              <w:widowControl/>
              <w:suppressLineNumbers w:val="0"/>
              <w:spacing w:before="0" w:beforeAutospacing="0" w:after="0" w:afterAutospacing="0" w:line="240" w:lineRule="auto"/>
              <w:ind w:left="0" w:right="0"/>
              <w:jc w:val="center"/>
              <w:rPr>
                <w:rFonts w:hint="eastAsia" w:eastAsia="宋体"/>
                <w:lang w:eastAsia="zh-CN"/>
              </w:rPr>
            </w:pPr>
            <w:r>
              <w:rPr>
                <w:rFonts w:hint="eastAsia"/>
                <w:b w:val="0"/>
                <w:sz w:val="20"/>
                <w:lang w:val="en-US" w:eastAsia="zh-CN"/>
              </w:rPr>
              <w:t>企业</w:t>
            </w:r>
          </w:p>
        </w:tc>
        <w:tc>
          <w:tcPr>
            <w:tcW w:w="2480" w:type="dxa"/>
            <w:vAlign w:val="center"/>
          </w:tcPr>
          <w:p w14:paraId="0DD2706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20"/>
              </w:rPr>
              <w:t>内蒙古自治区鄂尔多斯市</w:t>
            </w:r>
          </w:p>
        </w:tc>
        <w:tc>
          <w:tcPr>
            <w:tcW w:w="1248" w:type="dxa"/>
            <w:vAlign w:val="center"/>
          </w:tcPr>
          <w:p w14:paraId="661D1731">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20"/>
              </w:rPr>
              <w:t>宋永标</w:t>
            </w:r>
          </w:p>
        </w:tc>
      </w:tr>
      <w:tr w14:paraId="4DE3A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Align w:val="center"/>
          </w:tcPr>
          <w:p w14:paraId="27AEE44A">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20"/>
              </w:rPr>
              <w:t>2</w:t>
            </w:r>
          </w:p>
        </w:tc>
        <w:tc>
          <w:tcPr>
            <w:tcW w:w="2990" w:type="dxa"/>
            <w:vAlign w:val="center"/>
          </w:tcPr>
          <w:p w14:paraId="270DBD6B">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20"/>
              </w:rPr>
              <w:t>浙江康恩贝制药股份有限公司</w:t>
            </w:r>
          </w:p>
        </w:tc>
        <w:tc>
          <w:tcPr>
            <w:tcW w:w="2240" w:type="dxa"/>
            <w:vAlign w:val="center"/>
          </w:tcPr>
          <w:p w14:paraId="327C478F">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20"/>
              </w:rPr>
              <w:t>91330000142924161N</w:t>
            </w:r>
          </w:p>
        </w:tc>
        <w:tc>
          <w:tcPr>
            <w:tcW w:w="1190" w:type="dxa"/>
            <w:vAlign w:val="center"/>
          </w:tcPr>
          <w:p w14:paraId="70902368">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20"/>
              </w:rPr>
              <w:t>企业</w:t>
            </w:r>
          </w:p>
        </w:tc>
        <w:tc>
          <w:tcPr>
            <w:tcW w:w="2480" w:type="dxa"/>
            <w:vAlign w:val="center"/>
          </w:tcPr>
          <w:p w14:paraId="4897F73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20"/>
              </w:rPr>
              <w:t>浙江省杭州市</w:t>
            </w:r>
          </w:p>
        </w:tc>
        <w:tc>
          <w:tcPr>
            <w:tcW w:w="1248" w:type="dxa"/>
            <w:vAlign w:val="center"/>
          </w:tcPr>
          <w:p w14:paraId="27CB0AE7">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20"/>
              </w:rPr>
              <w:t>应徐颉</w:t>
            </w:r>
          </w:p>
        </w:tc>
      </w:tr>
      <w:tr w14:paraId="2739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Align w:val="center"/>
          </w:tcPr>
          <w:p w14:paraId="009A4CB7">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20"/>
              </w:rPr>
              <w:t>3</w:t>
            </w:r>
          </w:p>
        </w:tc>
        <w:tc>
          <w:tcPr>
            <w:tcW w:w="2990" w:type="dxa"/>
            <w:vAlign w:val="center"/>
          </w:tcPr>
          <w:p w14:paraId="60E0D861">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20"/>
              </w:rPr>
              <w:t>浙江大学</w:t>
            </w:r>
          </w:p>
        </w:tc>
        <w:tc>
          <w:tcPr>
            <w:tcW w:w="2240" w:type="dxa"/>
            <w:vAlign w:val="center"/>
          </w:tcPr>
          <w:p w14:paraId="0ABA8C0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20"/>
              </w:rPr>
              <w:t>12100000470095016Q</w:t>
            </w:r>
          </w:p>
        </w:tc>
        <w:tc>
          <w:tcPr>
            <w:tcW w:w="1190" w:type="dxa"/>
            <w:vAlign w:val="center"/>
          </w:tcPr>
          <w:p w14:paraId="200B7429">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20"/>
              </w:rPr>
              <w:t>高等</w:t>
            </w:r>
            <w:r>
              <w:rPr>
                <w:rFonts w:hint="eastAsia"/>
                <w:b w:val="0"/>
                <w:sz w:val="20"/>
                <w:lang w:val="en-US" w:eastAsia="zh-CN"/>
              </w:rPr>
              <w:t>院</w:t>
            </w:r>
            <w:r>
              <w:rPr>
                <w:rFonts w:hint="default" w:ascii="宋体" w:hAnsi="宋体" w:eastAsia="宋体"/>
                <w:b w:val="0"/>
                <w:sz w:val="20"/>
              </w:rPr>
              <w:t>校</w:t>
            </w:r>
          </w:p>
        </w:tc>
        <w:tc>
          <w:tcPr>
            <w:tcW w:w="2480" w:type="dxa"/>
            <w:vAlign w:val="center"/>
          </w:tcPr>
          <w:p w14:paraId="2445D076">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20"/>
              </w:rPr>
              <w:t>浙江省杭州市</w:t>
            </w:r>
          </w:p>
        </w:tc>
        <w:tc>
          <w:tcPr>
            <w:tcW w:w="1248" w:type="dxa"/>
            <w:vAlign w:val="center"/>
          </w:tcPr>
          <w:p w14:paraId="462BEF4F">
            <w:pPr>
              <w:keepNext w:val="0"/>
              <w:keepLines w:val="0"/>
              <w:widowControl/>
              <w:suppressLineNumbers w:val="0"/>
              <w:spacing w:before="0" w:beforeAutospacing="0" w:after="0" w:afterAutospacing="0" w:line="240" w:lineRule="auto"/>
              <w:ind w:left="0" w:right="0"/>
              <w:jc w:val="center"/>
              <w:rPr>
                <w:rFonts w:hint="default"/>
              </w:rPr>
            </w:pPr>
            <w:r>
              <w:rPr>
                <w:rFonts w:hint="default" w:ascii="宋体" w:hAnsi="宋体" w:eastAsia="宋体"/>
                <w:b w:val="0"/>
                <w:sz w:val="20"/>
              </w:rPr>
              <w:t>马琰铭</w:t>
            </w:r>
          </w:p>
        </w:tc>
      </w:tr>
    </w:tbl>
    <w:p w14:paraId="23D76C6B"/>
    <w:p w14:paraId="2926D403">
      <w:pPr>
        <w:jc w:val="left"/>
      </w:pPr>
      <w:r>
        <w:rPr>
          <w:rFonts w:ascii="黑体" w:hAnsi="黑体" w:eastAsia="黑体"/>
          <w:b/>
          <w:sz w:val="28"/>
        </w:rPr>
        <w:t>六、公示说明</w:t>
      </w:r>
    </w:p>
    <w:p w14:paraId="3F8487E3">
      <w:pPr>
        <w:ind w:firstLine="420"/>
      </w:pPr>
      <w:r>
        <w:rPr>
          <w:rFonts w:ascii="宋体" w:hAnsi="宋体" w:eastAsia="宋体"/>
          <w:b w:val="0"/>
          <w:sz w:val="22"/>
        </w:rPr>
        <w:t xml:space="preserve">1. </w:t>
      </w:r>
      <w:r>
        <w:rPr>
          <w:rFonts w:hint="eastAsia"/>
          <w:b w:val="0"/>
          <w:sz w:val="22"/>
          <w:lang w:val="en-US" w:eastAsia="zh-CN"/>
        </w:rPr>
        <w:t xml:space="preserve"> </w:t>
      </w:r>
      <w:r>
        <w:rPr>
          <w:rFonts w:ascii="宋体" w:hAnsi="宋体" w:eastAsia="宋体"/>
          <w:b w:val="0"/>
          <w:sz w:val="22"/>
        </w:rPr>
        <w:t>公示期：自</w:t>
      </w:r>
      <w:r>
        <w:rPr>
          <w:rFonts w:hint="eastAsia"/>
          <w:b w:val="0"/>
          <w:sz w:val="22"/>
          <w:lang w:val="en-US" w:eastAsia="zh-CN"/>
        </w:rPr>
        <w:t>2026</w:t>
      </w:r>
      <w:r>
        <w:rPr>
          <w:rFonts w:ascii="宋体" w:hAnsi="宋体" w:eastAsia="宋体"/>
          <w:b w:val="0"/>
          <w:sz w:val="22"/>
        </w:rPr>
        <w:t>年</w:t>
      </w:r>
      <w:r>
        <w:rPr>
          <w:rFonts w:hint="eastAsia"/>
          <w:b w:val="0"/>
          <w:sz w:val="22"/>
          <w:lang w:val="en-US" w:eastAsia="zh-CN"/>
        </w:rPr>
        <w:t>08</w:t>
      </w:r>
      <w:r>
        <w:rPr>
          <w:rFonts w:ascii="宋体" w:hAnsi="宋体" w:eastAsia="宋体"/>
          <w:b w:val="0"/>
          <w:sz w:val="22"/>
        </w:rPr>
        <w:t>月</w:t>
      </w:r>
      <w:r>
        <w:rPr>
          <w:rFonts w:hint="eastAsia"/>
          <w:b w:val="0"/>
          <w:sz w:val="22"/>
          <w:lang w:val="en-US" w:eastAsia="zh-CN"/>
        </w:rPr>
        <w:t>17</w:t>
      </w:r>
      <w:r>
        <w:rPr>
          <w:rFonts w:ascii="宋体" w:hAnsi="宋体" w:eastAsia="宋体"/>
          <w:b w:val="0"/>
          <w:sz w:val="22"/>
        </w:rPr>
        <w:t>日至</w:t>
      </w:r>
      <w:r>
        <w:rPr>
          <w:rFonts w:hint="eastAsia"/>
          <w:b w:val="0"/>
          <w:sz w:val="22"/>
          <w:lang w:val="en-US" w:eastAsia="zh-CN"/>
        </w:rPr>
        <w:t>2026</w:t>
      </w:r>
      <w:r>
        <w:rPr>
          <w:rFonts w:ascii="宋体" w:hAnsi="宋体" w:eastAsia="宋体"/>
          <w:b w:val="0"/>
          <w:sz w:val="22"/>
        </w:rPr>
        <w:t>年</w:t>
      </w:r>
      <w:r>
        <w:rPr>
          <w:rFonts w:hint="eastAsia"/>
          <w:b w:val="0"/>
          <w:sz w:val="22"/>
          <w:lang w:val="en-US" w:eastAsia="zh-CN"/>
        </w:rPr>
        <w:t>08</w:t>
      </w:r>
      <w:r>
        <w:rPr>
          <w:rFonts w:ascii="宋体" w:hAnsi="宋体" w:eastAsia="宋体"/>
          <w:b w:val="0"/>
          <w:sz w:val="22"/>
        </w:rPr>
        <w:t>月</w:t>
      </w:r>
      <w:r>
        <w:rPr>
          <w:rFonts w:hint="eastAsia"/>
          <w:b w:val="0"/>
          <w:sz w:val="22"/>
          <w:lang w:val="en-US" w:eastAsia="zh-CN"/>
        </w:rPr>
        <w:t>21</w:t>
      </w:r>
      <w:r>
        <w:rPr>
          <w:rFonts w:ascii="宋体" w:hAnsi="宋体" w:eastAsia="宋体"/>
          <w:b w:val="0"/>
          <w:sz w:val="22"/>
        </w:rPr>
        <w:t>日（共</w:t>
      </w:r>
      <w:r>
        <w:rPr>
          <w:rFonts w:hint="eastAsia"/>
          <w:b w:val="0"/>
          <w:sz w:val="22"/>
          <w:lang w:val="en-US" w:eastAsia="zh-CN"/>
        </w:rPr>
        <w:t>5</w:t>
      </w:r>
      <w:r>
        <w:rPr>
          <w:rFonts w:ascii="宋体" w:hAnsi="宋体" w:eastAsia="宋体"/>
          <w:b w:val="0"/>
          <w:sz w:val="22"/>
        </w:rPr>
        <w:t>个工作日）。</w:t>
      </w:r>
    </w:p>
    <w:p w14:paraId="1D922BDF">
      <w:pPr>
        <w:ind w:firstLine="420"/>
      </w:pPr>
      <w:r>
        <w:rPr>
          <w:rFonts w:ascii="宋体" w:hAnsi="宋体" w:eastAsia="宋体"/>
          <w:b w:val="0"/>
          <w:sz w:val="22"/>
        </w:rPr>
        <w:t xml:space="preserve">2. </w:t>
      </w:r>
      <w:r>
        <w:rPr>
          <w:rFonts w:hint="eastAsia"/>
          <w:b w:val="0"/>
          <w:sz w:val="22"/>
          <w:lang w:val="en-US" w:eastAsia="zh-CN"/>
        </w:rPr>
        <w:t xml:space="preserve"> </w:t>
      </w:r>
      <w:r>
        <w:rPr>
          <w:rFonts w:ascii="宋体" w:hAnsi="宋体" w:eastAsia="宋体"/>
          <w:b w:val="0"/>
          <w:sz w:val="22"/>
        </w:rPr>
        <w:t>公示期间，任何单位或个人对公示内容持有异议的，请在公示期内以书面形式向公示单位提出，并提供必要的证明材料。以单位名义提出异议的，需加盖单位公章；以个人名义提出异议的，需签署真实姓名和联系方式。</w:t>
      </w:r>
    </w:p>
    <w:p w14:paraId="1124EA42">
      <w:pPr>
        <w:ind w:firstLine="420"/>
        <w:rPr>
          <w:rFonts w:ascii="宋体" w:hAnsi="宋体" w:eastAsia="宋体"/>
          <w:b w:val="0"/>
          <w:sz w:val="22"/>
          <w:highlight w:val="yellow"/>
        </w:rPr>
      </w:pPr>
      <w:r>
        <w:rPr>
          <w:rFonts w:ascii="宋体" w:hAnsi="宋体" w:eastAsia="宋体"/>
          <w:b w:val="0"/>
          <w:sz w:val="22"/>
          <w:highlight w:val="yellow"/>
        </w:rPr>
        <w:t xml:space="preserve">3. </w:t>
      </w:r>
      <w:r>
        <w:rPr>
          <w:rFonts w:hint="eastAsia"/>
          <w:b w:val="0"/>
          <w:sz w:val="22"/>
          <w:highlight w:val="yellow"/>
          <w:lang w:val="en-US" w:eastAsia="zh-CN"/>
        </w:rPr>
        <w:t xml:space="preserve"> </w:t>
      </w:r>
      <w:r>
        <w:rPr>
          <w:rFonts w:ascii="宋体" w:hAnsi="宋体" w:eastAsia="宋体"/>
          <w:b w:val="0"/>
          <w:sz w:val="22"/>
          <w:highlight w:val="yellow"/>
        </w:rPr>
        <w:t xml:space="preserve">联系人：       </w:t>
      </w:r>
    </w:p>
    <w:p w14:paraId="470A17A3">
      <w:pPr>
        <w:ind w:firstLine="880" w:firstLineChars="400"/>
        <w:rPr>
          <w:rFonts w:ascii="宋体" w:hAnsi="宋体" w:eastAsia="宋体"/>
          <w:b w:val="0"/>
          <w:sz w:val="22"/>
          <w:highlight w:val="yellow"/>
        </w:rPr>
      </w:pPr>
      <w:r>
        <w:rPr>
          <w:rFonts w:ascii="宋体" w:hAnsi="宋体" w:eastAsia="宋体"/>
          <w:b w:val="0"/>
          <w:sz w:val="22"/>
          <w:highlight w:val="yellow"/>
        </w:rPr>
        <w:t xml:space="preserve">联系电话：     </w:t>
      </w:r>
    </w:p>
    <w:p w14:paraId="5545A1C8">
      <w:pPr>
        <w:ind w:firstLine="880" w:firstLineChars="400"/>
        <w:rPr>
          <w:rFonts w:hint="default" w:eastAsia="宋体"/>
          <w:highlight w:val="yellow"/>
          <w:lang w:val="en-US" w:eastAsia="zh-CN"/>
        </w:rPr>
      </w:pPr>
      <w:r>
        <w:rPr>
          <w:rFonts w:ascii="宋体" w:hAnsi="宋体" w:eastAsia="宋体"/>
          <w:b w:val="0"/>
          <w:sz w:val="22"/>
          <w:highlight w:val="yellow"/>
        </w:rPr>
        <w:t>电子邮箱：</w:t>
      </w:r>
      <w:r>
        <w:rPr>
          <w:rFonts w:hint="eastAsia"/>
          <w:b w:val="0"/>
          <w:sz w:val="22"/>
          <w:highlight w:val="yellow"/>
          <w:lang w:val="en-US" w:eastAsia="zh-CN"/>
        </w:rPr>
        <w:t xml:space="preserve">     </w:t>
      </w:r>
    </w:p>
    <w:p w14:paraId="66852154">
      <w:pPr>
        <w:ind w:firstLine="420"/>
        <w:rPr>
          <w:rFonts w:hint="default" w:eastAsia="宋体"/>
          <w:b w:val="0"/>
          <w:sz w:val="22"/>
          <w:highlight w:val="yellow"/>
          <w:lang w:val="en-US" w:eastAsia="zh-CN"/>
        </w:rPr>
      </w:pPr>
      <w:r>
        <w:rPr>
          <w:rFonts w:ascii="宋体" w:hAnsi="宋体" w:eastAsia="宋体"/>
          <w:b w:val="0"/>
          <w:sz w:val="22"/>
          <w:highlight w:val="yellow"/>
        </w:rPr>
        <w:t xml:space="preserve">4. </w:t>
      </w:r>
      <w:r>
        <w:rPr>
          <w:rFonts w:hint="eastAsia"/>
          <w:b w:val="0"/>
          <w:sz w:val="22"/>
          <w:highlight w:val="yellow"/>
          <w:lang w:val="en-US" w:eastAsia="zh-CN"/>
        </w:rPr>
        <w:t xml:space="preserve"> </w:t>
      </w:r>
      <w:r>
        <w:rPr>
          <w:rFonts w:ascii="宋体" w:hAnsi="宋体" w:eastAsia="宋体"/>
          <w:b w:val="0"/>
          <w:sz w:val="22"/>
          <w:highlight w:val="yellow"/>
        </w:rPr>
        <w:t>通讯地址：</w:t>
      </w:r>
      <w:r>
        <w:rPr>
          <w:rFonts w:hint="eastAsia"/>
          <w:b w:val="0"/>
          <w:sz w:val="22"/>
          <w:highlight w:val="yellow"/>
          <w:lang w:val="en-US" w:eastAsia="zh-CN"/>
        </w:rPr>
        <w:t xml:space="preserve">     </w:t>
      </w:r>
    </w:p>
    <w:p w14:paraId="49FDE166">
      <w:pPr>
        <w:ind w:firstLine="880" w:firstLineChars="400"/>
        <w:rPr>
          <w:rFonts w:hint="default" w:eastAsia="宋体"/>
          <w:highlight w:val="yellow"/>
          <w:lang w:val="en-US" w:eastAsia="zh-CN"/>
        </w:rPr>
      </w:pPr>
      <w:r>
        <w:rPr>
          <w:rFonts w:ascii="宋体" w:hAnsi="宋体" w:eastAsia="宋体"/>
          <w:b w:val="0"/>
          <w:sz w:val="22"/>
          <w:highlight w:val="yellow"/>
        </w:rPr>
        <w:t>邮政编码：</w:t>
      </w:r>
      <w:r>
        <w:rPr>
          <w:rFonts w:hint="eastAsia"/>
          <w:b w:val="0"/>
          <w:sz w:val="22"/>
          <w:highlight w:val="yellow"/>
          <w:lang w:val="en-US" w:eastAsia="zh-CN"/>
        </w:rPr>
        <w:t xml:space="preserve">     </w:t>
      </w:r>
    </w:p>
    <w:p w14:paraId="4645EB42"/>
    <w:p w14:paraId="426A8C62"/>
    <w:p w14:paraId="56D90F0E">
      <w:pPr>
        <w:jc w:val="right"/>
        <w:rPr>
          <w:rFonts w:hint="default" w:eastAsia="宋体"/>
          <w:lang w:val="en-US" w:eastAsia="zh-CN"/>
        </w:rPr>
      </w:pPr>
      <w:r>
        <w:rPr>
          <w:rFonts w:ascii="宋体" w:hAnsi="宋体" w:eastAsia="宋体"/>
          <w:sz w:val="24"/>
        </w:rPr>
        <w:t>公示单位（盖章）：</w:t>
      </w:r>
      <w:r>
        <w:rPr>
          <w:rFonts w:hint="eastAsia"/>
          <w:sz w:val="24"/>
          <w:lang w:val="en-US" w:eastAsia="zh-CN"/>
        </w:rPr>
        <w:t>浙江大学</w:t>
      </w:r>
      <w:bookmarkStart w:id="0" w:name="_GoBack"/>
      <w:bookmarkEnd w:id="0"/>
    </w:p>
    <w:p w14:paraId="7410E897">
      <w:pPr>
        <w:jc w:val="right"/>
      </w:pPr>
      <w:r>
        <w:rPr>
          <w:rFonts w:ascii="宋体" w:hAnsi="宋体" w:eastAsia="宋体"/>
          <w:sz w:val="24"/>
        </w:rPr>
        <w:t xml:space="preserve">              </w:t>
      </w:r>
      <w:r>
        <w:rPr>
          <w:rFonts w:hint="eastAsia"/>
          <w:sz w:val="24"/>
          <w:lang w:val="en-US" w:eastAsia="zh-CN"/>
        </w:rPr>
        <w:t xml:space="preserve">2026 </w:t>
      </w:r>
      <w:r>
        <w:rPr>
          <w:rFonts w:ascii="宋体" w:hAnsi="宋体" w:eastAsia="宋体"/>
          <w:sz w:val="24"/>
        </w:rPr>
        <w:t>年</w:t>
      </w:r>
      <w:r>
        <w:rPr>
          <w:rFonts w:hint="eastAsia"/>
          <w:sz w:val="24"/>
          <w:lang w:val="en-US" w:eastAsia="zh-CN"/>
        </w:rPr>
        <w:t xml:space="preserve"> 08 </w:t>
      </w:r>
      <w:r>
        <w:rPr>
          <w:rFonts w:ascii="宋体" w:hAnsi="宋体" w:eastAsia="宋体"/>
          <w:sz w:val="24"/>
        </w:rPr>
        <w:t>月</w:t>
      </w:r>
      <w:r>
        <w:rPr>
          <w:rFonts w:hint="eastAsia"/>
          <w:sz w:val="24"/>
          <w:lang w:val="en-US" w:eastAsia="zh-CN"/>
        </w:rPr>
        <w:t xml:space="preserve"> 17 </w:t>
      </w:r>
      <w:r>
        <w:rPr>
          <w:rFonts w:ascii="宋体" w:hAnsi="宋体" w:eastAsia="宋体"/>
          <w:sz w:val="24"/>
        </w:rPr>
        <w:t>日</w:t>
      </w:r>
    </w:p>
    <w:sectPr>
      <w:pgSz w:w="12240" w:h="15840"/>
      <w:pgMar w:top="1440" w:right="567" w:bottom="1440" w:left="56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ambria">
    <w:panose1 w:val="02040503050406030204"/>
    <w:charset w:val="00"/>
    <w:family w:val="auto"/>
    <w:pitch w:val="default"/>
    <w:sig w:usb0="E00006FF" w:usb1="420024FF" w:usb2="02000000" w:usb3="00000000" w:csb0="2000019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720"/>
  <w:displayHorizontalDrawingGridEvery w:val="0"/>
  <w:displayVerticalDrawingGridEvery w:val="2"/>
  <w:characterSpacingControl w:val="doNotCompress"/>
  <w:footnotePr>
    <w:footnote w:id="0"/>
    <w:footnote w:id="1"/>
  </w:footnotePr>
  <w:endnotePr>
    <w:endnote w:id="0"/>
    <w:endnote w:id="1"/>
  </w:endnotePr>
  <w:compat>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26E4D4E"/>
    <w:rsid w:val="0D436C6E"/>
    <w:rsid w:val="22BE600E"/>
    <w:rsid w:val="4837386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2288</Words>
  <Characters>3564</Characters>
  <Lines>0</Lines>
  <Paragraphs>0</Paragraphs>
  <TotalTime>16</TotalTime>
  <ScaleCrop>false</ScaleCrop>
  <LinksUpToDate>false</LinksUpToDate>
  <CharactersWithSpaces>3759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李廷玉</cp:lastModifiedBy>
  <dcterms:modified xsi:type="dcterms:W3CDTF">2026-08-17T06:11:36Z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eyJoZGlkIjoiN2I0MTlmYzE1YzFiMThkOTJjMzM2MmRjZTNkMDA0MjQiLCJ1c2VySWQiOiI4MTAyMjgwODUifQ==</vt:lpwstr>
  </property>
  <property fmtid="{D5CDD505-2E9C-101B-9397-08002B2CF9AE}" pid="3" name="KSOProductBuildVer">
    <vt:lpwstr>2052-12.1.0.28043</vt:lpwstr>
  </property>
  <property fmtid="{D5CDD505-2E9C-101B-9397-08002B2CF9AE}" pid="4" name="ICV">
    <vt:lpwstr>431B33D853954AFF8806BF761F3839D5_13</vt:lpwstr>
  </property>
</Properties>
</file>