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17F9C">
      <w:pPr>
        <w:pStyle w:val="2"/>
        <w:widowControl w:val="0"/>
        <w:adjustRightInd w:val="0"/>
        <w:snapToGrid w:val="0"/>
        <w:spacing w:before="0" w:after="163" w:afterLines="50" w:line="500" w:lineRule="exact"/>
        <w:contextualSpacing w:val="0"/>
        <w:jc w:val="left"/>
        <w:rPr>
          <w:rFonts w:ascii="宋体" w:hAnsi="宋体" w:eastAsia="宋体"/>
          <w:b w:val="0"/>
          <w:color w:val="000000"/>
          <w:sz w:val="24"/>
          <w:szCs w:val="24"/>
        </w:rPr>
      </w:pPr>
      <w:bookmarkStart w:id="2" w:name="_GoBack"/>
      <w:bookmarkEnd w:id="2"/>
      <w:r>
        <w:rPr>
          <w:rFonts w:hint="eastAsia" w:ascii="宋体" w:hAnsi="宋体" w:eastAsia="宋体"/>
          <w:b w:val="0"/>
          <w:color w:val="000000"/>
          <w:sz w:val="24"/>
          <w:szCs w:val="24"/>
        </w:rPr>
        <w:t>附件1</w:t>
      </w:r>
    </w:p>
    <w:p w14:paraId="5DCDE488">
      <w:pPr>
        <w:pStyle w:val="2"/>
        <w:spacing w:before="326" w:beforeLines="100" w:after="163" w:afterLines="50" w:line="500" w:lineRule="exact"/>
        <w:rPr>
          <w:rFonts w:ascii="宋体" w:hAnsi="宋体" w:eastAsia="宋体"/>
          <w:color w:val="000000"/>
          <w:szCs w:val="32"/>
        </w:rPr>
      </w:pPr>
      <w:r>
        <w:rPr>
          <w:rFonts w:hint="eastAsia" w:ascii="宋体" w:hAnsi="宋体" w:eastAsia="宋体"/>
          <w:color w:val="000000"/>
          <w:szCs w:val="32"/>
        </w:rPr>
        <w:t>中国高校产学研创新基金-多医云在线医疗数字化专项(二期)</w:t>
      </w:r>
    </w:p>
    <w:p w14:paraId="723E6400">
      <w:pPr>
        <w:pStyle w:val="2"/>
        <w:spacing w:before="0" w:after="163" w:afterLines="50" w:line="500" w:lineRule="exact"/>
        <w:rPr>
          <w:rFonts w:ascii="宋体" w:hAnsi="宋体" w:eastAsia="宋体"/>
          <w:color w:val="000000"/>
          <w:szCs w:val="32"/>
        </w:rPr>
      </w:pPr>
      <w:r>
        <w:rPr>
          <w:rFonts w:hint="eastAsia" w:ascii="宋体" w:hAnsi="宋体" w:eastAsia="宋体"/>
          <w:color w:val="000000"/>
          <w:szCs w:val="32"/>
        </w:rPr>
        <w:t>申请指南说明</w:t>
      </w:r>
    </w:p>
    <w:p w14:paraId="2D701AE0">
      <w:pPr>
        <w:widowControl w:val="0"/>
        <w:snapToGrid w:val="0"/>
        <w:spacing w:before="0" w:after="0" w:line="500" w:lineRule="exact"/>
        <w:ind w:firstLine="480"/>
        <w:rPr>
          <w:rFonts w:ascii="宋体" w:hAnsi="宋体"/>
          <w:sz w:val="24"/>
          <w:szCs w:val="24"/>
        </w:rPr>
      </w:pPr>
      <w:r>
        <w:rPr>
          <w:rFonts w:hint="eastAsia" w:ascii="宋体" w:hAnsi="宋体"/>
          <w:sz w:val="24"/>
          <w:szCs w:val="24"/>
        </w:rPr>
        <w:t>根据《关于申报2026年中国高校产学研创新基金的通知》(教科发中心函〔2026〕5号)的相关要求，教育部高等学校科学研究发展中心与上海多瑞生物科技有限责任公司联合设立“2</w:t>
      </w:r>
      <w:r>
        <w:rPr>
          <w:rFonts w:ascii="宋体" w:hAnsi="宋体"/>
          <w:sz w:val="24"/>
          <w:szCs w:val="24"/>
        </w:rPr>
        <w:t>026</w:t>
      </w:r>
      <w:r>
        <w:rPr>
          <w:rFonts w:hint="eastAsia" w:ascii="宋体" w:hAnsi="宋体"/>
          <w:sz w:val="24"/>
          <w:szCs w:val="24"/>
        </w:rPr>
        <w:t>年中国高校产学研创新基金—多医云在线医疗数字化专项（二期）”，旨在支持创新医药与新医疗器械产品在医疗机构开展数字化真实世界研究，并推动医疗科研成果的数字化创新应用。其核心是依托 “医疗科研 AI 数智一体化平台”，通过融合信息化技术、人工智能及多模态预测算法，将临床数据转化为创新动力，为临床产品的应用与解决方案提供坚实的数字化技术支撑。</w:t>
      </w:r>
    </w:p>
    <w:p w14:paraId="36EDA9A3">
      <w:pPr>
        <w:pStyle w:val="3"/>
        <w:numPr>
          <w:ilvl w:val="0"/>
          <w:numId w:val="0"/>
        </w:numPr>
        <w:spacing w:before="163" w:line="500" w:lineRule="exact"/>
        <w:ind w:firstLine="560" w:firstLineChars="200"/>
      </w:pPr>
      <w:r>
        <w:rPr>
          <w:rFonts w:hint="eastAsia"/>
        </w:rPr>
        <w:t>一、课题说明</w:t>
      </w:r>
    </w:p>
    <w:p w14:paraId="3B26B289">
      <w:pPr>
        <w:spacing w:before="0" w:after="0" w:line="500" w:lineRule="exact"/>
        <w:ind w:firstLine="480"/>
        <w:rPr>
          <w:rFonts w:ascii="宋体" w:hAnsi="宋体"/>
          <w:sz w:val="24"/>
          <w:szCs w:val="24"/>
        </w:rPr>
      </w:pPr>
      <w:r>
        <w:rPr>
          <w:rFonts w:hint="eastAsia" w:ascii="宋体" w:hAnsi="宋体"/>
          <w:sz w:val="24"/>
          <w:szCs w:val="24"/>
        </w:rPr>
        <w:t>1.“多医云在线医疗数字化专项（二期）”旨在全国范围内遴选合作高校，构建产学研用协同创新的新生态，培养高素质复合型科技人才，要求医疗机构依托“Dolly多医云在线”医疗科研AI数智一体化平台、多医云在线健康科普、多医云在线互联网医院平台，将研究信息进行的收集、分析、评估，进行创新药、新医疗器械产品数字化真实世界数据研究，跟踪各学科诊疗需求、应用研究和教学实践，培养以实践为基础兼具数字化医疗思维的应用型创新人才，提供精准化治疗方案依据。</w:t>
      </w:r>
    </w:p>
    <w:p w14:paraId="58326D12">
      <w:pPr>
        <w:spacing w:before="0" w:after="0" w:line="500" w:lineRule="exact"/>
        <w:ind w:firstLine="480"/>
        <w:rPr>
          <w:rFonts w:ascii="宋体" w:hAnsi="宋体"/>
          <w:sz w:val="24"/>
          <w:szCs w:val="24"/>
        </w:rPr>
      </w:pPr>
      <w:r>
        <w:rPr>
          <w:rFonts w:hint="eastAsia" w:ascii="宋体" w:hAnsi="宋体"/>
          <w:sz w:val="24"/>
          <w:szCs w:val="24"/>
        </w:rPr>
        <w:t>2. 课题申请人在本课题研究过程中，应遵守国家相关法律、法规和有关规定，按照产品说明书进行研究。如需深入研究，申请人需依照国家有关规定履行相应程序，在立项后提供所在单位伦理委员会审查意见或患者知情同意书等。</w:t>
      </w:r>
    </w:p>
    <w:p w14:paraId="1C1D917D">
      <w:pPr>
        <w:spacing w:before="0" w:after="0" w:line="500" w:lineRule="exact"/>
        <w:ind w:firstLine="480"/>
        <w:rPr>
          <w:rFonts w:ascii="宋体" w:hAnsi="宋体"/>
          <w:vanish/>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w:t>
      </w:r>
      <w:r>
        <w:rPr>
          <w:rFonts w:hint="eastAsia" w:ascii="宋体" w:hAnsi="宋体"/>
          <w:sz w:val="24"/>
          <w:szCs w:val="24"/>
        </w:rPr>
        <w:t>多医云在线医疗数字化专项（二期）</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kern w:val="24"/>
          <w:sz w:val="24"/>
          <w:szCs w:val="24"/>
          <w14:textFill>
            <w14:solidFill>
              <w14:schemeClr w14:val="tx1"/>
            </w14:solidFill>
          </w14:textFill>
        </w:rPr>
        <w:t>的申请截止时间为202</w:t>
      </w:r>
      <w:r>
        <w:rPr>
          <w:rFonts w:ascii="宋体" w:hAnsi="宋体"/>
          <w:color w:val="000000" w:themeColor="text1"/>
          <w:kern w:val="24"/>
          <w:sz w:val="24"/>
          <w:szCs w:val="24"/>
          <w14:textFill>
            <w14:solidFill>
              <w14:schemeClr w14:val="tx1"/>
            </w14:solidFill>
          </w14:textFill>
        </w:rPr>
        <w:t>6</w:t>
      </w:r>
      <w:r>
        <w:rPr>
          <w:rFonts w:hint="eastAsia" w:ascii="宋体" w:hAnsi="宋体"/>
          <w:color w:val="000000" w:themeColor="text1"/>
          <w:kern w:val="24"/>
          <w:sz w:val="24"/>
          <w:szCs w:val="24"/>
          <w14:textFill>
            <w14:solidFill>
              <w14:schemeClr w14:val="tx1"/>
            </w14:solidFill>
          </w14:textFill>
        </w:rPr>
        <w:t>年9</w:t>
      </w:r>
      <w:r>
        <w:rPr>
          <w:rFonts w:ascii="宋体" w:hAnsi="宋体"/>
          <w:color w:val="000000" w:themeColor="text1"/>
          <w:kern w:val="24"/>
          <w:sz w:val="24"/>
          <w:szCs w:val="24"/>
          <w14:textFill>
            <w14:solidFill>
              <w14:schemeClr w14:val="tx1"/>
            </w14:solidFill>
          </w14:textFill>
        </w:rPr>
        <w:t>月25日</w:t>
      </w:r>
      <w:r>
        <w:rPr>
          <w:rFonts w:hint="eastAsia" w:ascii="宋体" w:hAnsi="宋体"/>
          <w:color w:val="000000" w:themeColor="text1"/>
          <w:kern w:val="24"/>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计划执行时间为</w:t>
      </w:r>
      <w:r>
        <w:rPr>
          <w:rFonts w:hint="eastAsia" w:ascii="宋体" w:hAnsi="宋体"/>
          <w:sz w:val="24"/>
          <w:szCs w:val="24"/>
        </w:rPr>
        <w:t>2026年</w:t>
      </w:r>
      <w:r>
        <w:rPr>
          <w:rFonts w:ascii="宋体" w:hAnsi="宋体"/>
          <w:sz w:val="24"/>
          <w:szCs w:val="24"/>
        </w:rPr>
        <w:t>12</w:t>
      </w:r>
      <w:r>
        <w:rPr>
          <w:rFonts w:hint="eastAsia" w:ascii="宋体" w:hAnsi="宋体"/>
          <w:sz w:val="24"/>
          <w:szCs w:val="24"/>
        </w:rPr>
        <w:t>月</w:t>
      </w:r>
      <w:r>
        <w:rPr>
          <w:rFonts w:ascii="宋体" w:hAnsi="宋体"/>
          <w:sz w:val="24"/>
          <w:szCs w:val="24"/>
        </w:rPr>
        <w:t>1</w:t>
      </w:r>
      <w:r>
        <w:rPr>
          <w:rFonts w:hint="eastAsia" w:ascii="宋体" w:hAnsi="宋体"/>
          <w:sz w:val="24"/>
          <w:szCs w:val="24"/>
        </w:rPr>
        <w:t>日～202</w:t>
      </w:r>
      <w:r>
        <w:rPr>
          <w:rFonts w:ascii="宋体" w:hAnsi="宋体"/>
          <w:sz w:val="24"/>
          <w:szCs w:val="24"/>
        </w:rPr>
        <w:t>8</w:t>
      </w:r>
      <w:r>
        <w:rPr>
          <w:rFonts w:hint="eastAsia" w:ascii="宋体" w:hAnsi="宋体"/>
          <w:sz w:val="24"/>
          <w:szCs w:val="24"/>
        </w:rPr>
        <w:t>年11月</w:t>
      </w:r>
      <w:r>
        <w:rPr>
          <w:rFonts w:ascii="宋体" w:hAnsi="宋体"/>
          <w:sz w:val="24"/>
          <w:szCs w:val="24"/>
        </w:rPr>
        <w:t>30</w:t>
      </w:r>
      <w:r>
        <w:rPr>
          <w:rFonts w:hint="eastAsia" w:ascii="宋体" w:hAnsi="宋体"/>
          <w:sz w:val="24"/>
          <w:szCs w:val="24"/>
        </w:rPr>
        <w:t>日</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24"/>
          <w:sz w:val="24"/>
          <w:szCs w:val="24"/>
          <w14:textFill>
            <w14:solidFill>
              <w14:schemeClr w14:val="tx1"/>
            </w14:solidFill>
          </w14:textFill>
        </w:rPr>
        <w:t>可根据课题复杂程度适度延长执行周期，最长不超过三年。</w:t>
      </w:r>
    </w:p>
    <w:p w14:paraId="28CC6D69">
      <w:pPr>
        <w:spacing w:before="0" w:after="0" w:line="500" w:lineRule="exact"/>
        <w:ind w:firstLine="480"/>
        <w:rPr>
          <w:rFonts w:ascii="宋体" w:hAnsi="宋体"/>
          <w:color w:val="000000" w:themeColor="text1"/>
          <w:sz w:val="24"/>
          <w:szCs w:val="24"/>
          <w14:textFill>
            <w14:solidFill>
              <w14:schemeClr w14:val="tx1"/>
            </w14:solidFill>
          </w14:textFill>
        </w:rPr>
      </w:pPr>
    </w:p>
    <w:p w14:paraId="302988E4">
      <w:pPr>
        <w:spacing w:before="0" w:after="0" w:line="500" w:lineRule="exact"/>
        <w:ind w:firstLine="48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多医云在线医疗数字化专项（二期）”分为一般课题和重点课题：</w:t>
      </w:r>
    </w:p>
    <w:p w14:paraId="4483B41E">
      <w:pPr>
        <w:widowControl w:val="0"/>
        <w:adjustRightInd w:val="0"/>
        <w:snapToGrid w:val="0"/>
        <w:spacing w:before="0" w:after="0" w:line="500" w:lineRule="exact"/>
        <w:ind w:firstLine="480"/>
        <w:rPr>
          <w:rFonts w:ascii="宋体" w:hAnsi="宋体" w:cs="宋体"/>
          <w:color w:val="000000" w:themeColor="text1"/>
          <w:kern w:val="24"/>
          <w:sz w:val="24"/>
          <w:szCs w:val="24"/>
          <w14:textFill>
            <w14:solidFill>
              <w14:schemeClr w14:val="tx1"/>
            </w14:solidFill>
          </w14:textFill>
        </w:rPr>
      </w:pPr>
      <w:r>
        <w:rPr>
          <w:rFonts w:hint="eastAsia" w:ascii="宋体" w:hAnsi="宋体" w:cs="宋体"/>
          <w:color w:val="000000" w:themeColor="text1"/>
          <w:kern w:val="24"/>
          <w:sz w:val="24"/>
          <w:szCs w:val="24"/>
          <w14:textFill>
            <w14:solidFill>
              <w14:schemeClr w14:val="tx1"/>
            </w14:solidFill>
          </w14:textFill>
        </w:rPr>
        <w:t>⑴ 一般课题为每个立项课题提供总经费10万元至50万元的课题研究经费及科研软硬件平台支持，其中课题研究经费5万元至25万元。</w:t>
      </w:r>
    </w:p>
    <w:p w14:paraId="0AC98C9B">
      <w:pPr>
        <w:widowControl w:val="0"/>
        <w:adjustRightInd w:val="0"/>
        <w:snapToGrid w:val="0"/>
        <w:spacing w:before="0" w:after="0" w:line="500" w:lineRule="exact"/>
        <w:ind w:firstLine="480"/>
        <w:rPr>
          <w:rFonts w:ascii="宋体" w:hAnsi="宋体" w:cs="宋体"/>
          <w:color w:val="000000" w:themeColor="text1"/>
          <w:kern w:val="24"/>
          <w:sz w:val="24"/>
          <w:szCs w:val="24"/>
          <w14:textFill>
            <w14:solidFill>
              <w14:schemeClr w14:val="tx1"/>
            </w14:solidFill>
          </w14:textFill>
        </w:rPr>
      </w:pPr>
      <w:r>
        <w:rPr>
          <w:rFonts w:hint="eastAsia" w:ascii="宋体" w:hAnsi="宋体"/>
          <w:sz w:val="24"/>
          <w:szCs w:val="24"/>
        </w:rPr>
        <w:t>⑵ 重点课题资助有组织的开展多中心数字化医疗研究，为</w:t>
      </w:r>
      <w:r>
        <w:rPr>
          <w:rFonts w:hint="eastAsia" w:ascii="宋体" w:hAnsi="宋体" w:cs="宋体"/>
          <w:color w:val="000000" w:themeColor="text1"/>
          <w:kern w:val="24"/>
          <w:sz w:val="24"/>
          <w:szCs w:val="24"/>
          <w14:textFill>
            <w14:solidFill>
              <w14:schemeClr w14:val="tx1"/>
            </w14:solidFill>
          </w14:textFill>
        </w:rPr>
        <w:t>每个课题提供总经费50万元至200万元的支持，其中研究经费25万元至100万元。</w:t>
      </w:r>
    </w:p>
    <w:p w14:paraId="76259BA7">
      <w:pPr>
        <w:tabs>
          <w:tab w:val="left" w:pos="480"/>
        </w:tabs>
        <w:spacing w:before="0" w:after="0" w:line="500" w:lineRule="exact"/>
        <w:ind w:firstLine="480"/>
        <w:rPr>
          <w:rFonts w:ascii="宋体" w:hAnsi="宋体" w:cs="宋体"/>
          <w:color w:val="000000" w:themeColor="text1"/>
          <w:kern w:val="24"/>
          <w:sz w:val="24"/>
          <w:szCs w:val="24"/>
          <w14:textFill>
            <w14:solidFill>
              <w14:schemeClr w14:val="tx1"/>
            </w14:solidFill>
          </w14:textFill>
        </w:rPr>
      </w:pPr>
      <w:r>
        <w:rPr>
          <w:rFonts w:hint="eastAsia" w:ascii="宋体" w:hAnsi="宋体"/>
          <w:sz w:val="24"/>
          <w:szCs w:val="24"/>
        </w:rPr>
        <w:t>5</w:t>
      </w:r>
      <w:r>
        <w:rPr>
          <w:rFonts w:ascii="宋体" w:hAnsi="宋体"/>
          <w:sz w:val="24"/>
          <w:szCs w:val="24"/>
        </w:rPr>
        <w:t>.</w:t>
      </w:r>
      <w:r>
        <w:rPr>
          <w:rFonts w:hint="eastAsia" w:ascii="宋体" w:hAnsi="宋体" w:cs="宋体"/>
          <w:color w:val="000000" w:themeColor="text1"/>
          <w:kern w:val="24"/>
          <w:sz w:val="24"/>
          <w:szCs w:val="24"/>
          <w14:textFill>
            <w14:solidFill>
              <w14:schemeClr w14:val="tx1"/>
            </w14:solidFill>
          </w14:textFill>
        </w:rPr>
        <w:t>“多医云在线医疗数字化专项（二期）”的选题方向分为一般课题（真实世界研究和科研成果转化）和数字化医疗重点课题两类：</w:t>
      </w:r>
    </w:p>
    <w:p w14:paraId="1DD1C5FE">
      <w:pPr>
        <w:tabs>
          <w:tab w:val="left" w:pos="480"/>
        </w:tabs>
        <w:spacing w:before="0" w:after="0" w:line="500" w:lineRule="exact"/>
        <w:ind w:firstLine="480"/>
        <w:rPr>
          <w:rFonts w:ascii="宋体" w:hAnsi="宋体" w:cs="宋体"/>
          <w:color w:val="000000" w:themeColor="text1"/>
          <w:kern w:val="24"/>
          <w:sz w:val="24"/>
          <w:szCs w:val="24"/>
          <w14:textFill>
            <w14:solidFill>
              <w14:schemeClr w14:val="tx1"/>
            </w14:solidFill>
          </w14:textFill>
        </w:rPr>
      </w:pPr>
      <w:r>
        <w:rPr>
          <w:rFonts w:hint="eastAsia" w:ascii="宋体" w:hAnsi="宋体"/>
          <w:sz w:val="24"/>
          <w:szCs w:val="24"/>
        </w:rPr>
        <w:t>⑴</w:t>
      </w:r>
      <w:r>
        <w:rPr>
          <w:rFonts w:ascii="宋体" w:hAnsi="宋体"/>
          <w:sz w:val="24"/>
          <w:szCs w:val="24"/>
        </w:rPr>
        <w:t xml:space="preserve"> </w:t>
      </w:r>
      <w:r>
        <w:rPr>
          <w:rFonts w:hint="eastAsia" w:ascii="宋体" w:hAnsi="宋体" w:cs="宋体"/>
          <w:color w:val="000000" w:themeColor="text1"/>
          <w:kern w:val="24"/>
          <w:sz w:val="24"/>
          <w:szCs w:val="24"/>
          <w14:textFill>
            <w14:solidFill>
              <w14:schemeClr w14:val="tx1"/>
            </w14:solidFill>
          </w14:textFill>
        </w:rPr>
        <w:t>一般课题：为满足医疗产业跨学科发展需求，提升、优化企业现有产品在诊疗中的真实世界应用价值，特设立相关科研课题。申请院校需从应用课题（见表一、表二）中选定课题方向展开申报，基于专项所提供的服务平台（见表三）开展相关研究。</w:t>
      </w:r>
    </w:p>
    <w:p w14:paraId="1388439B">
      <w:pPr>
        <w:tabs>
          <w:tab w:val="left" w:pos="480"/>
        </w:tabs>
        <w:spacing w:before="0" w:after="0" w:line="500" w:lineRule="exact"/>
        <w:ind w:firstLine="480"/>
        <w:rPr>
          <w:rFonts w:ascii="宋体" w:hAnsi="宋体" w:cs="宋体"/>
          <w:color w:val="000000" w:themeColor="text1"/>
          <w:kern w:val="24"/>
          <w:sz w:val="24"/>
          <w:szCs w:val="24"/>
          <w14:textFill>
            <w14:solidFill>
              <w14:schemeClr w14:val="tx1"/>
            </w14:solidFill>
          </w14:textFill>
        </w:rPr>
      </w:pPr>
      <w:r>
        <w:rPr>
          <w:rFonts w:hint="eastAsia" w:ascii="宋体" w:hAnsi="宋体"/>
          <w:sz w:val="24"/>
          <w:szCs w:val="24"/>
        </w:rPr>
        <w:t>⑵ 重点课题</w:t>
      </w:r>
      <w:r>
        <w:rPr>
          <w:rFonts w:hint="eastAsia" w:ascii="宋体" w:hAnsi="宋体" w:cs="宋体"/>
          <w:color w:val="000000" w:themeColor="text1"/>
          <w:kern w:val="24"/>
          <w:sz w:val="24"/>
          <w:szCs w:val="24"/>
          <w14:textFill>
            <w14:solidFill>
              <w14:schemeClr w14:val="tx1"/>
            </w14:solidFill>
          </w14:textFill>
        </w:rPr>
        <w:t>：有组织的实施整合全国相关领域的优势创新团队， 聚焦指南任务，开展集成攻关。申报单位根据指南支持方向的研究内容，以项目为单元整体申报，可下设一定数量课题（1+N+1形式，1代表一个项目签头单位，N代表N个课题参与研究的单位，1代表一个数字化平台），申请院校需从应用课题（见表一、表二）中选定课题方向展开申报，基于专项所提供的数字化平台（见表三）开展相关研究，覆盖相应指南方向的指标。</w:t>
      </w:r>
    </w:p>
    <w:p w14:paraId="530DA7F9">
      <w:pPr>
        <w:pStyle w:val="58"/>
        <w:spacing w:before="0" w:after="0" w:line="480" w:lineRule="exact"/>
        <w:ind w:left="0" w:firstLine="0" w:firstLineChars="0"/>
        <w:jc w:val="center"/>
        <w:rPr>
          <w:rFonts w:ascii="宋体" w:hAnsi="宋体"/>
          <w:sz w:val="24"/>
          <w:szCs w:val="24"/>
        </w:rPr>
      </w:pPr>
      <w:r>
        <w:rPr>
          <w:rFonts w:ascii="宋体" w:hAnsi="宋体"/>
          <w:b/>
          <w:sz w:val="24"/>
          <w:szCs w:val="24"/>
        </w:rPr>
        <w:t xml:space="preserve">表一 </w:t>
      </w:r>
      <w:r>
        <w:rPr>
          <w:rFonts w:hint="eastAsia" w:ascii="宋体" w:hAnsi="宋体"/>
          <w:b/>
          <w:sz w:val="24"/>
          <w:szCs w:val="24"/>
        </w:rPr>
        <w:t>真实世界研究</w:t>
      </w:r>
      <w:r>
        <w:rPr>
          <w:rFonts w:ascii="宋体" w:hAnsi="宋体"/>
          <w:b/>
          <w:sz w:val="24"/>
          <w:szCs w:val="24"/>
        </w:rPr>
        <w:t>课题选题列表</w:t>
      </w:r>
    </w:p>
    <w:tbl>
      <w:tblPr>
        <w:tblStyle w:val="2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6100"/>
      </w:tblGrid>
      <w:tr w14:paraId="4D9F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BFBFBF"/>
            <w:vAlign w:val="center"/>
          </w:tcPr>
          <w:p w14:paraId="3FE52CB9">
            <w:pPr>
              <w:spacing w:before="0" w:after="0" w:line="320" w:lineRule="exact"/>
              <w:ind w:firstLine="0" w:firstLineChars="0"/>
              <w:jc w:val="center"/>
              <w:rPr>
                <w:rFonts w:ascii="宋体" w:hAnsi="宋体"/>
                <w:b/>
                <w:szCs w:val="21"/>
              </w:rPr>
            </w:pPr>
            <w:r>
              <w:rPr>
                <w:rFonts w:hint="eastAsia" w:ascii="宋体" w:hAnsi="宋体"/>
                <w:b/>
                <w:szCs w:val="21"/>
              </w:rPr>
              <w:t>课题</w:t>
            </w:r>
            <w:r>
              <w:rPr>
                <w:rFonts w:ascii="宋体" w:hAnsi="宋体"/>
                <w:b/>
                <w:szCs w:val="21"/>
              </w:rPr>
              <w:t>方向编号</w:t>
            </w:r>
          </w:p>
        </w:tc>
        <w:tc>
          <w:tcPr>
            <w:tcW w:w="2126" w:type="dxa"/>
            <w:tcBorders>
              <w:top w:val="single" w:color="auto" w:sz="4" w:space="0"/>
              <w:left w:val="single" w:color="auto" w:sz="4" w:space="0"/>
              <w:bottom w:val="single" w:color="auto" w:sz="4" w:space="0"/>
              <w:right w:val="single" w:color="auto" w:sz="4" w:space="0"/>
            </w:tcBorders>
            <w:shd w:val="clear" w:color="auto" w:fill="BFBFBF"/>
            <w:vAlign w:val="center"/>
          </w:tcPr>
          <w:p w14:paraId="4DDE45C8">
            <w:pPr>
              <w:spacing w:before="0" w:after="0" w:line="320" w:lineRule="exact"/>
              <w:ind w:firstLine="0" w:firstLineChars="0"/>
              <w:jc w:val="center"/>
              <w:rPr>
                <w:rFonts w:ascii="宋体" w:hAnsi="宋体"/>
                <w:b/>
                <w:szCs w:val="21"/>
              </w:rPr>
            </w:pPr>
            <w:r>
              <w:rPr>
                <w:rFonts w:ascii="宋体" w:hAnsi="宋体"/>
                <w:b/>
                <w:szCs w:val="21"/>
              </w:rPr>
              <w:t>课题方向</w:t>
            </w:r>
          </w:p>
        </w:tc>
        <w:tc>
          <w:tcPr>
            <w:tcW w:w="6100" w:type="dxa"/>
            <w:tcBorders>
              <w:top w:val="single" w:color="auto" w:sz="4" w:space="0"/>
              <w:left w:val="single" w:color="auto" w:sz="4" w:space="0"/>
              <w:bottom w:val="single" w:color="auto" w:sz="4" w:space="0"/>
              <w:right w:val="single" w:color="auto" w:sz="4" w:space="0"/>
            </w:tcBorders>
            <w:shd w:val="clear" w:color="auto" w:fill="BFBFBF"/>
            <w:vAlign w:val="center"/>
          </w:tcPr>
          <w:p w14:paraId="05E5AFB8">
            <w:pPr>
              <w:spacing w:before="0" w:after="0" w:line="320" w:lineRule="exact"/>
              <w:ind w:firstLine="0" w:firstLineChars="0"/>
              <w:jc w:val="center"/>
              <w:rPr>
                <w:rFonts w:ascii="宋体" w:hAnsi="宋体"/>
                <w:b/>
                <w:szCs w:val="21"/>
              </w:rPr>
            </w:pPr>
            <w:r>
              <w:rPr>
                <w:rFonts w:ascii="宋体" w:hAnsi="宋体"/>
                <w:b/>
                <w:szCs w:val="21"/>
              </w:rPr>
              <w:t>课题研究内容</w:t>
            </w:r>
          </w:p>
        </w:tc>
      </w:tr>
      <w:tr w14:paraId="792B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8139E4">
            <w:pPr>
              <w:spacing w:before="0" w:after="0" w:line="320" w:lineRule="exact"/>
              <w:ind w:firstLine="0" w:firstLineChars="0"/>
              <w:jc w:val="center"/>
              <w:textAlignment w:val="center"/>
              <w:rPr>
                <w:rFonts w:ascii="宋体" w:hAnsi="宋体"/>
                <w:iCs w:val="0"/>
                <w:sz w:val="20"/>
              </w:rPr>
            </w:pPr>
            <w:r>
              <w:rPr>
                <w:rFonts w:ascii="宋体" w:hAnsi="宋体"/>
                <w:iCs w:val="0"/>
                <w:sz w:val="20"/>
                <w:lang w:bidi="ar"/>
              </w:rPr>
              <w:t>A01</w:t>
            </w:r>
          </w:p>
        </w:tc>
        <w:tc>
          <w:tcPr>
            <w:tcW w:w="2126" w:type="dxa"/>
            <w:tcBorders>
              <w:top w:val="single" w:color="auto" w:sz="4" w:space="0"/>
              <w:left w:val="single" w:color="auto" w:sz="4" w:space="0"/>
              <w:bottom w:val="single" w:color="auto" w:sz="4" w:space="0"/>
              <w:right w:val="single" w:color="auto" w:sz="4" w:space="0"/>
            </w:tcBorders>
            <w:vAlign w:val="center"/>
          </w:tcPr>
          <w:p w14:paraId="20E7687D">
            <w:pPr>
              <w:spacing w:before="0" w:after="0" w:line="320" w:lineRule="exact"/>
              <w:ind w:firstLine="0" w:firstLineChars="0"/>
              <w:rPr>
                <w:rFonts w:ascii="宋体" w:hAnsi="宋体"/>
                <w:iCs w:val="0"/>
                <w:sz w:val="20"/>
                <w:lang w:bidi="ar"/>
              </w:rPr>
            </w:pPr>
            <w:r>
              <w:rPr>
                <w:rFonts w:ascii="宋体" w:hAnsi="宋体"/>
                <w:iCs w:val="0"/>
                <w:sz w:val="20"/>
                <w:lang w:bidi="ar"/>
              </w:rPr>
              <w:t>生物制剂药品</w:t>
            </w:r>
            <w:r>
              <w:rPr>
                <w:rFonts w:hint="eastAsia" w:ascii="宋体" w:hAnsi="宋体"/>
                <w:iCs w:val="0"/>
                <w:sz w:val="20"/>
                <w:lang w:bidi="ar"/>
              </w:rPr>
              <w:t>应用数字化研究</w:t>
            </w:r>
            <w:r>
              <w:rPr>
                <w:rFonts w:ascii="宋体" w:hAnsi="宋体"/>
                <w:iCs w:val="0"/>
                <w:sz w:val="20"/>
                <w:lang w:bidi="ar"/>
              </w:rPr>
              <w:t>：</w:t>
            </w:r>
            <w:r>
              <w:rPr>
                <w:rFonts w:ascii="宋体" w:hAnsi="宋体"/>
                <w:sz w:val="20"/>
                <w:lang w:bidi="ar"/>
              </w:rPr>
              <w:t>通过对应用疗效以及相关疾病指标的监测，开展对产品的评价研究；加快医疗使用数据积累</w:t>
            </w:r>
            <w:r>
              <w:rPr>
                <w:rFonts w:hint="eastAsia" w:ascii="宋体" w:hAnsi="宋体"/>
                <w:sz w:val="20"/>
                <w:lang w:bidi="ar"/>
              </w:rPr>
              <w:t>，</w:t>
            </w:r>
            <w:r>
              <w:rPr>
                <w:rFonts w:ascii="宋体" w:hAnsi="宋体"/>
                <w:sz w:val="20"/>
                <w:lang w:bidi="ar"/>
              </w:rPr>
              <w:t>挖掘并分析药物试验数据，以评估药物的疗效和安全性，</w:t>
            </w:r>
            <w:r>
              <w:rPr>
                <w:rFonts w:hint="eastAsia" w:ascii="宋体" w:hAnsi="宋体"/>
                <w:sz w:val="20"/>
                <w:lang w:bidi="ar"/>
              </w:rPr>
              <w:t>推进生物制剂药品</w:t>
            </w:r>
            <w:r>
              <w:rPr>
                <w:rFonts w:ascii="宋体" w:hAnsi="宋体"/>
                <w:sz w:val="20"/>
                <w:lang w:bidi="ar"/>
              </w:rPr>
              <w:t>应用的数字化研究。</w:t>
            </w:r>
          </w:p>
        </w:tc>
        <w:tc>
          <w:tcPr>
            <w:tcW w:w="6100" w:type="dxa"/>
            <w:tcBorders>
              <w:top w:val="single" w:color="auto" w:sz="4" w:space="0"/>
              <w:left w:val="single" w:color="auto" w:sz="4" w:space="0"/>
              <w:bottom w:val="single" w:color="auto" w:sz="4" w:space="0"/>
              <w:right w:val="single" w:color="auto" w:sz="4" w:space="0"/>
            </w:tcBorders>
            <w:vAlign w:val="center"/>
          </w:tcPr>
          <w:p w14:paraId="2DAA7018">
            <w:pPr>
              <w:spacing w:before="0" w:after="0" w:line="320" w:lineRule="exact"/>
              <w:ind w:firstLine="400"/>
              <w:textAlignment w:val="center"/>
              <w:rPr>
                <w:rFonts w:ascii="宋体" w:hAnsi="宋体"/>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该项目提供的数字化应用技术平台，进行</w:t>
            </w:r>
            <w:r>
              <w:rPr>
                <w:rFonts w:ascii="宋体" w:hAnsi="宋体"/>
                <w:iCs w:val="0"/>
                <w:sz w:val="20"/>
                <w:lang w:bidi="ar"/>
              </w:rPr>
              <w:t>生物制剂药品</w:t>
            </w:r>
            <w:r>
              <w:rPr>
                <w:rFonts w:hint="eastAsia" w:ascii="宋体" w:hAnsi="宋体"/>
                <w:sz w:val="20"/>
                <w:shd w:val="clear" w:color="auto" w:fill="FFFFFF"/>
              </w:rPr>
              <w:t>真实世界数据研究，</w:t>
            </w:r>
            <w:r>
              <w:rPr>
                <w:rFonts w:ascii="宋体" w:hAnsi="宋体" w:cs="Segoe UI"/>
                <w:sz w:val="20"/>
                <w:shd w:val="clear" w:color="auto" w:fill="FFFFFF"/>
              </w:rPr>
              <w:t>致力于推动生物制剂药品的发展与完善，具体包括提高抗细胞因子生物制剂的特异性，优化药物交付方式和用量，探索新的治疗策略和药物靶点；开展应用研究，监测长期疗效与安全性，关注个体差异对疗效的影响并进行疗效预测；研究生物相似药与替代疗法，进行经济学评估助力卫生政策制定，注重提升患者生活质量，给予患者心理支持</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53B69A0D">
            <w:pPr>
              <w:spacing w:before="0" w:after="0" w:line="320" w:lineRule="exact"/>
              <w:ind w:firstLine="400"/>
              <w:rPr>
                <w:rFonts w:ascii="宋体" w:hAnsi="宋体"/>
                <w:sz w:val="20"/>
                <w:lang w:bidi="ar"/>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1F21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732C796">
            <w:pPr>
              <w:spacing w:before="0" w:after="0" w:line="320" w:lineRule="exact"/>
              <w:ind w:firstLine="0" w:firstLineChars="0"/>
              <w:jc w:val="center"/>
              <w:rPr>
                <w:rFonts w:ascii="宋体" w:hAnsi="宋体"/>
                <w:sz w:val="20"/>
              </w:rPr>
            </w:pPr>
            <w:r>
              <w:rPr>
                <w:rFonts w:ascii="宋体" w:hAnsi="宋体"/>
                <w:sz w:val="20"/>
              </w:rPr>
              <w:t>A02</w:t>
            </w:r>
          </w:p>
        </w:tc>
        <w:tc>
          <w:tcPr>
            <w:tcW w:w="2126" w:type="dxa"/>
            <w:tcBorders>
              <w:top w:val="single" w:color="auto" w:sz="4" w:space="0"/>
              <w:left w:val="single" w:color="auto" w:sz="4" w:space="0"/>
              <w:bottom w:val="single" w:color="auto" w:sz="4" w:space="0"/>
              <w:right w:val="single" w:color="auto" w:sz="4" w:space="0"/>
            </w:tcBorders>
            <w:vAlign w:val="center"/>
          </w:tcPr>
          <w:p w14:paraId="79C9ADF7">
            <w:pPr>
              <w:spacing w:before="0" w:after="0" w:line="320" w:lineRule="exact"/>
              <w:ind w:firstLine="0" w:firstLineChars="0"/>
              <w:rPr>
                <w:rFonts w:ascii="宋体" w:hAnsi="宋体"/>
                <w:sz w:val="20"/>
              </w:rPr>
            </w:pPr>
            <w:r>
              <w:rPr>
                <w:rFonts w:ascii="宋体" w:hAnsi="宋体"/>
                <w:iCs w:val="0"/>
                <w:sz w:val="20"/>
                <w:lang w:bidi="ar"/>
              </w:rPr>
              <w:t>化学制剂药品</w:t>
            </w:r>
            <w:r>
              <w:rPr>
                <w:rFonts w:hint="eastAsia" w:ascii="宋体" w:hAnsi="宋体"/>
                <w:iCs w:val="0"/>
                <w:sz w:val="20"/>
                <w:lang w:bidi="ar"/>
              </w:rPr>
              <w:t>应用数字化研究</w:t>
            </w:r>
            <w:r>
              <w:rPr>
                <w:rFonts w:ascii="宋体" w:hAnsi="宋体"/>
                <w:iCs w:val="0"/>
                <w:sz w:val="20"/>
                <w:lang w:bidi="ar"/>
              </w:rPr>
              <w:t>：通过应用疗效</w:t>
            </w:r>
            <w:r>
              <w:rPr>
                <w:rFonts w:hint="eastAsia" w:ascii="宋体" w:hAnsi="宋体"/>
                <w:iCs w:val="0"/>
                <w:sz w:val="20"/>
                <w:lang w:bidi="ar"/>
              </w:rPr>
              <w:t>监测</w:t>
            </w:r>
            <w:r>
              <w:rPr>
                <w:rFonts w:ascii="宋体" w:hAnsi="宋体"/>
                <w:sz w:val="20"/>
                <w:lang w:bidi="ar"/>
              </w:rPr>
              <w:t>开展对产品的评价研究</w:t>
            </w:r>
            <w:r>
              <w:rPr>
                <w:rFonts w:hint="eastAsia" w:ascii="宋体" w:hAnsi="宋体"/>
                <w:iCs w:val="0"/>
                <w:sz w:val="20"/>
                <w:lang w:bidi="ar"/>
              </w:rPr>
              <w:t>，</w:t>
            </w:r>
            <w:r>
              <w:rPr>
                <w:rFonts w:ascii="宋体" w:hAnsi="宋体"/>
                <w:sz w:val="20"/>
                <w:lang w:bidi="ar"/>
              </w:rPr>
              <w:t>加快医疗使用数据积累</w:t>
            </w:r>
            <w:r>
              <w:rPr>
                <w:rFonts w:hint="eastAsia" w:ascii="宋体" w:hAnsi="宋体"/>
                <w:sz w:val="20"/>
                <w:lang w:bidi="ar"/>
              </w:rPr>
              <w:t>，</w:t>
            </w:r>
            <w:r>
              <w:rPr>
                <w:rFonts w:hint="eastAsia" w:ascii="宋体" w:hAnsi="宋体"/>
                <w:iCs w:val="0"/>
                <w:sz w:val="20"/>
                <w:lang w:bidi="ar"/>
              </w:rPr>
              <w:t>深入</w:t>
            </w:r>
            <w:r>
              <w:rPr>
                <w:rFonts w:ascii="宋体" w:hAnsi="宋体"/>
                <w:iCs w:val="0"/>
                <w:sz w:val="20"/>
                <w:lang w:bidi="ar"/>
              </w:rPr>
              <w:t>挖掘</w:t>
            </w:r>
            <w:r>
              <w:rPr>
                <w:rFonts w:hint="eastAsia" w:ascii="宋体" w:hAnsi="宋体"/>
                <w:iCs w:val="0"/>
                <w:sz w:val="20"/>
                <w:lang w:bidi="ar"/>
              </w:rPr>
              <w:t>并剖析</w:t>
            </w:r>
            <w:r>
              <w:rPr>
                <w:rFonts w:ascii="宋体" w:hAnsi="宋体"/>
                <w:iCs w:val="0"/>
                <w:sz w:val="20"/>
                <w:lang w:bidi="ar"/>
              </w:rPr>
              <w:t>药物试验数据，</w:t>
            </w:r>
            <w:r>
              <w:rPr>
                <w:rFonts w:hint="eastAsia" w:ascii="宋体" w:hAnsi="宋体"/>
                <w:iCs w:val="0"/>
                <w:sz w:val="20"/>
                <w:lang w:bidi="ar"/>
              </w:rPr>
              <w:t>精准</w:t>
            </w:r>
            <w:r>
              <w:rPr>
                <w:rFonts w:ascii="宋体" w:hAnsi="宋体"/>
                <w:iCs w:val="0"/>
                <w:sz w:val="20"/>
                <w:lang w:bidi="ar"/>
              </w:rPr>
              <w:t>评估</w:t>
            </w:r>
            <w:r>
              <w:rPr>
                <w:rFonts w:hint="eastAsia" w:ascii="宋体" w:hAnsi="宋体"/>
                <w:iCs w:val="0"/>
                <w:sz w:val="20"/>
                <w:lang w:bidi="ar"/>
              </w:rPr>
              <w:t>其</w:t>
            </w:r>
            <w:r>
              <w:rPr>
                <w:rFonts w:ascii="宋体" w:hAnsi="宋体"/>
                <w:iCs w:val="0"/>
                <w:sz w:val="20"/>
                <w:lang w:bidi="ar"/>
              </w:rPr>
              <w:t>药物疗效</w:t>
            </w:r>
            <w:r>
              <w:rPr>
                <w:rFonts w:hint="eastAsia" w:ascii="宋体" w:hAnsi="宋体"/>
                <w:iCs w:val="0"/>
                <w:sz w:val="20"/>
                <w:lang w:bidi="ar"/>
              </w:rPr>
              <w:t>与</w:t>
            </w:r>
            <w:r>
              <w:rPr>
                <w:rFonts w:ascii="宋体" w:hAnsi="宋体"/>
                <w:iCs w:val="0"/>
                <w:sz w:val="20"/>
                <w:lang w:bidi="ar"/>
              </w:rPr>
              <w:t>安全性，</w:t>
            </w:r>
            <w:r>
              <w:rPr>
                <w:rFonts w:hint="eastAsia" w:ascii="宋体" w:hAnsi="宋体"/>
                <w:iCs w:val="0"/>
                <w:sz w:val="20"/>
                <w:lang w:bidi="ar"/>
              </w:rPr>
              <w:t>实现化学制剂药物</w:t>
            </w:r>
            <w:r>
              <w:rPr>
                <w:rFonts w:ascii="宋体" w:hAnsi="宋体"/>
                <w:iCs w:val="0"/>
                <w:sz w:val="20"/>
                <w:lang w:bidi="ar"/>
              </w:rPr>
              <w:t>应用</w:t>
            </w:r>
            <w:r>
              <w:rPr>
                <w:rFonts w:hint="eastAsia" w:ascii="宋体" w:hAnsi="宋体"/>
                <w:iCs w:val="0"/>
                <w:sz w:val="20"/>
                <w:lang w:bidi="ar"/>
              </w:rPr>
              <w:t>的</w:t>
            </w:r>
            <w:r>
              <w:rPr>
                <w:rFonts w:ascii="宋体" w:hAnsi="宋体"/>
                <w:iCs w:val="0"/>
                <w:sz w:val="20"/>
                <w:lang w:bidi="ar"/>
              </w:rPr>
              <w:t>数字化研究</w:t>
            </w:r>
            <w:r>
              <w:rPr>
                <w:rFonts w:hint="eastAsia" w:ascii="宋体" w:hAnsi="宋体"/>
                <w:iCs w:val="0"/>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47A205C9">
            <w:pPr>
              <w:spacing w:before="0" w:after="0" w:line="320" w:lineRule="exact"/>
              <w:ind w:firstLine="400"/>
              <w:textAlignment w:val="center"/>
              <w:rPr>
                <w:rFonts w:ascii="宋体" w:hAnsi="宋体"/>
                <w:iCs w:val="0"/>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该项目提供的数字化应用技术平台，进行</w:t>
            </w:r>
            <w:r>
              <w:rPr>
                <w:rFonts w:ascii="宋体" w:hAnsi="宋体"/>
                <w:iCs w:val="0"/>
                <w:sz w:val="20"/>
                <w:lang w:bidi="ar"/>
              </w:rPr>
              <w:t>化学制剂药品</w:t>
            </w:r>
            <w:r>
              <w:rPr>
                <w:rFonts w:hint="eastAsia" w:ascii="宋体" w:hAnsi="宋体"/>
                <w:sz w:val="20"/>
                <w:shd w:val="clear" w:color="auto" w:fill="FFFFFF"/>
              </w:rPr>
              <w:t>真实世界数据研究。</w:t>
            </w:r>
            <w:r>
              <w:rPr>
                <w:rFonts w:ascii="宋体" w:hAnsi="宋体"/>
                <w:sz w:val="20"/>
                <w:lang w:bidi="ar"/>
              </w:rPr>
              <w:t>围绕化学制剂药品在疾病需求分析、新药研发优化、作用机制探究、试验及疗效评估、安全副作用管理、个体化精准治疗、制剂给药系统、药物经济学与可及性、药物相互作用及耐药性、患者生活质量与心理支持等方面</w:t>
            </w:r>
            <w:r>
              <w:rPr>
                <w:rFonts w:hint="eastAsia" w:ascii="宋体" w:hAnsi="宋体"/>
                <w:sz w:val="20"/>
                <w:lang w:bidi="ar"/>
              </w:rPr>
              <w:t>开展</w:t>
            </w:r>
            <w:r>
              <w:rPr>
                <w:rFonts w:ascii="宋体" w:hAnsi="宋体"/>
                <w:sz w:val="20"/>
                <w:lang w:bidi="ar"/>
              </w:rPr>
              <w:t>应用</w:t>
            </w:r>
            <w:r>
              <w:rPr>
                <w:rFonts w:hint="eastAsia" w:ascii="宋体" w:hAnsi="宋体"/>
                <w:sz w:val="20"/>
                <w:lang w:bidi="ar"/>
              </w:rPr>
              <w:t>数字化研究</w:t>
            </w:r>
            <w:r>
              <w:rPr>
                <w:rFonts w:hint="eastAsia" w:ascii="宋体" w:hAnsi="宋体"/>
                <w:iCs w:val="0"/>
                <w:sz w:val="20"/>
                <w:lang w:bidi="ar"/>
              </w:rPr>
              <w:t>。</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25B4FBF4">
            <w:pPr>
              <w:spacing w:before="0" w:after="0" w:line="320" w:lineRule="exact"/>
              <w:ind w:firstLine="400"/>
              <w:rPr>
                <w:rFonts w:ascii="宋体" w:hAnsi="宋体"/>
                <w:sz w:val="20"/>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3018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3CF179">
            <w:pPr>
              <w:spacing w:before="0" w:after="0" w:line="320" w:lineRule="exact"/>
              <w:ind w:firstLine="0" w:firstLineChars="0"/>
              <w:jc w:val="center"/>
              <w:rPr>
                <w:rFonts w:ascii="宋体" w:hAnsi="宋体"/>
                <w:sz w:val="20"/>
              </w:rPr>
            </w:pPr>
            <w:r>
              <w:rPr>
                <w:rFonts w:ascii="宋体" w:hAnsi="宋体"/>
                <w:sz w:val="20"/>
              </w:rPr>
              <w:t>A03</w:t>
            </w:r>
          </w:p>
        </w:tc>
        <w:tc>
          <w:tcPr>
            <w:tcW w:w="2126" w:type="dxa"/>
            <w:tcBorders>
              <w:top w:val="single" w:color="auto" w:sz="4" w:space="0"/>
              <w:left w:val="single" w:color="auto" w:sz="4" w:space="0"/>
              <w:bottom w:val="single" w:color="auto" w:sz="4" w:space="0"/>
              <w:right w:val="single" w:color="auto" w:sz="4" w:space="0"/>
            </w:tcBorders>
            <w:vAlign w:val="center"/>
          </w:tcPr>
          <w:p w14:paraId="56477AD7">
            <w:pPr>
              <w:spacing w:before="0" w:after="0" w:line="320" w:lineRule="exact"/>
              <w:ind w:firstLine="0" w:firstLineChars="0"/>
              <w:rPr>
                <w:rFonts w:ascii="宋体" w:hAnsi="宋体"/>
                <w:sz w:val="20"/>
              </w:rPr>
            </w:pPr>
            <w:r>
              <w:rPr>
                <w:rFonts w:ascii="宋体" w:hAnsi="宋体"/>
                <w:iCs w:val="0"/>
                <w:sz w:val="20"/>
                <w:lang w:bidi="ar"/>
              </w:rPr>
              <w:t>中成药制剂药品</w:t>
            </w:r>
            <w:r>
              <w:rPr>
                <w:rFonts w:hint="eastAsia" w:ascii="宋体" w:hAnsi="宋体"/>
                <w:iCs w:val="0"/>
                <w:sz w:val="20"/>
                <w:lang w:bidi="ar"/>
              </w:rPr>
              <w:t>应用数字化研究</w:t>
            </w:r>
            <w:r>
              <w:rPr>
                <w:rFonts w:ascii="宋体" w:hAnsi="宋体"/>
                <w:iCs w:val="0"/>
                <w:sz w:val="20"/>
                <w:lang w:bidi="ar"/>
              </w:rPr>
              <w:t>：通过应用疗效</w:t>
            </w:r>
            <w:r>
              <w:rPr>
                <w:rFonts w:hint="eastAsia" w:ascii="宋体" w:hAnsi="宋体"/>
                <w:iCs w:val="0"/>
                <w:sz w:val="20"/>
                <w:lang w:bidi="ar"/>
              </w:rPr>
              <w:t>监测</w:t>
            </w:r>
            <w:r>
              <w:rPr>
                <w:rFonts w:ascii="宋体" w:hAnsi="宋体"/>
                <w:sz w:val="20"/>
                <w:lang w:bidi="ar"/>
              </w:rPr>
              <w:t>开展对产品的评价研究</w:t>
            </w:r>
            <w:r>
              <w:rPr>
                <w:rFonts w:hint="eastAsia" w:ascii="宋体" w:hAnsi="宋体"/>
                <w:iCs w:val="0"/>
                <w:sz w:val="20"/>
                <w:lang w:bidi="ar"/>
              </w:rPr>
              <w:t>，深入</w:t>
            </w:r>
            <w:r>
              <w:rPr>
                <w:rFonts w:ascii="宋体" w:hAnsi="宋体"/>
                <w:iCs w:val="0"/>
                <w:sz w:val="20"/>
                <w:lang w:bidi="ar"/>
              </w:rPr>
              <w:t>挖掘</w:t>
            </w:r>
            <w:r>
              <w:rPr>
                <w:rFonts w:hint="eastAsia" w:ascii="宋体" w:hAnsi="宋体"/>
                <w:iCs w:val="0"/>
                <w:sz w:val="20"/>
                <w:lang w:bidi="ar"/>
              </w:rPr>
              <w:t>并分析</w:t>
            </w:r>
            <w:r>
              <w:rPr>
                <w:rFonts w:ascii="宋体" w:hAnsi="宋体"/>
                <w:iCs w:val="0"/>
                <w:sz w:val="20"/>
                <w:lang w:bidi="ar"/>
              </w:rPr>
              <w:t>药物试验数据，</w:t>
            </w:r>
            <w:r>
              <w:rPr>
                <w:rFonts w:hint="eastAsia" w:ascii="宋体" w:hAnsi="宋体"/>
                <w:iCs w:val="0"/>
                <w:sz w:val="20"/>
                <w:lang w:bidi="ar"/>
              </w:rPr>
              <w:t>精准</w:t>
            </w:r>
            <w:r>
              <w:rPr>
                <w:rFonts w:ascii="宋体" w:hAnsi="宋体"/>
                <w:iCs w:val="0"/>
                <w:sz w:val="20"/>
                <w:lang w:bidi="ar"/>
              </w:rPr>
              <w:t>评估药物</w:t>
            </w:r>
            <w:r>
              <w:rPr>
                <w:rFonts w:hint="eastAsia" w:ascii="宋体" w:hAnsi="宋体"/>
                <w:iCs w:val="0"/>
                <w:sz w:val="20"/>
                <w:lang w:bidi="ar"/>
              </w:rPr>
              <w:t>的</w:t>
            </w:r>
            <w:r>
              <w:rPr>
                <w:rFonts w:ascii="宋体" w:hAnsi="宋体"/>
                <w:iCs w:val="0"/>
                <w:sz w:val="20"/>
                <w:lang w:bidi="ar"/>
              </w:rPr>
              <w:t>疗效</w:t>
            </w:r>
            <w:r>
              <w:rPr>
                <w:rFonts w:hint="eastAsia" w:ascii="宋体" w:hAnsi="宋体"/>
                <w:iCs w:val="0"/>
                <w:sz w:val="20"/>
                <w:lang w:bidi="ar"/>
              </w:rPr>
              <w:t>与</w:t>
            </w:r>
            <w:r>
              <w:rPr>
                <w:rFonts w:ascii="宋体" w:hAnsi="宋体"/>
                <w:iCs w:val="0"/>
                <w:sz w:val="20"/>
                <w:lang w:bidi="ar"/>
              </w:rPr>
              <w:t>安全性</w:t>
            </w:r>
            <w:r>
              <w:rPr>
                <w:rFonts w:hint="eastAsia" w:ascii="宋体" w:hAnsi="宋体"/>
                <w:iCs w:val="0"/>
                <w:sz w:val="20"/>
                <w:lang w:bidi="ar"/>
              </w:rPr>
              <w:t>状况</w:t>
            </w:r>
            <w:r>
              <w:rPr>
                <w:rFonts w:ascii="宋体" w:hAnsi="宋体"/>
                <w:iCs w:val="0"/>
                <w:sz w:val="20"/>
                <w:lang w:bidi="ar"/>
              </w:rPr>
              <w:t>，</w:t>
            </w:r>
            <w:r>
              <w:rPr>
                <w:rFonts w:hint="eastAsia" w:ascii="宋体" w:hAnsi="宋体"/>
                <w:iCs w:val="0"/>
                <w:sz w:val="20"/>
                <w:lang w:bidi="ar"/>
              </w:rPr>
              <w:t>开展中成药</w:t>
            </w:r>
            <w:r>
              <w:rPr>
                <w:rFonts w:ascii="宋体" w:hAnsi="宋体"/>
                <w:iCs w:val="0"/>
                <w:sz w:val="20"/>
                <w:lang w:bidi="ar"/>
              </w:rPr>
              <w:t>应用数字化</w:t>
            </w:r>
            <w:r>
              <w:rPr>
                <w:rFonts w:hint="eastAsia" w:ascii="宋体" w:hAnsi="宋体"/>
                <w:iCs w:val="0"/>
                <w:sz w:val="20"/>
                <w:lang w:bidi="ar"/>
              </w:rPr>
              <w:t>研究。</w:t>
            </w:r>
          </w:p>
        </w:tc>
        <w:tc>
          <w:tcPr>
            <w:tcW w:w="6100" w:type="dxa"/>
            <w:tcBorders>
              <w:top w:val="single" w:color="auto" w:sz="4" w:space="0"/>
              <w:left w:val="single" w:color="auto" w:sz="4" w:space="0"/>
              <w:bottom w:val="single" w:color="auto" w:sz="4" w:space="0"/>
              <w:right w:val="single" w:color="auto" w:sz="4" w:space="0"/>
            </w:tcBorders>
            <w:vAlign w:val="center"/>
          </w:tcPr>
          <w:p w14:paraId="64F28131">
            <w:pPr>
              <w:spacing w:before="0" w:after="0" w:line="320" w:lineRule="exact"/>
              <w:ind w:firstLine="400"/>
              <w:textAlignment w:val="center"/>
              <w:rPr>
                <w:rFonts w:ascii="宋体" w:hAnsi="宋体"/>
                <w:iCs w:val="0"/>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该项目提供的数字化应用技术平台，进行</w:t>
            </w:r>
            <w:r>
              <w:rPr>
                <w:rFonts w:ascii="宋体" w:hAnsi="宋体"/>
                <w:iCs w:val="0"/>
                <w:sz w:val="20"/>
                <w:lang w:bidi="ar"/>
              </w:rPr>
              <w:t>中成药制剂药品</w:t>
            </w:r>
            <w:r>
              <w:rPr>
                <w:rFonts w:hint="eastAsia" w:ascii="宋体" w:hAnsi="宋体"/>
                <w:sz w:val="20"/>
                <w:shd w:val="clear" w:color="auto" w:fill="FFFFFF"/>
              </w:rPr>
              <w:t>真实世界数据研究。</w:t>
            </w:r>
            <w:r>
              <w:rPr>
                <w:rFonts w:hint="eastAsia" w:ascii="宋体" w:hAnsi="宋体"/>
                <w:iCs w:val="0"/>
                <w:sz w:val="20"/>
                <w:lang w:bidi="ar"/>
              </w:rPr>
              <w:t>聚焦于</w:t>
            </w:r>
            <w:r>
              <w:rPr>
                <w:rFonts w:ascii="宋体" w:hAnsi="宋体"/>
                <w:iCs w:val="0"/>
                <w:sz w:val="20"/>
                <w:lang w:bidi="ar"/>
              </w:rPr>
              <w:t>中成药制剂药品在</w:t>
            </w:r>
            <w:r>
              <w:rPr>
                <w:rFonts w:hint="eastAsia" w:ascii="MS Gothic" w:hAnsi="MS Gothic" w:eastAsia="MS Gothic" w:cs="MS Gothic"/>
                <w:iCs w:val="0"/>
                <w:sz w:val="20"/>
                <w:lang w:bidi="ar"/>
              </w:rPr>
              <w:t>‌</w:t>
            </w:r>
            <w:r>
              <w:rPr>
                <w:rFonts w:hint="eastAsia" w:ascii="宋体" w:hAnsi="宋体"/>
                <w:iCs w:val="0"/>
                <w:sz w:val="20"/>
                <w:lang w:bidi="ar"/>
              </w:rPr>
              <w:t>以下领域的应用：</w:t>
            </w:r>
            <w:r>
              <w:fldChar w:fldCharType="begin"/>
            </w:r>
            <w:r>
              <w:instrText xml:space="preserve"> HYPERLINK "https://www.baidu.com/s?sa=re_dqa_generate&amp;wd=%E8%8D%AF%E7%90%86%E5%AD%A6%E7%A0%94%E7%A9%B6&amp;rsv_pq=c2bd601f002b5bdf&amp;oq=%E4%B8%AD%E6%88%90%E8%8D%AF%E5%88%B6%E5%89%82%E5%A4%84%E6%96%B9%E8%8D%AF%E4%B8%B4%E5%BA%8A%E5%BA%94%E7%94%A8%E8%AF%BE%E9%A2%98%E7%A0%94%E7%A9%B6%E7%9A%84%E6%96%B9%E5%90%91&amp;rsv_t=1ec0h1OTiBv8QiiXzpvrPLOYJz0LV9fm8B6IrW6MKPtkjrkPmPkhrYfxc7Q6wdxv195NJN8&amp;tn=15007414_11_dg&amp;ie=utf-8" \t "https://www.baidu.com/_blank" </w:instrText>
            </w:r>
            <w:r>
              <w:fldChar w:fldCharType="separate"/>
            </w:r>
            <w:r>
              <w:rPr>
                <w:rFonts w:ascii="宋体" w:hAnsi="宋体"/>
                <w:iCs w:val="0"/>
                <w:sz w:val="20"/>
                <w:lang w:bidi="ar"/>
              </w:rPr>
              <w:t>药理学研究</w:t>
            </w:r>
            <w:r>
              <w:rPr>
                <w:rFonts w:ascii="宋体" w:hAnsi="宋体"/>
                <w:iCs w:val="0"/>
                <w:sz w:val="20"/>
                <w:lang w:bidi="ar"/>
              </w:rPr>
              <w:fldChar w:fldCharType="end"/>
            </w:r>
            <w:r>
              <w:rPr>
                <w:rFonts w:hint="eastAsia" w:ascii="MS Gothic" w:hAnsi="MS Gothic" w:eastAsia="MS Gothic" w:cs="MS Gothic"/>
                <w:iCs w:val="0"/>
                <w:sz w:val="20"/>
                <w:lang w:bidi="ar"/>
              </w:rPr>
              <w:t>‌</w:t>
            </w:r>
            <w:r>
              <w:rPr>
                <w:rFonts w:ascii="宋体" w:hAnsi="宋体"/>
                <w:iCs w:val="0"/>
                <w:sz w:val="20"/>
                <w:lang w:bidi="ar"/>
              </w:rPr>
              <w:t>、疗效与安全性</w:t>
            </w:r>
            <w:r>
              <w:rPr>
                <w:rFonts w:hint="eastAsia" w:ascii="宋体" w:hAnsi="宋体"/>
                <w:iCs w:val="0"/>
                <w:sz w:val="20"/>
                <w:lang w:bidi="ar"/>
              </w:rPr>
              <w:t>评估</w:t>
            </w:r>
            <w:r>
              <w:rPr>
                <w:rFonts w:ascii="宋体" w:hAnsi="宋体"/>
                <w:iCs w:val="0"/>
                <w:sz w:val="20"/>
                <w:lang w:bidi="ar"/>
              </w:rPr>
              <w:t>、制剂与给药方式、</w:t>
            </w:r>
            <w:r>
              <w:fldChar w:fldCharType="begin"/>
            </w:r>
            <w:r>
              <w:instrText xml:space="preserve"> HYPERLINK "https://www.baidu.com/s?sa=re_dqa_generate&amp;wd=%E5%8C%96%E5%AD%A6%E6%88%90%E5%88%86%E5%88%86%E6%9E%90&amp;rsv_pq=c2bd601f002b5bdf&amp;oq=%E4%B8%AD%E6%88%90%E8%8D%AF%E5%88%B6%E5%89%82%E5%A4%84%E6%96%B9%E8%8D%AF%E4%B8%B4%E5%BA%8A%E5%BA%94%E7%94%A8%E8%AF%BE%E9%A2%98%E7%A0%94%E7%A9%B6%E7%9A%84%E6%96%B9%E5%90%91&amp;rsv_t=1ec0h1OTiBv8QiiXzpvrPLOYJz0LV9fm8B6IrW6MKPtkjrkPmPkhrYfxc7Q6wdxv195NJN8&amp;tn=15007414_11_dg&amp;ie=utf-8" \t "https://www.baidu.com/_blank" </w:instrText>
            </w:r>
            <w:r>
              <w:fldChar w:fldCharType="separate"/>
            </w:r>
            <w:r>
              <w:rPr>
                <w:rFonts w:ascii="宋体" w:hAnsi="宋体"/>
                <w:iCs w:val="0"/>
                <w:sz w:val="20"/>
                <w:lang w:bidi="ar"/>
              </w:rPr>
              <w:t>化学成分分析</w:t>
            </w:r>
            <w:r>
              <w:rPr>
                <w:rFonts w:ascii="宋体" w:hAnsi="宋体"/>
                <w:iCs w:val="0"/>
                <w:sz w:val="20"/>
                <w:lang w:bidi="ar"/>
              </w:rPr>
              <w:fldChar w:fldCharType="end"/>
            </w:r>
            <w:r>
              <w:rPr>
                <w:rFonts w:hint="eastAsia" w:ascii="MS Gothic" w:hAnsi="MS Gothic" w:eastAsia="MS Gothic" w:cs="MS Gothic"/>
                <w:iCs w:val="0"/>
                <w:sz w:val="20"/>
                <w:lang w:bidi="ar"/>
              </w:rPr>
              <w:t>‌</w:t>
            </w:r>
            <w:r>
              <w:rPr>
                <w:rFonts w:ascii="宋体" w:hAnsi="宋体"/>
                <w:iCs w:val="0"/>
                <w:sz w:val="20"/>
                <w:lang w:bidi="ar"/>
              </w:rPr>
              <w:t>、</w:t>
            </w:r>
            <w:r>
              <w:fldChar w:fldCharType="begin"/>
            </w:r>
            <w:r>
              <w:instrText xml:space="preserve"> HYPERLINK "https://www.baidu.com/s?sa=re_dqa_generate&amp;wd=%E8%8D%AF%E6%95%88%E8%AF%84%E4%BB%B7&amp;rsv_pq=c2bd601f002b5bdf&amp;oq=%E4%B8%AD%E6%88%90%E8%8D%AF%E5%88%B6%E5%89%82%E5%A4%84%E6%96%B9%E8%8D%AF%E4%B8%B4%E5%BA%8A%E5%BA%94%E7%94%A8%E8%AF%BE%E9%A2%98%E7%A0%94%E7%A9%B6%E7%9A%84%E6%96%B9%E5%90%91&amp;rsv_t=1ec0h1OTiBv8QiiXzpvrPLOYJz0LV9fm8B6IrW6MKPtkjrkPmPkhrYfxc7Q6wdxv195NJN8&amp;tn=15007414_11_dg&amp;ie=utf-8" \t "https://www.baidu.com/_blank" </w:instrText>
            </w:r>
            <w:r>
              <w:fldChar w:fldCharType="separate"/>
            </w:r>
            <w:r>
              <w:rPr>
                <w:rFonts w:ascii="宋体" w:hAnsi="宋体"/>
                <w:iCs w:val="0"/>
                <w:sz w:val="20"/>
                <w:lang w:bidi="ar"/>
              </w:rPr>
              <w:t>药效评价</w:t>
            </w:r>
            <w:r>
              <w:rPr>
                <w:rFonts w:ascii="宋体" w:hAnsi="宋体"/>
                <w:iCs w:val="0"/>
                <w:sz w:val="20"/>
                <w:lang w:bidi="ar"/>
              </w:rPr>
              <w:fldChar w:fldCharType="end"/>
            </w:r>
            <w:r>
              <w:rPr>
                <w:rFonts w:hint="eastAsia" w:ascii="宋体" w:hAnsi="宋体"/>
                <w:iCs w:val="0"/>
                <w:sz w:val="20"/>
                <w:lang w:bidi="ar"/>
              </w:rPr>
              <w:t>、</w:t>
            </w:r>
            <w:r>
              <w:rPr>
                <w:rFonts w:hint="eastAsia" w:ascii="MS Gothic" w:hAnsi="MS Gothic" w:eastAsia="MS Gothic" w:cs="MS Gothic"/>
                <w:iCs w:val="0"/>
                <w:sz w:val="20"/>
                <w:lang w:bidi="ar"/>
              </w:rPr>
              <w:t>‌</w:t>
            </w:r>
            <w:r>
              <w:rPr>
                <w:rFonts w:ascii="宋体" w:hAnsi="宋体"/>
                <w:iCs w:val="0"/>
                <w:sz w:val="20"/>
                <w:lang w:bidi="ar"/>
              </w:rPr>
              <w:t>现代化生产工艺</w:t>
            </w:r>
            <w:r>
              <w:rPr>
                <w:rFonts w:hint="eastAsia" w:ascii="MS Gothic" w:hAnsi="MS Gothic" w:eastAsia="MS Gothic" w:cs="MS Gothic"/>
                <w:iCs w:val="0"/>
                <w:sz w:val="20"/>
                <w:lang w:bidi="ar"/>
              </w:rPr>
              <w:t>‌</w:t>
            </w:r>
            <w:r>
              <w:rPr>
                <w:rFonts w:ascii="宋体" w:hAnsi="宋体"/>
                <w:iCs w:val="0"/>
                <w:sz w:val="20"/>
                <w:lang w:bidi="ar"/>
              </w:rPr>
              <w:t>、</w:t>
            </w:r>
            <w:r>
              <w:rPr>
                <w:rFonts w:hint="eastAsia" w:ascii="MS Gothic" w:hAnsi="MS Gothic" w:eastAsia="MS Gothic" w:cs="MS Gothic"/>
                <w:iCs w:val="0"/>
                <w:sz w:val="20"/>
                <w:lang w:bidi="ar"/>
              </w:rPr>
              <w:t>‌</w:t>
            </w:r>
            <w:r>
              <w:rPr>
                <w:rFonts w:ascii="宋体" w:hAnsi="宋体"/>
                <w:iCs w:val="0"/>
                <w:sz w:val="20"/>
                <w:lang w:bidi="ar"/>
              </w:rPr>
              <w:t>质量控制</w:t>
            </w:r>
            <w:r>
              <w:rPr>
                <w:rFonts w:hint="eastAsia" w:ascii="MS Gothic" w:hAnsi="MS Gothic" w:eastAsia="MS Gothic" w:cs="MS Gothic"/>
                <w:iCs w:val="0"/>
                <w:sz w:val="20"/>
                <w:lang w:bidi="ar"/>
              </w:rPr>
              <w:t>‌</w:t>
            </w:r>
            <w:r>
              <w:rPr>
                <w:rFonts w:ascii="宋体" w:hAnsi="宋体"/>
                <w:iCs w:val="0"/>
                <w:sz w:val="20"/>
                <w:lang w:bidi="ar"/>
              </w:rPr>
              <w:t>、</w:t>
            </w:r>
            <w:r>
              <w:rPr>
                <w:rFonts w:hint="eastAsia" w:ascii="MS Gothic" w:hAnsi="MS Gothic" w:eastAsia="MS Gothic" w:cs="MS Gothic"/>
                <w:iCs w:val="0"/>
                <w:sz w:val="20"/>
                <w:lang w:bidi="ar"/>
              </w:rPr>
              <w:t>‌</w:t>
            </w:r>
            <w:r>
              <w:rPr>
                <w:rFonts w:ascii="宋体" w:hAnsi="宋体"/>
                <w:iCs w:val="0"/>
                <w:sz w:val="20"/>
                <w:lang w:bidi="ar"/>
              </w:rPr>
              <w:t>应用</w:t>
            </w:r>
            <w:r>
              <w:rPr>
                <w:rFonts w:hint="eastAsia" w:ascii="宋体" w:hAnsi="宋体"/>
                <w:iCs w:val="0"/>
                <w:sz w:val="20"/>
                <w:lang w:bidi="ar"/>
              </w:rPr>
              <w:t>指南的编制</w:t>
            </w:r>
            <w:r>
              <w:rPr>
                <w:rFonts w:ascii="宋体" w:hAnsi="宋体"/>
                <w:iCs w:val="0"/>
                <w:sz w:val="20"/>
                <w:lang w:bidi="ar"/>
              </w:rPr>
              <w:t>、</w:t>
            </w:r>
            <w:r>
              <w:rPr>
                <w:rFonts w:hint="eastAsia" w:ascii="MS Gothic" w:hAnsi="MS Gothic" w:eastAsia="MS Gothic" w:cs="MS Gothic"/>
                <w:iCs w:val="0"/>
                <w:sz w:val="20"/>
                <w:lang w:bidi="ar"/>
              </w:rPr>
              <w:t>‌</w:t>
            </w:r>
            <w:r>
              <w:rPr>
                <w:rFonts w:ascii="宋体" w:hAnsi="宋体"/>
                <w:iCs w:val="0"/>
                <w:sz w:val="20"/>
                <w:lang w:bidi="ar"/>
              </w:rPr>
              <w:t>加强与西医药的交流与合作</w:t>
            </w:r>
            <w:r>
              <w:rPr>
                <w:rFonts w:hint="eastAsia" w:ascii="宋体" w:hAnsi="宋体"/>
                <w:iCs w:val="0"/>
                <w:sz w:val="20"/>
                <w:lang w:bidi="ar"/>
              </w:rPr>
              <w:t>。</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3B7FE566">
            <w:pPr>
              <w:spacing w:before="0" w:after="0" w:line="320" w:lineRule="exact"/>
              <w:ind w:firstLine="400"/>
              <w:rPr>
                <w:rFonts w:ascii="宋体" w:hAnsi="宋体"/>
                <w:sz w:val="20"/>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4EBC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6E8A82E">
            <w:pPr>
              <w:spacing w:before="0" w:after="0" w:line="320" w:lineRule="exact"/>
              <w:ind w:firstLine="0" w:firstLineChars="0"/>
              <w:jc w:val="center"/>
              <w:rPr>
                <w:rFonts w:ascii="宋体" w:hAnsi="宋体"/>
                <w:sz w:val="20"/>
              </w:rPr>
            </w:pPr>
            <w:bookmarkStart w:id="0" w:name="_Hlk178092229"/>
            <w:r>
              <w:rPr>
                <w:rFonts w:ascii="宋体" w:hAnsi="宋体"/>
                <w:sz w:val="20"/>
              </w:rPr>
              <w:t>A04</w:t>
            </w:r>
          </w:p>
        </w:tc>
        <w:tc>
          <w:tcPr>
            <w:tcW w:w="2126" w:type="dxa"/>
            <w:tcBorders>
              <w:top w:val="single" w:color="auto" w:sz="4" w:space="0"/>
              <w:left w:val="single" w:color="auto" w:sz="4" w:space="0"/>
              <w:bottom w:val="single" w:color="auto" w:sz="4" w:space="0"/>
              <w:right w:val="single" w:color="auto" w:sz="4" w:space="0"/>
            </w:tcBorders>
            <w:vAlign w:val="center"/>
          </w:tcPr>
          <w:p w14:paraId="3A07D668">
            <w:pPr>
              <w:spacing w:before="0" w:after="0" w:line="320" w:lineRule="exact"/>
              <w:ind w:firstLine="0" w:firstLineChars="0"/>
              <w:rPr>
                <w:rFonts w:ascii="宋体" w:hAnsi="宋体"/>
                <w:sz w:val="20"/>
              </w:rPr>
            </w:pPr>
            <w:r>
              <w:rPr>
                <w:rFonts w:ascii="宋体" w:hAnsi="宋体"/>
                <w:iCs w:val="0"/>
                <w:sz w:val="20"/>
                <w:lang w:bidi="ar"/>
              </w:rPr>
              <w:t>中药药品</w:t>
            </w:r>
            <w:r>
              <w:rPr>
                <w:rFonts w:hint="eastAsia" w:ascii="宋体" w:hAnsi="宋体"/>
                <w:iCs w:val="0"/>
                <w:sz w:val="20"/>
                <w:lang w:bidi="ar"/>
              </w:rPr>
              <w:t>应用数字化研究</w:t>
            </w:r>
            <w:r>
              <w:rPr>
                <w:rFonts w:ascii="宋体" w:hAnsi="宋体"/>
                <w:iCs w:val="0"/>
                <w:sz w:val="20"/>
                <w:lang w:bidi="ar"/>
              </w:rPr>
              <w:t>：通过</w:t>
            </w:r>
            <w:r>
              <w:rPr>
                <w:rFonts w:hint="eastAsia" w:ascii="宋体" w:hAnsi="宋体"/>
                <w:iCs w:val="0"/>
                <w:sz w:val="20"/>
                <w:lang w:bidi="ar"/>
              </w:rPr>
              <w:t>对</w:t>
            </w:r>
            <w:r>
              <w:rPr>
                <w:rFonts w:ascii="宋体" w:hAnsi="宋体"/>
                <w:iCs w:val="0"/>
                <w:sz w:val="20"/>
                <w:lang w:bidi="ar"/>
              </w:rPr>
              <w:t>应用疗效</w:t>
            </w:r>
            <w:r>
              <w:rPr>
                <w:rFonts w:hint="eastAsia" w:ascii="宋体" w:hAnsi="宋体"/>
                <w:iCs w:val="0"/>
                <w:sz w:val="20"/>
                <w:lang w:bidi="ar"/>
              </w:rPr>
              <w:t>的追踪</w:t>
            </w:r>
            <w:r>
              <w:rPr>
                <w:rFonts w:ascii="宋体" w:hAnsi="宋体"/>
                <w:iCs w:val="0"/>
                <w:sz w:val="20"/>
                <w:lang w:bidi="ar"/>
              </w:rPr>
              <w:t>和用药后的随访</w:t>
            </w:r>
            <w:r>
              <w:rPr>
                <w:rFonts w:hint="eastAsia" w:ascii="宋体" w:hAnsi="宋体"/>
                <w:iCs w:val="0"/>
                <w:sz w:val="20"/>
                <w:lang w:bidi="ar"/>
              </w:rPr>
              <w:t>跟进</w:t>
            </w:r>
            <w:r>
              <w:rPr>
                <w:rFonts w:ascii="宋体" w:hAnsi="宋体"/>
                <w:iCs w:val="0"/>
                <w:sz w:val="20"/>
                <w:lang w:bidi="ar"/>
              </w:rPr>
              <w:t>，</w:t>
            </w:r>
            <w:r>
              <w:rPr>
                <w:rFonts w:ascii="宋体" w:hAnsi="宋体"/>
                <w:sz w:val="20"/>
                <w:lang w:bidi="ar"/>
              </w:rPr>
              <w:t>加快医疗使用数据积累</w:t>
            </w:r>
            <w:r>
              <w:rPr>
                <w:rFonts w:hint="eastAsia" w:ascii="宋体" w:hAnsi="宋体"/>
                <w:sz w:val="20"/>
                <w:lang w:bidi="ar"/>
              </w:rPr>
              <w:t>，</w:t>
            </w:r>
            <w:r>
              <w:rPr>
                <w:rFonts w:hint="eastAsia" w:ascii="宋体" w:hAnsi="宋体"/>
                <w:iCs w:val="0"/>
                <w:sz w:val="20"/>
                <w:lang w:bidi="ar"/>
              </w:rPr>
              <w:t>深入</w:t>
            </w:r>
            <w:r>
              <w:rPr>
                <w:rFonts w:ascii="宋体" w:hAnsi="宋体"/>
                <w:iCs w:val="0"/>
                <w:sz w:val="20"/>
                <w:lang w:bidi="ar"/>
              </w:rPr>
              <w:t>挖掘</w:t>
            </w:r>
            <w:r>
              <w:rPr>
                <w:rFonts w:hint="eastAsia" w:ascii="宋体" w:hAnsi="宋体"/>
                <w:iCs w:val="0"/>
                <w:sz w:val="20"/>
                <w:lang w:bidi="ar"/>
              </w:rPr>
              <w:t>并</w:t>
            </w:r>
            <w:r>
              <w:rPr>
                <w:rFonts w:ascii="宋体" w:hAnsi="宋体"/>
                <w:iCs w:val="0"/>
                <w:sz w:val="20"/>
                <w:lang w:bidi="ar"/>
              </w:rPr>
              <w:t>分析药物试验数据，</w:t>
            </w:r>
            <w:r>
              <w:rPr>
                <w:rFonts w:hint="eastAsia" w:ascii="宋体" w:hAnsi="宋体"/>
                <w:iCs w:val="0"/>
                <w:sz w:val="20"/>
                <w:lang w:bidi="ar"/>
              </w:rPr>
              <w:t>精准</w:t>
            </w:r>
            <w:r>
              <w:rPr>
                <w:rFonts w:ascii="宋体" w:hAnsi="宋体"/>
                <w:iCs w:val="0"/>
                <w:sz w:val="20"/>
                <w:lang w:bidi="ar"/>
              </w:rPr>
              <w:t>评估药物</w:t>
            </w:r>
            <w:r>
              <w:rPr>
                <w:rFonts w:hint="eastAsia" w:ascii="宋体" w:hAnsi="宋体"/>
                <w:iCs w:val="0"/>
                <w:sz w:val="20"/>
                <w:lang w:bidi="ar"/>
              </w:rPr>
              <w:t>的</w:t>
            </w:r>
            <w:r>
              <w:rPr>
                <w:rFonts w:ascii="宋体" w:hAnsi="宋体"/>
                <w:iCs w:val="0"/>
                <w:sz w:val="20"/>
                <w:lang w:bidi="ar"/>
              </w:rPr>
              <w:t>疗效</w:t>
            </w:r>
            <w:r>
              <w:rPr>
                <w:rFonts w:hint="eastAsia" w:ascii="宋体" w:hAnsi="宋体"/>
                <w:iCs w:val="0"/>
                <w:sz w:val="20"/>
                <w:lang w:bidi="ar"/>
              </w:rPr>
              <w:t>及</w:t>
            </w:r>
            <w:r>
              <w:rPr>
                <w:rFonts w:ascii="宋体" w:hAnsi="宋体"/>
                <w:iCs w:val="0"/>
                <w:sz w:val="20"/>
                <w:lang w:bidi="ar"/>
              </w:rPr>
              <w:t>安全性，</w:t>
            </w:r>
            <w:r>
              <w:rPr>
                <w:rFonts w:hint="eastAsia" w:ascii="宋体" w:hAnsi="宋体"/>
                <w:iCs w:val="0"/>
                <w:sz w:val="20"/>
                <w:lang w:bidi="ar"/>
              </w:rPr>
              <w:t>全力推进中药</w:t>
            </w:r>
            <w:r>
              <w:rPr>
                <w:rFonts w:ascii="宋体" w:hAnsi="宋体"/>
                <w:iCs w:val="0"/>
                <w:sz w:val="20"/>
                <w:lang w:bidi="ar"/>
              </w:rPr>
              <w:t>应用数字化研究</w:t>
            </w:r>
            <w:r>
              <w:rPr>
                <w:rFonts w:hint="eastAsia" w:ascii="宋体" w:hAnsi="宋体"/>
                <w:iCs w:val="0"/>
                <w:sz w:val="20"/>
                <w:lang w:bidi="ar"/>
              </w:rPr>
              <w:t>进程。</w:t>
            </w:r>
          </w:p>
        </w:tc>
        <w:tc>
          <w:tcPr>
            <w:tcW w:w="6100" w:type="dxa"/>
            <w:tcBorders>
              <w:top w:val="single" w:color="auto" w:sz="4" w:space="0"/>
              <w:left w:val="single" w:color="auto" w:sz="4" w:space="0"/>
              <w:bottom w:val="single" w:color="auto" w:sz="4" w:space="0"/>
              <w:right w:val="single" w:color="auto" w:sz="4" w:space="0"/>
            </w:tcBorders>
            <w:vAlign w:val="center"/>
          </w:tcPr>
          <w:p w14:paraId="6F47E927">
            <w:pPr>
              <w:spacing w:before="0" w:after="0" w:line="320" w:lineRule="exact"/>
              <w:ind w:firstLine="400"/>
              <w:textAlignment w:val="center"/>
              <w:rPr>
                <w:rFonts w:ascii="宋体" w:hAnsi="宋体"/>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该项目提供的数字化应用技术平台，进行</w:t>
            </w:r>
            <w:r>
              <w:rPr>
                <w:rFonts w:ascii="宋体" w:hAnsi="宋体"/>
                <w:iCs w:val="0"/>
                <w:sz w:val="20"/>
                <w:lang w:bidi="ar"/>
              </w:rPr>
              <w:t>中药药品</w:t>
            </w:r>
            <w:r>
              <w:rPr>
                <w:rFonts w:hint="eastAsia" w:ascii="宋体" w:hAnsi="宋体"/>
                <w:sz w:val="20"/>
                <w:shd w:val="clear" w:color="auto" w:fill="FFFFFF"/>
              </w:rPr>
              <w:t>真实世界数据研究。</w:t>
            </w:r>
            <w:r>
              <w:rPr>
                <w:rFonts w:hint="eastAsia" w:ascii="宋体" w:hAnsi="宋体"/>
                <w:sz w:val="20"/>
                <w:lang w:bidi="ar"/>
              </w:rPr>
              <w:t>着重于</w:t>
            </w:r>
            <w:r>
              <w:rPr>
                <w:rFonts w:ascii="宋体" w:hAnsi="宋体"/>
                <w:sz w:val="20"/>
                <w:lang w:bidi="ar"/>
              </w:rPr>
              <w:t>中药药品在作用机制、疗效与安全性、制剂与给药方式、药物相互作用及配伍禁忌、</w:t>
            </w:r>
            <w:r>
              <w:rPr>
                <w:rFonts w:ascii="宋体" w:hAnsi="宋体"/>
                <w:iCs w:val="0"/>
                <w:sz w:val="20"/>
                <w:lang w:bidi="ar"/>
              </w:rPr>
              <w:t>中药和中药复方</w:t>
            </w:r>
            <w:r>
              <w:rPr>
                <w:rFonts w:hint="eastAsia" w:ascii="宋体" w:hAnsi="宋体"/>
                <w:iCs w:val="0"/>
                <w:sz w:val="20"/>
                <w:lang w:bidi="ar"/>
              </w:rPr>
              <w:t>的</w:t>
            </w:r>
            <w:r>
              <w:rPr>
                <w:rFonts w:ascii="宋体" w:hAnsi="宋体"/>
                <w:sz w:val="20"/>
                <w:lang w:bidi="ar"/>
              </w:rPr>
              <w:t>基础研究、研究技术指导原则制定、前瞻性队列和病例对照研究设计等方面的应用</w:t>
            </w:r>
            <w:r>
              <w:rPr>
                <w:rFonts w:hint="eastAsia" w:ascii="宋体" w:hAnsi="宋体"/>
                <w:sz w:val="20"/>
                <w:lang w:bidi="ar"/>
              </w:rPr>
              <w:t>。</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6B51596D">
            <w:pPr>
              <w:spacing w:before="0" w:after="0" w:line="320" w:lineRule="exact"/>
              <w:ind w:firstLine="400"/>
              <w:rPr>
                <w:rFonts w:ascii="宋体" w:hAnsi="宋体"/>
                <w:sz w:val="20"/>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52DA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3562BE">
            <w:pPr>
              <w:spacing w:before="0" w:after="0" w:line="320" w:lineRule="exact"/>
              <w:ind w:firstLine="0" w:firstLineChars="0"/>
              <w:jc w:val="center"/>
              <w:rPr>
                <w:rFonts w:ascii="宋体" w:hAnsi="宋体"/>
                <w:color w:val="auto"/>
                <w:sz w:val="20"/>
              </w:rPr>
            </w:pPr>
            <w:r>
              <w:rPr>
                <w:rFonts w:ascii="宋体" w:hAnsi="宋体"/>
                <w:color w:val="auto"/>
                <w:sz w:val="20"/>
              </w:rPr>
              <w:t>A05</w:t>
            </w:r>
          </w:p>
        </w:tc>
        <w:tc>
          <w:tcPr>
            <w:tcW w:w="2126" w:type="dxa"/>
            <w:tcBorders>
              <w:top w:val="single" w:color="auto" w:sz="4" w:space="0"/>
              <w:left w:val="single" w:color="auto" w:sz="4" w:space="0"/>
              <w:bottom w:val="single" w:color="auto" w:sz="4" w:space="0"/>
              <w:right w:val="single" w:color="auto" w:sz="4" w:space="0"/>
            </w:tcBorders>
            <w:vAlign w:val="center"/>
          </w:tcPr>
          <w:p w14:paraId="2BC8B62C">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植介入器械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10A5056A">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植介入器械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对产品的安全性和有效性评估、产品的长期效果观察、产品的优化和改进、产品的创新研发、产品的经济性和社会效益评估、效果</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1EEA3D93">
            <w:pPr>
              <w:spacing w:before="0" w:after="0" w:line="320" w:lineRule="exact"/>
              <w:ind w:firstLine="400"/>
              <w:rPr>
                <w:rFonts w:ascii="宋体" w:hAnsi="宋体"/>
                <w:sz w:val="20"/>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6599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2921E1C">
            <w:pPr>
              <w:spacing w:before="0" w:after="0" w:line="320" w:lineRule="exact"/>
              <w:ind w:firstLine="0" w:firstLineChars="0"/>
              <w:jc w:val="center"/>
              <w:rPr>
                <w:rFonts w:ascii="宋体" w:hAnsi="宋体"/>
                <w:color w:val="auto"/>
                <w:sz w:val="20"/>
              </w:rPr>
            </w:pPr>
            <w:r>
              <w:rPr>
                <w:rFonts w:ascii="宋体" w:hAnsi="宋体"/>
                <w:color w:val="auto"/>
                <w:sz w:val="20"/>
              </w:rPr>
              <w:t>A06</w:t>
            </w:r>
          </w:p>
        </w:tc>
        <w:tc>
          <w:tcPr>
            <w:tcW w:w="2126" w:type="dxa"/>
            <w:tcBorders>
              <w:top w:val="single" w:color="auto" w:sz="4" w:space="0"/>
              <w:left w:val="single" w:color="auto" w:sz="4" w:space="0"/>
              <w:bottom w:val="single" w:color="auto" w:sz="4" w:space="0"/>
              <w:right w:val="single" w:color="auto" w:sz="4" w:space="0"/>
            </w:tcBorders>
            <w:vAlign w:val="center"/>
          </w:tcPr>
          <w:p w14:paraId="1608F8D5">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体外诊断仪器和试剂</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1D98B557">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体外诊断仪器和试剂</w:t>
            </w:r>
            <w:r>
              <w:rPr>
                <w:rFonts w:hint="eastAsia" w:ascii="宋体" w:hAnsi="宋体"/>
                <w:iCs w:val="0"/>
                <w:color w:val="auto"/>
                <w:sz w:val="20"/>
                <w:lang w:bidi="ar"/>
              </w:rPr>
              <w:t>在医疗机构使用中</w:t>
            </w:r>
            <w:r>
              <w:rPr>
                <w:rFonts w:ascii="宋体" w:hAnsi="宋体"/>
                <w:iCs w:val="0"/>
                <w:color w:val="auto"/>
                <w:sz w:val="20"/>
                <w:lang w:bidi="ar"/>
              </w:rPr>
              <w:t>数字化</w:t>
            </w:r>
            <w:r>
              <w:rPr>
                <w:rFonts w:hint="eastAsia" w:ascii="宋体" w:hAnsi="宋体"/>
                <w:iCs w:val="0"/>
                <w:color w:val="auto"/>
                <w:sz w:val="20"/>
                <w:lang w:bidi="ar"/>
              </w:rPr>
              <w:t>真实世界数据</w:t>
            </w:r>
            <w:r>
              <w:rPr>
                <w:rFonts w:ascii="宋体" w:hAnsi="宋体"/>
                <w:iCs w:val="0"/>
                <w:color w:val="auto"/>
                <w:sz w:val="20"/>
                <w:lang w:bidi="ar"/>
              </w:rPr>
              <w:t>研究；对仪器功能、试剂性能、疾病短期及长期风险、筛选具有价值的生物标志物、早期预警、精准诊断及预后评估的评价、快速诊断和疗效监测、敏感性和特异性等方面的差异、预测患者的疾病发展趋势、治疗效果、参考值制定、国产替代性等进行评价。</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78D668DD">
            <w:pPr>
              <w:spacing w:before="0" w:after="0" w:line="320" w:lineRule="exact"/>
              <w:ind w:firstLine="400"/>
              <w:rPr>
                <w:rFonts w:ascii="宋体" w:hAnsi="宋体"/>
                <w:sz w:val="20"/>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7113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922910">
            <w:pPr>
              <w:spacing w:before="0" w:after="0" w:line="320" w:lineRule="exact"/>
              <w:ind w:firstLine="0" w:firstLineChars="0"/>
              <w:jc w:val="center"/>
              <w:rPr>
                <w:rFonts w:ascii="宋体" w:hAnsi="宋体"/>
                <w:color w:val="FF0000"/>
                <w:sz w:val="20"/>
              </w:rPr>
            </w:pPr>
            <w:r>
              <w:rPr>
                <w:rFonts w:ascii="宋体" w:hAnsi="宋体"/>
                <w:color w:val="auto"/>
                <w:sz w:val="20"/>
              </w:rPr>
              <w:t>A07</w:t>
            </w:r>
          </w:p>
        </w:tc>
        <w:tc>
          <w:tcPr>
            <w:tcW w:w="2126" w:type="dxa"/>
            <w:tcBorders>
              <w:top w:val="single" w:color="auto" w:sz="4" w:space="0"/>
              <w:left w:val="single" w:color="auto" w:sz="4" w:space="0"/>
              <w:bottom w:val="single" w:color="auto" w:sz="4" w:space="0"/>
              <w:right w:val="single" w:color="auto" w:sz="4" w:space="0"/>
            </w:tcBorders>
            <w:vAlign w:val="center"/>
          </w:tcPr>
          <w:p w14:paraId="6F303924">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医用成像器械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 xml:space="preserve">的产品，根据使用数据分别对图像质量、功能特性、操作便捷性、安全性、经济性进行验证。 </w:t>
            </w:r>
          </w:p>
        </w:tc>
        <w:tc>
          <w:tcPr>
            <w:tcW w:w="6100" w:type="dxa"/>
            <w:tcBorders>
              <w:top w:val="single" w:color="auto" w:sz="4" w:space="0"/>
              <w:left w:val="single" w:color="auto" w:sz="4" w:space="0"/>
              <w:bottom w:val="single" w:color="auto" w:sz="4" w:space="0"/>
              <w:right w:val="single" w:color="auto" w:sz="4" w:space="0"/>
            </w:tcBorders>
            <w:vAlign w:val="center"/>
          </w:tcPr>
          <w:p w14:paraId="109B7296">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医用成像器械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对医用成像器械（如CT、MRI、超声成像仪等）的成像质量、诊断准确性等性能、产品的安全性和可靠性验证、产品的优化和改进、产品的长期效果观察、产品的成本效益分析、</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2DE1F398">
            <w:pPr>
              <w:spacing w:before="0" w:after="0" w:line="320" w:lineRule="exact"/>
              <w:ind w:firstLine="400"/>
              <w:rPr>
                <w:color w:val="auto"/>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00C4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CB4595">
            <w:pPr>
              <w:spacing w:before="0" w:after="0" w:line="320" w:lineRule="exact"/>
              <w:ind w:firstLine="0" w:firstLineChars="0"/>
              <w:jc w:val="center"/>
              <w:rPr>
                <w:rFonts w:ascii="宋体" w:hAnsi="宋体"/>
                <w:color w:val="auto"/>
                <w:sz w:val="20"/>
              </w:rPr>
            </w:pPr>
            <w:r>
              <w:rPr>
                <w:rFonts w:ascii="宋体" w:hAnsi="宋体"/>
                <w:color w:val="auto"/>
                <w:sz w:val="20"/>
              </w:rPr>
              <w:t>A08</w:t>
            </w:r>
          </w:p>
        </w:tc>
        <w:tc>
          <w:tcPr>
            <w:tcW w:w="2126" w:type="dxa"/>
            <w:tcBorders>
              <w:top w:val="single" w:color="auto" w:sz="4" w:space="0"/>
              <w:left w:val="single" w:color="auto" w:sz="4" w:space="0"/>
              <w:bottom w:val="single" w:color="auto" w:sz="4" w:space="0"/>
              <w:right w:val="single" w:color="auto" w:sz="4" w:space="0"/>
            </w:tcBorders>
            <w:vAlign w:val="center"/>
          </w:tcPr>
          <w:p w14:paraId="40C1419F">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手术器械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w:t>
            </w:r>
            <w:r>
              <w:rPr>
                <w:rFonts w:hint="eastAsia" w:ascii="宋体" w:hAnsi="宋体"/>
                <w:iCs w:val="0"/>
                <w:color w:val="auto"/>
                <w:sz w:val="20"/>
                <w:lang w:bidi="ar"/>
              </w:rPr>
              <w:t>性</w:t>
            </w:r>
            <w:r>
              <w:rPr>
                <w:rFonts w:ascii="宋体" w:hAnsi="宋体"/>
                <w:iCs w:val="0"/>
                <w:color w:val="auto"/>
                <w:sz w:val="20"/>
                <w:lang w:bidi="ar"/>
              </w:rPr>
              <w:t>、</w:t>
            </w:r>
            <w:r>
              <w:rPr>
                <w:rFonts w:hint="eastAsia" w:ascii="宋体" w:hAnsi="宋体"/>
                <w:iCs w:val="0"/>
                <w:color w:val="auto"/>
                <w:sz w:val="20"/>
                <w:lang w:bidi="ar"/>
              </w:rPr>
              <w:t>质量与耐用性、安全性、维护与保养</w:t>
            </w:r>
            <w:r>
              <w:rPr>
                <w:rFonts w:ascii="宋体" w:hAnsi="宋体"/>
                <w:iCs w:val="0"/>
                <w:color w:val="auto"/>
                <w:sz w:val="20"/>
                <w:lang w:bidi="ar"/>
              </w:rPr>
              <w:t>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018CCF07">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iCs w:val="0"/>
                <w:color w:val="auto"/>
                <w:sz w:val="20"/>
                <w:lang w:bidi="ar"/>
              </w:rPr>
              <w:t>，</w:t>
            </w:r>
            <w:r>
              <w:rPr>
                <w:rFonts w:ascii="宋体" w:hAnsi="宋体"/>
                <w:color w:val="auto"/>
                <w:sz w:val="20"/>
                <w:shd w:val="clear" w:color="auto" w:fill="FFFFFF"/>
              </w:rPr>
              <w:t>开展</w:t>
            </w:r>
            <w:r>
              <w:rPr>
                <w:rFonts w:ascii="宋体" w:hAnsi="宋体"/>
                <w:iCs w:val="0"/>
                <w:color w:val="auto"/>
                <w:sz w:val="20"/>
                <w:lang w:bidi="ar"/>
              </w:rPr>
              <w:t>手术器械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对安全性与可靠性评估、性能与效果验证、器械的成本效益分析、器械的清洁消毒与无菌性测试、经济性、效果</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sz w:val="20"/>
                <w:shd w:val="clear" w:color="auto" w:fill="FFFFFF"/>
              </w:rPr>
              <w:t>申报产品为</w:t>
            </w:r>
            <w:r>
              <w:rPr>
                <w:rFonts w:hint="eastAsia" w:ascii="宋体" w:hAnsi="宋体"/>
                <w:sz w:val="20"/>
              </w:rPr>
              <w:t>医疗机构已经在使用或在未来3个月内即将开展使用的产品。</w:t>
            </w:r>
          </w:p>
          <w:p w14:paraId="3515CD12">
            <w:pPr>
              <w:spacing w:before="0" w:after="0" w:line="320" w:lineRule="exact"/>
              <w:ind w:firstLine="400"/>
              <w:rPr>
                <w:color w:val="auto"/>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2269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440593">
            <w:pPr>
              <w:spacing w:before="0" w:after="0" w:line="320" w:lineRule="exact"/>
              <w:ind w:firstLine="0" w:firstLineChars="0"/>
              <w:jc w:val="center"/>
              <w:rPr>
                <w:rFonts w:ascii="宋体" w:hAnsi="宋体"/>
                <w:color w:val="auto"/>
                <w:sz w:val="20"/>
              </w:rPr>
            </w:pPr>
            <w:r>
              <w:rPr>
                <w:rFonts w:ascii="宋体" w:hAnsi="宋体"/>
                <w:color w:val="auto"/>
                <w:sz w:val="20"/>
              </w:rPr>
              <w:t>A09</w:t>
            </w:r>
          </w:p>
        </w:tc>
        <w:tc>
          <w:tcPr>
            <w:tcW w:w="2126" w:type="dxa"/>
            <w:tcBorders>
              <w:top w:val="single" w:color="auto" w:sz="4" w:space="0"/>
              <w:left w:val="single" w:color="auto" w:sz="4" w:space="0"/>
              <w:bottom w:val="single" w:color="auto" w:sz="4" w:space="0"/>
              <w:right w:val="single" w:color="auto" w:sz="4" w:space="0"/>
            </w:tcBorders>
            <w:vAlign w:val="center"/>
          </w:tcPr>
          <w:p w14:paraId="177DA635">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治疗器械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5172C217">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治疗器械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对评估安全性和有效性、拓展适应症研究、优化设计和改进产品、</w:t>
            </w:r>
            <w:r>
              <w:rPr>
                <w:rFonts w:hint="eastAsia" w:ascii="宋体" w:hAnsi="宋体"/>
                <w:color w:val="auto"/>
                <w:sz w:val="20"/>
                <w:lang w:bidi="ar"/>
              </w:rPr>
              <w:t>为</w:t>
            </w:r>
            <w:r>
              <w:rPr>
                <w:rFonts w:ascii="宋体" w:hAnsi="宋体"/>
                <w:color w:val="auto"/>
                <w:sz w:val="20"/>
                <w:lang w:bidi="ar"/>
              </w:rPr>
              <w:t>专家共识和制定规范</w:t>
            </w:r>
            <w:r>
              <w:rPr>
                <w:rFonts w:hint="eastAsia" w:ascii="宋体" w:hAnsi="宋体"/>
                <w:color w:val="auto"/>
                <w:sz w:val="20"/>
                <w:lang w:bidi="ar"/>
              </w:rPr>
              <w:t>提供理论依据</w:t>
            </w:r>
            <w:r>
              <w:rPr>
                <w:rFonts w:ascii="宋体" w:hAnsi="宋体"/>
                <w:color w:val="auto"/>
                <w:sz w:val="20"/>
                <w:lang w:bidi="ar"/>
              </w:rPr>
              <w:t>、</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color w:val="auto"/>
                <w:sz w:val="20"/>
                <w:shd w:val="clear" w:color="auto" w:fill="FFFFFF"/>
              </w:rPr>
              <w:t>申报产品为</w:t>
            </w:r>
            <w:r>
              <w:rPr>
                <w:rFonts w:hint="eastAsia" w:ascii="宋体" w:hAnsi="宋体"/>
                <w:color w:val="auto"/>
                <w:sz w:val="20"/>
              </w:rPr>
              <w:t>医疗机构已经在使用或在未来3个月内即将开展使用的产品。</w:t>
            </w:r>
          </w:p>
          <w:p w14:paraId="20CF061E">
            <w:pPr>
              <w:spacing w:before="0" w:after="0" w:line="320" w:lineRule="exact"/>
              <w:ind w:firstLine="400"/>
              <w:rPr>
                <w:rFonts w:ascii="宋体" w:hAnsi="宋体"/>
                <w:iCs w:val="0"/>
                <w:color w:val="auto"/>
                <w:sz w:val="20"/>
                <w:lang w:bidi="ar"/>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432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E79FF25">
            <w:pPr>
              <w:spacing w:before="0" w:after="0" w:line="320" w:lineRule="exact"/>
              <w:ind w:firstLine="0" w:firstLineChars="0"/>
              <w:jc w:val="center"/>
              <w:rPr>
                <w:rFonts w:ascii="宋体" w:hAnsi="宋体"/>
                <w:color w:val="auto"/>
                <w:sz w:val="20"/>
              </w:rPr>
            </w:pPr>
            <w:r>
              <w:rPr>
                <w:rFonts w:ascii="宋体" w:hAnsi="宋体"/>
                <w:color w:val="auto"/>
                <w:sz w:val="20"/>
              </w:rPr>
              <w:t>A10</w:t>
            </w:r>
          </w:p>
        </w:tc>
        <w:tc>
          <w:tcPr>
            <w:tcW w:w="2126" w:type="dxa"/>
            <w:tcBorders>
              <w:top w:val="single" w:color="auto" w:sz="4" w:space="0"/>
              <w:left w:val="single" w:color="auto" w:sz="4" w:space="0"/>
              <w:bottom w:val="single" w:color="auto" w:sz="4" w:space="0"/>
              <w:right w:val="single" w:color="auto" w:sz="4" w:space="0"/>
            </w:tcBorders>
            <w:vAlign w:val="center"/>
          </w:tcPr>
          <w:p w14:paraId="42F851B7">
            <w:pPr>
              <w:spacing w:before="0" w:after="0" w:line="320" w:lineRule="exact"/>
              <w:ind w:firstLine="0" w:firstLineChars="0"/>
              <w:rPr>
                <w:rFonts w:ascii="宋体" w:hAnsi="宋体"/>
                <w:iCs w:val="0"/>
                <w:color w:val="auto"/>
                <w:sz w:val="20"/>
                <w:lang w:bidi="ar"/>
              </w:rPr>
            </w:pPr>
            <w:r>
              <w:rPr>
                <w:rFonts w:hint="eastAsia" w:ascii="宋体" w:hAnsi="宋体"/>
                <w:iCs w:val="0"/>
                <w:color w:val="auto"/>
                <w:sz w:val="20"/>
                <w:lang w:bidi="ar"/>
              </w:rPr>
              <w:t>医用</w:t>
            </w:r>
            <w:r>
              <w:rPr>
                <w:rFonts w:ascii="宋体" w:hAnsi="宋体"/>
                <w:iCs w:val="0"/>
                <w:color w:val="auto"/>
                <w:sz w:val="20"/>
                <w:lang w:bidi="ar"/>
              </w:rPr>
              <w:t>诊察监护器械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45BE5CAE">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hint="eastAsia" w:ascii="宋体" w:hAnsi="宋体"/>
                <w:color w:val="auto"/>
                <w:sz w:val="20"/>
                <w:shd w:val="clear" w:color="auto" w:fill="FFFFFF"/>
              </w:rPr>
              <w:t>医用</w:t>
            </w:r>
            <w:r>
              <w:rPr>
                <w:rFonts w:ascii="宋体" w:hAnsi="宋体"/>
                <w:iCs w:val="0"/>
                <w:color w:val="auto"/>
                <w:sz w:val="20"/>
                <w:lang w:bidi="ar"/>
              </w:rPr>
              <w:t>诊察监护器械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对评估性能、监测长期效果、发现潜在风险、支持产品改进、形成产品应用报告、</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color w:val="auto"/>
                <w:sz w:val="20"/>
                <w:shd w:val="clear" w:color="auto" w:fill="FFFFFF"/>
              </w:rPr>
              <w:t>申报产品为</w:t>
            </w:r>
            <w:r>
              <w:rPr>
                <w:rFonts w:hint="eastAsia" w:ascii="宋体" w:hAnsi="宋体"/>
                <w:color w:val="auto"/>
                <w:sz w:val="20"/>
              </w:rPr>
              <w:t>医疗机构已经在使用或在未来3个月内即将开展使用的产品。</w:t>
            </w:r>
          </w:p>
          <w:p w14:paraId="74288FE6">
            <w:pPr>
              <w:spacing w:before="0" w:after="0" w:line="320" w:lineRule="exact"/>
              <w:ind w:firstLine="400"/>
              <w:rPr>
                <w:color w:val="auto"/>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119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ECB4E28">
            <w:pPr>
              <w:spacing w:before="0" w:after="0" w:line="320" w:lineRule="exact"/>
              <w:ind w:firstLine="0" w:firstLineChars="0"/>
              <w:jc w:val="center"/>
              <w:rPr>
                <w:rFonts w:ascii="宋体" w:hAnsi="宋体"/>
                <w:color w:val="auto"/>
                <w:sz w:val="20"/>
              </w:rPr>
            </w:pPr>
            <w:r>
              <w:rPr>
                <w:rFonts w:ascii="宋体" w:hAnsi="宋体"/>
                <w:color w:val="auto"/>
                <w:sz w:val="20"/>
              </w:rPr>
              <w:t>A11</w:t>
            </w:r>
          </w:p>
        </w:tc>
        <w:tc>
          <w:tcPr>
            <w:tcW w:w="2126" w:type="dxa"/>
            <w:tcBorders>
              <w:top w:val="single" w:color="auto" w:sz="4" w:space="0"/>
              <w:left w:val="single" w:color="auto" w:sz="4" w:space="0"/>
              <w:bottom w:val="single" w:color="auto" w:sz="4" w:space="0"/>
              <w:right w:val="single" w:color="auto" w:sz="4" w:space="0"/>
            </w:tcBorders>
            <w:vAlign w:val="center"/>
          </w:tcPr>
          <w:p w14:paraId="70B20460">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康复器械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04D5ABC6">
            <w:pPr>
              <w:spacing w:before="0" w:after="0" w:line="320" w:lineRule="exact"/>
              <w:ind w:firstLine="400"/>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康复器械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对评估康复效果、安全性与舒适性、优化使用体验、探索新的应用场景、长期跟踪与监测、</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color w:val="auto"/>
                <w:sz w:val="20"/>
                <w:shd w:val="clear" w:color="auto" w:fill="FFFFFF"/>
              </w:rPr>
              <w:t>申报产品为</w:t>
            </w:r>
            <w:r>
              <w:rPr>
                <w:rFonts w:hint="eastAsia" w:ascii="宋体" w:hAnsi="宋体"/>
                <w:color w:val="auto"/>
                <w:sz w:val="20"/>
              </w:rPr>
              <w:t>医疗机构已经在使用或在未来3个月内即将开展使用的产品。</w:t>
            </w:r>
          </w:p>
          <w:p w14:paraId="2FB301F8">
            <w:pPr>
              <w:spacing w:before="0" w:after="0" w:line="320" w:lineRule="exact"/>
              <w:ind w:firstLine="400"/>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702F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F0B56E6">
            <w:pPr>
              <w:spacing w:before="0" w:after="0" w:line="320" w:lineRule="exact"/>
              <w:ind w:firstLine="0" w:firstLineChars="0"/>
              <w:jc w:val="center"/>
              <w:rPr>
                <w:rFonts w:ascii="宋体" w:hAnsi="宋体"/>
                <w:color w:val="auto"/>
                <w:sz w:val="20"/>
              </w:rPr>
            </w:pPr>
            <w:r>
              <w:rPr>
                <w:rFonts w:ascii="宋体" w:hAnsi="宋体"/>
                <w:color w:val="auto"/>
                <w:sz w:val="20"/>
              </w:rPr>
              <w:t>A12</w:t>
            </w:r>
          </w:p>
        </w:tc>
        <w:tc>
          <w:tcPr>
            <w:tcW w:w="2126" w:type="dxa"/>
            <w:tcBorders>
              <w:top w:val="single" w:color="auto" w:sz="4" w:space="0"/>
              <w:left w:val="single" w:color="auto" w:sz="4" w:space="0"/>
              <w:bottom w:val="single" w:color="auto" w:sz="4" w:space="0"/>
              <w:right w:val="single" w:color="auto" w:sz="4" w:space="0"/>
            </w:tcBorders>
            <w:vAlign w:val="center"/>
          </w:tcPr>
          <w:p w14:paraId="51A64AB2">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妇产科、辅助生殖器械</w:t>
            </w:r>
            <w:r>
              <w:rPr>
                <w:rFonts w:hint="eastAsia" w:ascii="宋体" w:hAnsi="宋体"/>
                <w:iCs w:val="0"/>
                <w:color w:val="auto"/>
                <w:sz w:val="20"/>
                <w:lang w:bidi="ar"/>
              </w:rPr>
              <w:t>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27C30BA1">
            <w:pPr>
              <w:spacing w:before="0" w:after="0" w:line="320" w:lineRule="exact"/>
              <w:ind w:firstLine="400"/>
              <w:rPr>
                <w:rFonts w:ascii="宋体" w:hAnsi="宋体"/>
                <w:iCs w:val="0"/>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妇产科、辅助生殖器械</w:t>
            </w:r>
            <w:r>
              <w:rPr>
                <w:rFonts w:hint="eastAsia" w:ascii="宋体" w:hAnsi="宋体"/>
                <w:iCs w:val="0"/>
                <w:color w:val="auto"/>
                <w:sz w:val="20"/>
                <w:lang w:bidi="ar"/>
              </w:rPr>
              <w:t>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对妇产科器械的效果评估、辅助生殖器械的有效性验证、患者体验与满意度调查、长期效果与安全性监测、</w:t>
            </w:r>
            <w:r>
              <w:rPr>
                <w:rFonts w:hint="eastAsia" w:ascii="宋体" w:hAnsi="宋体"/>
                <w:color w:val="auto"/>
                <w:sz w:val="20"/>
                <w:lang w:bidi="ar"/>
              </w:rPr>
              <w:t>真实世界</w:t>
            </w:r>
            <w:r>
              <w:rPr>
                <w:rFonts w:ascii="宋体" w:hAnsi="宋体"/>
                <w:color w:val="auto"/>
                <w:sz w:val="20"/>
                <w:lang w:bidi="ar"/>
              </w:rPr>
              <w:t>数据支持决策、</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color w:val="auto"/>
                <w:sz w:val="20"/>
                <w:shd w:val="clear" w:color="auto" w:fill="FFFFFF"/>
              </w:rPr>
              <w:t>申报产品为</w:t>
            </w:r>
            <w:r>
              <w:rPr>
                <w:rFonts w:hint="eastAsia" w:ascii="宋体" w:hAnsi="宋体"/>
                <w:color w:val="auto"/>
                <w:sz w:val="20"/>
              </w:rPr>
              <w:t>医疗机构已经在使用或在未来3个月内即将开展使用的产品。</w:t>
            </w:r>
          </w:p>
          <w:p w14:paraId="41FF4EC1">
            <w:pPr>
              <w:spacing w:before="0" w:after="0" w:line="320" w:lineRule="exact"/>
              <w:ind w:firstLine="400"/>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6AA8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66AC8CA">
            <w:pPr>
              <w:spacing w:before="0" w:after="0" w:line="320" w:lineRule="exact"/>
              <w:ind w:firstLine="0" w:firstLineChars="0"/>
              <w:jc w:val="center"/>
              <w:rPr>
                <w:rFonts w:ascii="宋体" w:hAnsi="宋体"/>
                <w:color w:val="auto"/>
                <w:sz w:val="20"/>
              </w:rPr>
            </w:pPr>
            <w:r>
              <w:rPr>
                <w:rFonts w:ascii="宋体" w:hAnsi="宋体"/>
                <w:color w:val="auto"/>
                <w:sz w:val="20"/>
              </w:rPr>
              <w:t>A13</w:t>
            </w:r>
          </w:p>
        </w:tc>
        <w:tc>
          <w:tcPr>
            <w:tcW w:w="2126" w:type="dxa"/>
            <w:tcBorders>
              <w:top w:val="single" w:color="auto" w:sz="4" w:space="0"/>
              <w:left w:val="single" w:color="auto" w:sz="4" w:space="0"/>
              <w:bottom w:val="single" w:color="auto" w:sz="4" w:space="0"/>
              <w:right w:val="single" w:color="auto" w:sz="4" w:space="0"/>
            </w:tcBorders>
            <w:vAlign w:val="center"/>
          </w:tcPr>
          <w:p w14:paraId="0C845CC0">
            <w:pPr>
              <w:spacing w:before="0" w:after="0" w:line="320" w:lineRule="exact"/>
              <w:ind w:firstLine="36" w:firstLineChars="18"/>
              <w:rPr>
                <w:rFonts w:ascii="宋体" w:hAnsi="宋体"/>
                <w:iCs w:val="0"/>
                <w:color w:val="auto"/>
                <w:sz w:val="20"/>
                <w:lang w:bidi="ar"/>
              </w:rPr>
            </w:pPr>
            <w:r>
              <w:rPr>
                <w:rFonts w:ascii="宋体" w:hAnsi="宋体"/>
                <w:iCs w:val="0"/>
                <w:color w:val="auto"/>
                <w:sz w:val="20"/>
                <w:lang w:bidi="ar"/>
              </w:rPr>
              <w:t>医用软件</w:t>
            </w:r>
            <w:r>
              <w:rPr>
                <w:rFonts w:hint="eastAsia" w:ascii="宋体" w:hAnsi="宋体"/>
                <w:iCs w:val="0"/>
                <w:color w:val="auto"/>
                <w:sz w:val="20"/>
                <w:lang w:bidi="ar"/>
              </w:rPr>
              <w:t>数字化应用研究</w:t>
            </w:r>
            <w:r>
              <w:rPr>
                <w:rFonts w:ascii="宋体" w:hAnsi="宋体"/>
                <w:iCs w:val="0"/>
                <w:color w:val="auto"/>
                <w:sz w:val="20"/>
                <w:lang w:bidi="ar"/>
              </w:rPr>
              <w:t>：开展应用数据收集与对比评</w:t>
            </w:r>
            <w:r>
              <w:rPr>
                <w:rFonts w:hint="eastAsia" w:ascii="宋体" w:hAnsi="宋体"/>
                <w:iCs w:val="0"/>
                <w:color w:val="auto"/>
                <w:sz w:val="20"/>
                <w:lang w:bidi="ar"/>
              </w:rPr>
              <w:t>测</w:t>
            </w:r>
            <w:r>
              <w:rPr>
                <w:rFonts w:ascii="宋体" w:hAnsi="宋体"/>
                <w:iCs w:val="0"/>
                <w:color w:val="auto"/>
                <w:sz w:val="20"/>
                <w:lang w:bidi="ar"/>
              </w:rPr>
              <w:t>，</w:t>
            </w:r>
            <w:r>
              <w:rPr>
                <w:rFonts w:hint="eastAsia" w:ascii="宋体" w:hAnsi="宋体"/>
                <w:iCs w:val="0"/>
                <w:color w:val="auto"/>
                <w:sz w:val="20"/>
                <w:lang w:bidi="ar"/>
              </w:rPr>
              <w:t>针对功能（需求满足度、数据准确性和完整性、操作便捷性）、性能（响应速度、稳定性和可靠性、兼容性）及安全性（数据安全、系统安全）进行验证。</w:t>
            </w:r>
          </w:p>
        </w:tc>
        <w:tc>
          <w:tcPr>
            <w:tcW w:w="6100" w:type="dxa"/>
            <w:tcBorders>
              <w:top w:val="single" w:color="auto" w:sz="4" w:space="0"/>
              <w:left w:val="single" w:color="auto" w:sz="4" w:space="0"/>
              <w:bottom w:val="single" w:color="auto" w:sz="4" w:space="0"/>
              <w:right w:val="single" w:color="auto" w:sz="4" w:space="0"/>
            </w:tcBorders>
            <w:vAlign w:val="center"/>
          </w:tcPr>
          <w:p w14:paraId="7BA543F2">
            <w:pPr>
              <w:spacing w:before="0" w:after="0" w:line="320" w:lineRule="exact"/>
              <w:ind w:firstLine="400"/>
              <w:rPr>
                <w:rFonts w:ascii="宋体" w:hAnsi="宋体"/>
                <w:color w:val="auto"/>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iCs w:val="0"/>
                <w:color w:val="auto"/>
                <w:sz w:val="20"/>
                <w:lang w:bidi="ar"/>
              </w:rPr>
              <w:t>进行医用软件在医疗机构内应用</w:t>
            </w:r>
            <w:r>
              <w:rPr>
                <w:rFonts w:hint="eastAsia" w:ascii="宋体" w:hAnsi="宋体"/>
                <w:iCs w:val="0"/>
                <w:color w:val="auto"/>
                <w:sz w:val="20"/>
                <w:lang w:bidi="ar"/>
              </w:rPr>
              <w:t>。</w:t>
            </w:r>
            <w:r>
              <w:rPr>
                <w:rFonts w:hint="eastAsia" w:ascii="宋体" w:hAnsi="宋体"/>
                <w:color w:val="auto"/>
                <w:sz w:val="20"/>
                <w:lang w:bidi="ar"/>
              </w:rPr>
              <w:t>医疗机构使用人员反馈</w:t>
            </w:r>
            <w:r>
              <w:rPr>
                <w:rFonts w:ascii="宋体" w:hAnsi="宋体"/>
                <w:color w:val="auto"/>
                <w:sz w:val="20"/>
                <w:lang w:bidi="ar"/>
              </w:rPr>
              <w:t>使用体验和满意度</w:t>
            </w:r>
            <w:r>
              <w:rPr>
                <w:rFonts w:hint="eastAsia" w:ascii="宋体" w:hAnsi="宋体"/>
                <w:color w:val="auto"/>
                <w:sz w:val="20"/>
                <w:lang w:bidi="ar"/>
              </w:rPr>
              <w:t>，帮助发现软件存在的问题及不足之处，软件开发企业积极与用户沟通，不断改进软件的功能与性能。医用软件开发企业提供培训和技术支持，帮助快速掌握软件的使用方法，提高工作效率。技术支持及时响应用户的问题，确保软件的正常运行。</w:t>
            </w:r>
            <w:r>
              <w:rPr>
                <w:rFonts w:hint="eastAsia" w:ascii="宋体" w:hAnsi="宋体" w:cs="Segoe UI"/>
                <w:color w:val="auto"/>
                <w:sz w:val="20"/>
                <w:shd w:val="clear" w:color="auto" w:fill="FFFFFF"/>
              </w:rPr>
              <w:t>申报产品为</w:t>
            </w:r>
            <w:r>
              <w:rPr>
                <w:rFonts w:hint="eastAsia" w:ascii="宋体" w:hAnsi="宋体"/>
                <w:color w:val="auto"/>
                <w:sz w:val="20"/>
              </w:rPr>
              <w:t>医疗机构已经在使用或在未来3个月内即将开展使用的产品。</w:t>
            </w:r>
          </w:p>
          <w:p w14:paraId="051073A5">
            <w:pPr>
              <w:spacing w:before="0" w:after="0" w:line="320" w:lineRule="exact"/>
              <w:ind w:firstLine="400"/>
              <w:rPr>
                <w:rFonts w:ascii="宋体" w:hAnsi="宋体"/>
                <w:iCs w:val="0"/>
                <w:color w:val="FF0000"/>
                <w:sz w:val="20"/>
                <w:lang w:bidi="ar"/>
              </w:rPr>
            </w:pPr>
            <w:r>
              <w:rPr>
                <w:rFonts w:hint="eastAsia" w:ascii="宋体" w:hAnsi="宋体"/>
                <w:color w:val="auto"/>
                <w:sz w:val="20"/>
                <w:lang w:bidi="ar"/>
              </w:rPr>
              <w:t>同时考察</w:t>
            </w:r>
            <w:r>
              <w:rPr>
                <w:rFonts w:ascii="宋体" w:hAnsi="宋体"/>
                <w:color w:val="auto"/>
                <w:sz w:val="20"/>
                <w:lang w:bidi="ar"/>
              </w:rPr>
              <w:t>考察软件的文档和帮助系统是否完善，</w:t>
            </w:r>
            <w:r>
              <w:rPr>
                <w:rFonts w:hint="eastAsia" w:ascii="宋体" w:hAnsi="宋体"/>
                <w:color w:val="auto"/>
                <w:sz w:val="20"/>
                <w:lang w:bidi="ar"/>
              </w:rPr>
              <w:t>使用人员</w:t>
            </w:r>
            <w:r>
              <w:rPr>
                <w:rFonts w:ascii="宋体" w:hAnsi="宋体"/>
                <w:color w:val="auto"/>
                <w:sz w:val="20"/>
                <w:lang w:bidi="ar"/>
              </w:rPr>
              <w:t>能否方便地获取所需的信息</w:t>
            </w:r>
            <w:r>
              <w:rPr>
                <w:rFonts w:hint="eastAsia" w:ascii="宋体" w:hAnsi="宋体"/>
                <w:color w:val="auto"/>
                <w:sz w:val="20"/>
                <w:lang w:bidi="ar"/>
              </w:rPr>
              <w:t>；</w:t>
            </w:r>
            <w:r>
              <w:rPr>
                <w:rFonts w:ascii="宋体" w:hAnsi="宋体"/>
                <w:color w:val="auto"/>
                <w:sz w:val="20"/>
                <w:lang w:bidi="ar"/>
              </w:rPr>
              <w:t>如软件应提供详细的用户手册和在线帮助文档，以便用户在使用过程中随时查阅。</w:t>
            </w:r>
            <w:r>
              <w:rPr>
                <w:rFonts w:ascii="宋体" w:hAnsi="宋体"/>
                <w:iCs w:val="0"/>
                <w:color w:val="auto"/>
                <w:sz w:val="20"/>
                <w:lang w:bidi="ar"/>
              </w:rPr>
              <w:t>为教学建立医用软件相关案例库，搭建师生专业的学习平台，为医用软件行业标准提供借鉴</w:t>
            </w:r>
            <w:r>
              <w:rPr>
                <w:rFonts w:hint="eastAsia" w:ascii="宋体" w:hAnsi="宋体"/>
                <w:iCs w:val="0"/>
                <w:color w:val="auto"/>
                <w:sz w:val="20"/>
                <w:lang w:bidi="ar"/>
              </w:rPr>
              <w:t>。</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tr w14:paraId="0D88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62B5E0A">
            <w:pPr>
              <w:spacing w:before="0" w:after="0" w:line="320" w:lineRule="exact"/>
              <w:ind w:firstLine="0" w:firstLineChars="0"/>
              <w:jc w:val="center"/>
              <w:rPr>
                <w:rFonts w:ascii="宋体" w:hAnsi="宋体"/>
                <w:color w:val="auto"/>
                <w:sz w:val="20"/>
              </w:rPr>
            </w:pPr>
            <w:r>
              <w:rPr>
                <w:rFonts w:ascii="宋体" w:hAnsi="宋体"/>
                <w:color w:val="auto"/>
                <w:sz w:val="20"/>
              </w:rPr>
              <w:t>A14</w:t>
            </w:r>
          </w:p>
        </w:tc>
        <w:tc>
          <w:tcPr>
            <w:tcW w:w="2126" w:type="dxa"/>
            <w:tcBorders>
              <w:top w:val="single" w:color="auto" w:sz="4" w:space="0"/>
              <w:left w:val="single" w:color="auto" w:sz="4" w:space="0"/>
              <w:bottom w:val="single" w:color="auto" w:sz="4" w:space="0"/>
              <w:right w:val="single" w:color="auto" w:sz="4" w:space="0"/>
            </w:tcBorders>
            <w:vAlign w:val="center"/>
          </w:tcPr>
          <w:p w14:paraId="509823A7">
            <w:pPr>
              <w:spacing w:before="0" w:after="0" w:line="320" w:lineRule="exact"/>
              <w:ind w:firstLine="0" w:firstLineChars="0"/>
              <w:rPr>
                <w:rFonts w:ascii="宋体" w:hAnsi="宋体"/>
                <w:iCs w:val="0"/>
                <w:color w:val="auto"/>
                <w:sz w:val="20"/>
                <w:lang w:bidi="ar"/>
              </w:rPr>
            </w:pPr>
            <w:r>
              <w:rPr>
                <w:rFonts w:ascii="宋体" w:hAnsi="宋体"/>
                <w:iCs w:val="0"/>
                <w:color w:val="auto"/>
                <w:sz w:val="20"/>
                <w:lang w:bidi="ar"/>
              </w:rPr>
              <w:t>其他医疗器械</w:t>
            </w:r>
            <w:r>
              <w:rPr>
                <w:rFonts w:hint="eastAsia" w:ascii="宋体" w:hAnsi="宋体"/>
                <w:iCs w:val="0"/>
                <w:color w:val="auto"/>
                <w:sz w:val="20"/>
                <w:lang w:bidi="ar"/>
              </w:rPr>
              <w:t>或其他医疗用产品应用数字化研究</w:t>
            </w:r>
            <w:r>
              <w:rPr>
                <w:rFonts w:ascii="宋体" w:hAnsi="宋体"/>
                <w:iCs w:val="0"/>
                <w:color w:val="auto"/>
                <w:sz w:val="20"/>
                <w:lang w:bidi="ar"/>
              </w:rPr>
              <w:t>：</w:t>
            </w:r>
            <w:r>
              <w:rPr>
                <w:rFonts w:hint="eastAsia" w:ascii="宋体" w:hAnsi="宋体"/>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hint="eastAsia" w:ascii="宋体" w:hAnsi="宋体"/>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hint="eastAsia" w:ascii="宋体" w:hAnsi="宋体"/>
                <w:iCs w:val="0"/>
                <w:color w:val="auto"/>
                <w:sz w:val="20"/>
                <w:lang w:bidi="ar"/>
              </w:rPr>
              <w:t>。</w:t>
            </w:r>
          </w:p>
        </w:tc>
        <w:tc>
          <w:tcPr>
            <w:tcW w:w="6100" w:type="dxa"/>
            <w:tcBorders>
              <w:top w:val="single" w:color="auto" w:sz="4" w:space="0"/>
              <w:left w:val="single" w:color="auto" w:sz="4" w:space="0"/>
              <w:bottom w:val="single" w:color="auto" w:sz="4" w:space="0"/>
              <w:right w:val="single" w:color="auto" w:sz="4" w:space="0"/>
            </w:tcBorders>
            <w:vAlign w:val="center"/>
          </w:tcPr>
          <w:p w14:paraId="5B22C098">
            <w:pPr>
              <w:spacing w:before="0" w:after="0" w:line="320" w:lineRule="exact"/>
              <w:ind w:firstLine="400"/>
              <w:rPr>
                <w:rFonts w:ascii="宋体" w:hAnsi="宋体"/>
                <w:iCs w:val="0"/>
                <w:color w:val="FF0000"/>
                <w:sz w:val="20"/>
                <w:lang w:bidi="ar"/>
              </w:rPr>
            </w:pPr>
            <w:r>
              <w:rPr>
                <w:rFonts w:ascii="宋体" w:hAnsi="宋体" w:cs="Segoe UI"/>
                <w:sz w:val="20"/>
                <w:shd w:val="clear" w:color="auto" w:fill="FFFFFF"/>
              </w:rPr>
              <w:t>本研究</w:t>
            </w:r>
            <w:r>
              <w:rPr>
                <w:rFonts w:hint="eastAsia" w:ascii="宋体" w:hAnsi="宋体" w:cs="Segoe UI"/>
                <w:sz w:val="20"/>
                <w:shd w:val="clear" w:color="auto" w:fill="FFFFFF"/>
              </w:rPr>
              <w:t>基于</w:t>
            </w:r>
            <w:r>
              <w:rPr>
                <w:rFonts w:hint="eastAsia" w:ascii="宋体" w:hAnsi="宋体"/>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其他医疗器械</w:t>
            </w:r>
            <w:r>
              <w:rPr>
                <w:rFonts w:hint="eastAsia" w:ascii="宋体" w:hAnsi="宋体"/>
                <w:iCs w:val="0"/>
                <w:color w:val="auto"/>
                <w:sz w:val="20"/>
                <w:lang w:bidi="ar"/>
              </w:rPr>
              <w:t>和其他医疗用产品在医疗机构使用中数字化</w:t>
            </w:r>
            <w:r>
              <w:rPr>
                <w:rFonts w:hint="eastAsia" w:ascii="宋体" w:hAnsi="宋体"/>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对评估器械</w:t>
            </w:r>
            <w:r>
              <w:rPr>
                <w:rFonts w:hint="eastAsia" w:ascii="宋体" w:hAnsi="宋体"/>
                <w:iCs w:val="0"/>
                <w:color w:val="auto"/>
                <w:sz w:val="20"/>
                <w:lang w:bidi="ar"/>
              </w:rPr>
              <w:t>和其他医疗用产品</w:t>
            </w:r>
            <w:r>
              <w:rPr>
                <w:rFonts w:ascii="宋体" w:hAnsi="宋体"/>
                <w:color w:val="auto"/>
                <w:sz w:val="20"/>
                <w:lang w:bidi="ar"/>
              </w:rPr>
              <w:t>在实际应用中的性能、安全性监测、优化器械设计、探索新的应用场景、成本效益分析、效果</w:t>
            </w:r>
            <w:r>
              <w:rPr>
                <w:rFonts w:hint="eastAsia" w:ascii="宋体" w:hAnsi="宋体"/>
                <w:color w:val="auto"/>
                <w:sz w:val="20"/>
                <w:lang w:bidi="ar"/>
              </w:rPr>
              <w:t>、国产替代性</w:t>
            </w:r>
            <w:r>
              <w:rPr>
                <w:rFonts w:ascii="宋体" w:hAnsi="宋体"/>
                <w:color w:val="auto"/>
                <w:sz w:val="20"/>
                <w:lang w:bidi="ar"/>
              </w:rPr>
              <w:t>等进行评价</w:t>
            </w:r>
            <w:r>
              <w:rPr>
                <w:rFonts w:hint="eastAsia" w:ascii="宋体" w:hAnsi="宋体"/>
                <w:color w:val="auto"/>
                <w:sz w:val="20"/>
                <w:lang w:bidi="ar"/>
              </w:rPr>
              <w:t>。</w:t>
            </w:r>
            <w:r>
              <w:rPr>
                <w:rFonts w:hint="eastAsia" w:ascii="宋体" w:hAnsi="宋体" w:cs="Segoe UI"/>
                <w:color w:val="auto"/>
                <w:sz w:val="20"/>
                <w:shd w:val="clear" w:color="auto" w:fill="FFFFFF"/>
              </w:rPr>
              <w:t>申报产品为</w:t>
            </w:r>
            <w:r>
              <w:rPr>
                <w:rFonts w:hint="eastAsia" w:ascii="宋体" w:hAnsi="宋体"/>
                <w:color w:val="auto"/>
                <w:sz w:val="20"/>
              </w:rPr>
              <w:t>医疗机构已经在使用或在未来3个月内即将开展使用的产品。</w:t>
            </w:r>
          </w:p>
          <w:p w14:paraId="5A19EFB6">
            <w:pPr>
              <w:spacing w:before="0" w:after="0" w:line="320" w:lineRule="exact"/>
              <w:ind w:firstLine="400"/>
              <w:rPr>
                <w:rFonts w:ascii="宋体" w:hAnsi="宋体"/>
                <w:iCs w:val="0"/>
                <w:color w:val="FF0000"/>
                <w:sz w:val="20"/>
                <w:lang w:bidi="ar"/>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。通过新一代信息技术进行跟踪、保障研究整体进度，结合项目周期完成研究样本收集，依托项目指定数字化科研平台生成技术报告。</w:t>
            </w:r>
          </w:p>
        </w:tc>
      </w:tr>
      <w:bookmarkEnd w:id="0"/>
    </w:tbl>
    <w:p w14:paraId="111961A1">
      <w:pPr>
        <w:spacing w:before="0" w:after="0" w:line="500" w:lineRule="exact"/>
        <w:ind w:firstLine="480"/>
        <w:rPr>
          <w:rFonts w:ascii="华文仿宋" w:hAnsi="华文仿宋" w:eastAsia="华文仿宋"/>
          <w:sz w:val="24"/>
          <w:szCs w:val="24"/>
        </w:rPr>
      </w:pPr>
    </w:p>
    <w:p w14:paraId="27F81233">
      <w:pPr>
        <w:spacing w:before="0" w:after="0" w:line="500" w:lineRule="exact"/>
        <w:ind w:firstLine="480"/>
        <w:rPr>
          <w:rFonts w:eastAsiaTheme="majorEastAsia"/>
          <w:sz w:val="24"/>
          <w:szCs w:val="24"/>
        </w:rPr>
      </w:pPr>
      <w:r>
        <w:rPr>
          <w:rFonts w:hint="eastAsia" w:ascii="宋体" w:hAnsi="宋体" w:cs="宋体"/>
          <w:color w:val="000000" w:themeColor="text1"/>
          <w:kern w:val="24"/>
          <w:sz w:val="24"/>
          <w:szCs w:val="24"/>
          <w14:textFill>
            <w14:solidFill>
              <w14:schemeClr w14:val="tx1"/>
            </w14:solidFill>
          </w14:textFill>
        </w:rPr>
        <w:t>⑵ 科研成果转化课题：根据自身的条件和区域的特点，要求基于相关产品药物、医疗器械领域进行研究，鼓励提出原创性新课题申请，鼓励学科交叉，申请院校可从表二中选择课题领域进行申报。</w:t>
      </w:r>
    </w:p>
    <w:p w14:paraId="2FC5BC15">
      <w:pPr>
        <w:spacing w:before="0" w:after="0" w:line="480" w:lineRule="exact"/>
        <w:ind w:firstLine="0" w:firstLineChars="0"/>
        <w:jc w:val="center"/>
        <w:rPr>
          <w:rFonts w:ascii="宋体" w:hAnsi="宋体"/>
          <w:b/>
          <w:sz w:val="24"/>
          <w:szCs w:val="24"/>
        </w:rPr>
      </w:pPr>
      <w:r>
        <w:rPr>
          <w:rFonts w:ascii="宋体" w:hAnsi="宋体"/>
          <w:b/>
          <w:sz w:val="24"/>
          <w:szCs w:val="24"/>
        </w:rPr>
        <w:t xml:space="preserve">表二 </w:t>
      </w:r>
      <w:r>
        <w:rPr>
          <w:rFonts w:hint="eastAsia" w:ascii="宋体" w:hAnsi="宋体"/>
          <w:b/>
          <w:sz w:val="24"/>
          <w:szCs w:val="24"/>
        </w:rPr>
        <w:t>科研成果转化</w:t>
      </w:r>
      <w:r>
        <w:rPr>
          <w:rFonts w:ascii="宋体" w:hAnsi="宋体"/>
          <w:b/>
          <w:sz w:val="24"/>
          <w:szCs w:val="24"/>
        </w:rPr>
        <w:t>课题选题列表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6095"/>
      </w:tblGrid>
      <w:tr w14:paraId="01B5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BFBFBF"/>
            <w:vAlign w:val="center"/>
          </w:tcPr>
          <w:p w14:paraId="1904F62F">
            <w:pPr>
              <w:spacing w:before="0" w:after="0" w:line="320" w:lineRule="exact"/>
              <w:ind w:firstLine="19" w:firstLineChars="9"/>
              <w:jc w:val="center"/>
              <w:rPr>
                <w:rFonts w:ascii="宋体" w:hAnsi="宋体"/>
                <w:b/>
                <w:szCs w:val="21"/>
              </w:rPr>
            </w:pPr>
            <w:r>
              <w:rPr>
                <w:rFonts w:hint="eastAsia" w:ascii="宋体" w:hAnsi="宋体"/>
                <w:b/>
                <w:szCs w:val="21"/>
              </w:rPr>
              <w:t>课题</w:t>
            </w:r>
            <w:r>
              <w:rPr>
                <w:rFonts w:ascii="宋体" w:hAnsi="宋体"/>
                <w:b/>
                <w:szCs w:val="21"/>
              </w:rPr>
              <w:t>方向编号</w:t>
            </w:r>
          </w:p>
        </w:tc>
        <w:tc>
          <w:tcPr>
            <w:tcW w:w="2126" w:type="dxa"/>
            <w:tcBorders>
              <w:top w:val="single" w:color="auto" w:sz="4" w:space="0"/>
              <w:left w:val="single" w:color="auto" w:sz="4" w:space="0"/>
              <w:bottom w:val="single" w:color="auto" w:sz="4" w:space="0"/>
              <w:right w:val="single" w:color="auto" w:sz="4" w:space="0"/>
            </w:tcBorders>
            <w:shd w:val="clear" w:color="auto" w:fill="BFBFBF"/>
            <w:vAlign w:val="center"/>
          </w:tcPr>
          <w:p w14:paraId="4CEC3A0A">
            <w:pPr>
              <w:spacing w:before="0" w:after="0" w:line="320" w:lineRule="exact"/>
              <w:ind w:firstLine="38" w:firstLineChars="18"/>
              <w:jc w:val="center"/>
              <w:rPr>
                <w:rFonts w:ascii="宋体" w:hAnsi="宋体"/>
                <w:b/>
                <w:szCs w:val="21"/>
              </w:rPr>
            </w:pPr>
            <w:r>
              <w:rPr>
                <w:rFonts w:ascii="宋体" w:hAnsi="宋体"/>
                <w:b/>
                <w:szCs w:val="21"/>
              </w:rPr>
              <w:t>课题方向</w:t>
            </w:r>
          </w:p>
        </w:tc>
        <w:tc>
          <w:tcPr>
            <w:tcW w:w="6095" w:type="dxa"/>
            <w:tcBorders>
              <w:top w:val="single" w:color="auto" w:sz="4" w:space="0"/>
              <w:left w:val="single" w:color="auto" w:sz="4" w:space="0"/>
              <w:bottom w:val="single" w:color="auto" w:sz="4" w:space="0"/>
              <w:right w:val="single" w:color="auto" w:sz="4" w:space="0"/>
            </w:tcBorders>
            <w:shd w:val="clear" w:color="auto" w:fill="BFBFBF"/>
            <w:vAlign w:val="center"/>
          </w:tcPr>
          <w:p w14:paraId="771C9898">
            <w:pPr>
              <w:spacing w:before="0" w:after="0" w:line="320" w:lineRule="exact"/>
              <w:ind w:firstLine="38" w:firstLineChars="18"/>
              <w:jc w:val="center"/>
              <w:rPr>
                <w:rFonts w:ascii="宋体" w:hAnsi="宋体"/>
                <w:b/>
                <w:szCs w:val="21"/>
              </w:rPr>
            </w:pPr>
            <w:r>
              <w:rPr>
                <w:rFonts w:ascii="宋体" w:hAnsi="宋体"/>
                <w:b/>
                <w:szCs w:val="21"/>
              </w:rPr>
              <w:t>课题研究内容</w:t>
            </w:r>
          </w:p>
        </w:tc>
      </w:tr>
      <w:tr w14:paraId="52F6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0BB6E74">
            <w:pPr>
              <w:spacing w:before="32" w:beforeLines="10" w:after="32" w:afterLines="10" w:line="320" w:lineRule="exact"/>
              <w:ind w:firstLine="18" w:firstLineChars="9"/>
              <w:jc w:val="center"/>
              <w:rPr>
                <w:rFonts w:ascii="宋体" w:hAnsi="宋体"/>
                <w:sz w:val="20"/>
              </w:rPr>
            </w:pPr>
            <w:r>
              <w:rPr>
                <w:rFonts w:ascii="宋体" w:hAnsi="宋体"/>
                <w:sz w:val="20"/>
              </w:rPr>
              <w:t>B01</w:t>
            </w:r>
          </w:p>
        </w:tc>
        <w:tc>
          <w:tcPr>
            <w:tcW w:w="2126" w:type="dxa"/>
            <w:tcBorders>
              <w:top w:val="single" w:color="auto" w:sz="4" w:space="0"/>
              <w:left w:val="single" w:color="auto" w:sz="4" w:space="0"/>
              <w:bottom w:val="single" w:color="auto" w:sz="4" w:space="0"/>
              <w:right w:val="single" w:color="auto" w:sz="4" w:space="0"/>
            </w:tcBorders>
            <w:vAlign w:val="center"/>
          </w:tcPr>
          <w:p w14:paraId="7393C49A">
            <w:pPr>
              <w:spacing w:before="32" w:beforeLines="10" w:after="32" w:afterLines="10" w:line="320" w:lineRule="exact"/>
              <w:ind w:firstLine="0" w:firstLineChars="0"/>
              <w:rPr>
                <w:rFonts w:ascii="宋体" w:hAnsi="宋体"/>
                <w:sz w:val="20"/>
              </w:rPr>
            </w:pPr>
            <w:r>
              <w:rPr>
                <w:rFonts w:ascii="宋体" w:hAnsi="宋体"/>
                <w:sz w:val="20"/>
              </w:rPr>
              <w:t>首次发现中药创新物质、首家创新药、首家创新医疗器械</w:t>
            </w:r>
            <w:r>
              <w:rPr>
                <w:rFonts w:hint="eastAsia" w:ascii="宋体" w:hAnsi="宋体"/>
                <w:sz w:val="20"/>
              </w:rPr>
              <w:t>、创新给药方式（或剂型）、创新医疗服务</w:t>
            </w:r>
            <w:r>
              <w:rPr>
                <w:rFonts w:ascii="宋体" w:hAnsi="宋体"/>
                <w:sz w:val="20"/>
              </w:rPr>
              <w:t>的</w:t>
            </w:r>
            <w:r>
              <w:rPr>
                <w:rFonts w:hint="eastAsia" w:ascii="宋体" w:hAnsi="宋体"/>
                <w:sz w:val="20"/>
              </w:rPr>
              <w:t>应用数字化研究。</w:t>
            </w:r>
          </w:p>
        </w:tc>
        <w:tc>
          <w:tcPr>
            <w:tcW w:w="6095" w:type="dxa"/>
            <w:tcBorders>
              <w:top w:val="single" w:color="auto" w:sz="4" w:space="0"/>
              <w:left w:val="single" w:color="auto" w:sz="4" w:space="0"/>
              <w:bottom w:val="single" w:color="auto" w:sz="4" w:space="0"/>
              <w:right w:val="single" w:color="auto" w:sz="4" w:space="0"/>
            </w:tcBorders>
          </w:tcPr>
          <w:p w14:paraId="69526389">
            <w:pPr>
              <w:spacing w:before="32" w:beforeLines="10" w:after="32" w:afterLines="10" w:line="320" w:lineRule="exact"/>
              <w:ind w:firstLine="400"/>
              <w:rPr>
                <w:rFonts w:ascii="宋体" w:hAnsi="宋体"/>
                <w:sz w:val="20"/>
              </w:rPr>
            </w:pPr>
            <w:bookmarkStart w:id="1" w:name="OLE_LINK5"/>
            <w:r>
              <w:rPr>
                <w:rFonts w:ascii="宋体" w:hAnsi="宋体"/>
                <w:sz w:val="20"/>
              </w:rPr>
              <w:t>从医药创新角度来看，首次发现中药创新物质以及研发首家创新药</w:t>
            </w:r>
            <w:r>
              <w:rPr>
                <w:rFonts w:hint="eastAsia" w:ascii="宋体" w:hAnsi="宋体"/>
                <w:sz w:val="20"/>
              </w:rPr>
              <w:t>、</w:t>
            </w:r>
            <w:r>
              <w:rPr>
                <w:rFonts w:ascii="宋体" w:hAnsi="宋体"/>
                <w:sz w:val="20"/>
              </w:rPr>
              <w:t>创新医疗器械</w:t>
            </w:r>
            <w:r>
              <w:rPr>
                <w:rFonts w:hint="eastAsia" w:ascii="宋体" w:hAnsi="宋体"/>
                <w:sz w:val="20"/>
              </w:rPr>
              <w:t>、创新给药方式（或剂型）、创新医疗服务</w:t>
            </w:r>
            <w:r>
              <w:rPr>
                <w:rFonts w:ascii="宋体" w:hAnsi="宋体"/>
                <w:sz w:val="20"/>
              </w:rPr>
              <w:t>，意味着在医学领域实现了重大突破。</w:t>
            </w:r>
            <w:r>
              <w:rPr>
                <w:rFonts w:hint="eastAsia" w:ascii="宋体" w:hAnsi="宋体"/>
                <w:sz w:val="20"/>
              </w:rPr>
              <w:t>创新的</w:t>
            </w:r>
            <w:r>
              <w:rPr>
                <w:rFonts w:ascii="宋体" w:hAnsi="宋体"/>
                <w:sz w:val="20"/>
              </w:rPr>
              <w:t>研发成果</w:t>
            </w:r>
            <w:r>
              <w:rPr>
                <w:rFonts w:hint="eastAsia" w:ascii="宋体" w:hAnsi="宋体"/>
                <w:sz w:val="20"/>
              </w:rPr>
              <w:t>结合数字化应用</w:t>
            </w:r>
            <w:r>
              <w:rPr>
                <w:rFonts w:ascii="宋体" w:hAnsi="宋体"/>
                <w:sz w:val="20"/>
              </w:rPr>
              <w:t>，通过数字化平台进行精准分析和管理，能够加速其从实验室走向应用的进程。</w:t>
            </w:r>
            <w:r>
              <w:rPr>
                <w:rFonts w:hint="eastAsia" w:ascii="宋体" w:hAnsi="宋体"/>
                <w:sz w:val="20"/>
              </w:rPr>
              <w:t>同时</w:t>
            </w:r>
            <w:r>
              <w:rPr>
                <w:rFonts w:ascii="宋体" w:hAnsi="宋体"/>
                <w:sz w:val="20"/>
              </w:rPr>
              <w:t>数字化营销手段能够更广泛地传播创新成果，提高其在医疗市场的知名度和认可度。为医药创新成果的转化提供了强大的动力和支持，助力医学领域不断实现新的重大突破。</w:t>
            </w:r>
          </w:p>
          <w:bookmarkEnd w:id="1"/>
          <w:p w14:paraId="7E238171">
            <w:pPr>
              <w:spacing w:before="32" w:beforeLines="10" w:after="32" w:afterLines="10" w:line="320" w:lineRule="exact"/>
              <w:ind w:firstLine="400"/>
              <w:rPr>
                <w:rFonts w:ascii="宋体" w:hAnsi="宋体"/>
                <w:sz w:val="20"/>
                <w:shd w:val="clear" w:color="auto" w:fill="FFFFFF"/>
              </w:rPr>
            </w:pPr>
            <w:r>
              <w:rPr>
                <w:rFonts w:ascii="宋体" w:hAnsi="宋体"/>
                <w:sz w:val="20"/>
              </w:rPr>
              <w:t>医生依托</w:t>
            </w:r>
            <w:r>
              <w:rPr>
                <w:rFonts w:hint="eastAsia" w:ascii="宋体" w:hAnsi="宋体"/>
                <w:sz w:val="20"/>
              </w:rPr>
              <w:t>数字化科研</w:t>
            </w:r>
            <w:r>
              <w:rPr>
                <w:rFonts w:ascii="宋体" w:hAnsi="宋体"/>
                <w:sz w:val="20"/>
              </w:rPr>
              <w:t>平台，进</w:t>
            </w:r>
            <w:r>
              <w:rPr>
                <w:rFonts w:hint="eastAsia" w:ascii="宋体" w:hAnsi="宋体" w:cs="Segoe UI"/>
                <w:sz w:val="20"/>
                <w:shd w:val="clear" w:color="auto" w:fill="FFFFFF"/>
              </w:rPr>
              <w:t>行诊前、诊中、诊后阶段数字化应用的研究（包括但不限于EDC电子病历、</w:t>
            </w:r>
            <w:r>
              <w:rPr>
                <w:rFonts w:ascii="宋体" w:hAnsi="宋体"/>
                <w:sz w:val="20"/>
              </w:rPr>
              <w:t>知识科普</w:t>
            </w:r>
            <w:r>
              <w:rPr>
                <w:rFonts w:hint="eastAsia" w:ascii="宋体" w:hAnsi="宋体" w:cs="Segoe UI"/>
                <w:sz w:val="20"/>
                <w:shd w:val="clear" w:color="auto" w:fill="FFFFFF"/>
              </w:rPr>
              <w:t>、互</w:t>
            </w:r>
            <w:r>
              <w:rPr>
                <w:rFonts w:hint="eastAsia" w:ascii="宋体" w:hAnsi="宋体"/>
                <w:sz w:val="20"/>
              </w:rPr>
              <w:t>联网医院：</w:t>
            </w:r>
            <w:r>
              <w:rPr>
                <w:rFonts w:ascii="宋体" w:hAnsi="宋体"/>
                <w:sz w:val="20"/>
              </w:rPr>
              <w:t>电子处方流转、健康咨询服务、随访服务、用药管理服务、康复追踪服务、患教服务、线上复诊复购服务等），</w:t>
            </w:r>
            <w:r>
              <w:rPr>
                <w:rFonts w:hint="eastAsia" w:ascii="宋体" w:hAnsi="宋体"/>
                <w:sz w:val="20"/>
              </w:rPr>
              <w:t>将研究</w:t>
            </w:r>
            <w:r>
              <w:rPr>
                <w:rFonts w:ascii="宋体" w:hAnsi="宋体"/>
                <w:sz w:val="20"/>
              </w:rPr>
              <w:t>信息</w:t>
            </w:r>
            <w:r>
              <w:rPr>
                <w:rFonts w:hint="eastAsia" w:ascii="宋体" w:hAnsi="宋体"/>
                <w:sz w:val="20"/>
              </w:rPr>
              <w:t>进行</w:t>
            </w:r>
            <w:r>
              <w:rPr>
                <w:rFonts w:ascii="宋体" w:hAnsi="宋体"/>
                <w:sz w:val="20"/>
              </w:rPr>
              <w:t>的收集</w:t>
            </w:r>
            <w:r>
              <w:rPr>
                <w:rFonts w:hint="eastAsia" w:ascii="宋体" w:hAnsi="宋体"/>
                <w:sz w:val="20"/>
              </w:rPr>
              <w:t>、</w:t>
            </w:r>
            <w:r>
              <w:rPr>
                <w:rFonts w:ascii="宋体" w:hAnsi="宋体"/>
                <w:sz w:val="20"/>
              </w:rPr>
              <w:t>分析</w:t>
            </w:r>
            <w:r>
              <w:rPr>
                <w:rFonts w:hint="eastAsia" w:ascii="宋体" w:hAnsi="宋体"/>
                <w:sz w:val="20"/>
              </w:rPr>
              <w:t>、管理、评</w:t>
            </w:r>
            <w:r>
              <w:rPr>
                <w:rFonts w:hint="eastAsia" w:ascii="宋体" w:hAnsi="宋体" w:cs="Segoe UI"/>
                <w:sz w:val="20"/>
                <w:shd w:val="clear" w:color="auto" w:fill="FFFFFF"/>
              </w:rPr>
              <w:t>估为建立多模态模型、疾病预测算法、单病种数据库等</w:t>
            </w:r>
            <w:r>
              <w:rPr>
                <w:rFonts w:hint="eastAsia" w:ascii="宋体" w:hAnsi="宋体"/>
                <w:sz w:val="20"/>
              </w:rPr>
              <w:t>构筑核心数据基础</w:t>
            </w:r>
            <w:r>
              <w:rPr>
                <w:rFonts w:hint="eastAsia" w:ascii="宋体" w:hAnsi="宋体" w:cs="Segoe UI"/>
                <w:sz w:val="20"/>
                <w:shd w:val="clear" w:color="auto" w:fill="FFFFFF"/>
              </w:rPr>
              <w:t>。</w:t>
            </w:r>
            <w:r>
              <w:rPr>
                <w:rFonts w:hint="eastAsia" w:ascii="宋体" w:hAnsi="宋体"/>
                <w:sz w:val="20"/>
              </w:rPr>
              <w:t>，可以实现医疗数据的准确记录和高效管理，为医生的诊断和治疗提供更全面的信息支持；提高处方的安全性和便捷性，减少错误用药的风险；并为患者提供个性化的健康管理方案，提高患者的依从性和治疗效果；提高患者的健康意识和自我管理能力，促进疾病的预防和早期发现，为患者的健康带来更多福祉。</w:t>
            </w:r>
            <w:r>
              <w:rPr>
                <w:rFonts w:hint="eastAsia" w:ascii="宋体" w:hAnsi="宋体" w:cs="Segoe UI"/>
                <w:sz w:val="20"/>
                <w:shd w:val="clear" w:color="auto" w:fill="FFFFFF"/>
              </w:rPr>
              <w:t>这些都为科研成果转化创造了良好的条件，使得创新成果能够更好地服务于患者，实现科研成果的价值最大化</w:t>
            </w:r>
            <w:r>
              <w:rPr>
                <w:rFonts w:ascii="宋体" w:hAnsi="宋体"/>
                <w:sz w:val="20"/>
                <w:shd w:val="clear" w:color="auto" w:fill="FFFFFF"/>
              </w:rPr>
              <w:t>。</w:t>
            </w:r>
          </w:p>
        </w:tc>
      </w:tr>
      <w:tr w14:paraId="52F7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A54B423">
            <w:pPr>
              <w:spacing w:before="32" w:beforeLines="10" w:after="32" w:afterLines="10" w:line="320" w:lineRule="exact"/>
              <w:ind w:firstLine="18" w:firstLineChars="9"/>
              <w:jc w:val="center"/>
              <w:rPr>
                <w:rFonts w:ascii="宋体" w:hAnsi="宋体"/>
                <w:sz w:val="20"/>
              </w:rPr>
            </w:pPr>
            <w:r>
              <w:rPr>
                <w:rFonts w:ascii="宋体" w:hAnsi="宋体"/>
                <w:sz w:val="20"/>
              </w:rPr>
              <w:t>B02</w:t>
            </w:r>
          </w:p>
        </w:tc>
        <w:tc>
          <w:tcPr>
            <w:tcW w:w="2126" w:type="dxa"/>
            <w:tcBorders>
              <w:top w:val="single" w:color="auto" w:sz="4" w:space="0"/>
              <w:left w:val="single" w:color="auto" w:sz="4" w:space="0"/>
              <w:bottom w:val="single" w:color="auto" w:sz="4" w:space="0"/>
              <w:right w:val="single" w:color="auto" w:sz="4" w:space="0"/>
            </w:tcBorders>
            <w:vAlign w:val="center"/>
          </w:tcPr>
          <w:p w14:paraId="59FFCF9D">
            <w:pPr>
              <w:spacing w:before="32" w:beforeLines="10" w:after="32" w:afterLines="10" w:line="320" w:lineRule="exact"/>
              <w:ind w:firstLine="0" w:firstLineChars="0"/>
              <w:rPr>
                <w:rFonts w:ascii="宋体" w:hAnsi="宋体"/>
                <w:sz w:val="20"/>
              </w:rPr>
            </w:pPr>
            <w:r>
              <w:rPr>
                <w:rFonts w:hint="eastAsia" w:ascii="宋体" w:hAnsi="宋体"/>
                <w:sz w:val="20"/>
              </w:rPr>
              <w:t>弥澳产学研平台</w:t>
            </w:r>
            <w:r>
              <w:rPr>
                <w:rFonts w:ascii="宋体" w:hAnsi="宋体"/>
                <w:sz w:val="20"/>
              </w:rPr>
              <w:t>--药物、医疗器械市场调研</w:t>
            </w:r>
            <w:r>
              <w:rPr>
                <w:rFonts w:hint="eastAsia" w:ascii="宋体" w:hAnsi="宋体"/>
                <w:sz w:val="20"/>
              </w:rPr>
              <w:t>。</w:t>
            </w:r>
          </w:p>
        </w:tc>
        <w:tc>
          <w:tcPr>
            <w:tcW w:w="6095" w:type="dxa"/>
            <w:tcBorders>
              <w:top w:val="single" w:color="auto" w:sz="4" w:space="0"/>
              <w:left w:val="single" w:color="auto" w:sz="4" w:space="0"/>
              <w:bottom w:val="single" w:color="auto" w:sz="4" w:space="0"/>
              <w:right w:val="single" w:color="auto" w:sz="4" w:space="0"/>
            </w:tcBorders>
          </w:tcPr>
          <w:p w14:paraId="04C39D49">
            <w:pPr>
              <w:spacing w:before="32" w:beforeLines="10" w:after="32" w:afterLines="10" w:line="320" w:lineRule="exact"/>
              <w:ind w:firstLine="400"/>
              <w:rPr>
                <w:rFonts w:ascii="宋体" w:hAnsi="宋体" w:cs="Segoe UI"/>
                <w:sz w:val="20"/>
                <w:shd w:val="clear" w:color="auto" w:fill="FFFFFF"/>
              </w:rPr>
            </w:pPr>
            <w:r>
              <w:rPr>
                <w:rFonts w:hint="eastAsia" w:ascii="宋体" w:hAnsi="宋体" w:cs="Segoe UI"/>
                <w:sz w:val="20"/>
                <w:shd w:val="clear" w:color="auto" w:fill="FFFFFF"/>
              </w:rPr>
              <w:t>企业依托弥澳产学研平台的</w:t>
            </w:r>
            <w:r>
              <w:rPr>
                <w:rFonts w:ascii="宋体" w:hAnsi="宋体" w:cs="Segoe UI"/>
                <w:sz w:val="20"/>
                <w:shd w:val="clear" w:color="auto" w:fill="FFFFFF"/>
              </w:rPr>
              <w:t>药</w:t>
            </w:r>
            <w:r>
              <w:rPr>
                <w:rFonts w:ascii="宋体" w:hAnsi="宋体"/>
                <w:sz w:val="20"/>
                <w:shd w:val="clear" w:color="auto" w:fill="FFFFFF"/>
              </w:rPr>
              <w:t>物和医疗器械市场调研</w:t>
            </w:r>
            <w:r>
              <w:rPr>
                <w:rFonts w:ascii="宋体" w:hAnsi="宋体"/>
                <w:sz w:val="20"/>
              </w:rPr>
              <w:t>与</w:t>
            </w:r>
            <w:r>
              <w:rPr>
                <w:rFonts w:ascii="宋体" w:hAnsi="宋体"/>
                <w:color w:val="auto"/>
                <w:sz w:val="20"/>
                <w:lang w:bidi="ar"/>
              </w:rPr>
              <w:t>数字化科研服务平台</w:t>
            </w:r>
            <w:r>
              <w:rPr>
                <w:rFonts w:hint="eastAsia" w:ascii="宋体" w:hAnsi="宋体"/>
                <w:sz w:val="20"/>
              </w:rPr>
              <w:t>相</w:t>
            </w:r>
            <w:r>
              <w:rPr>
                <w:rFonts w:ascii="宋体" w:hAnsi="宋体"/>
                <w:sz w:val="20"/>
                <w:shd w:val="clear" w:color="auto" w:fill="FFFFFF"/>
              </w:rPr>
              <w:t>结合</w:t>
            </w:r>
            <w:r>
              <w:rPr>
                <w:rFonts w:ascii="宋体" w:hAnsi="宋体"/>
                <w:sz w:val="20"/>
              </w:rPr>
              <w:t>具有重大意义</w:t>
            </w:r>
            <w:r>
              <w:rPr>
                <w:rFonts w:ascii="宋体" w:hAnsi="宋体"/>
                <w:sz w:val="20"/>
                <w:shd w:val="clear" w:color="auto" w:fill="FFFFFF"/>
              </w:rPr>
              <w:t>。通过EDC电子病历</w:t>
            </w:r>
            <w:r>
              <w:rPr>
                <w:rFonts w:hint="eastAsia" w:ascii="宋体" w:hAnsi="宋体"/>
                <w:sz w:val="20"/>
                <w:shd w:val="clear" w:color="auto" w:fill="FFFFFF"/>
              </w:rPr>
              <w:t>能够</w:t>
            </w:r>
            <w:r>
              <w:rPr>
                <w:rFonts w:ascii="宋体" w:hAnsi="宋体"/>
                <w:sz w:val="20"/>
                <w:shd w:val="clear" w:color="auto" w:fill="FFFFFF"/>
              </w:rPr>
              <w:t>获取大量真实的患者诊疗数据，有助于深入了解药物和医疗器械在实际应用中的效果、不良反应等情况，为市场调研提供准确的依据，使企业能更好地改进产品。电子处方流转可以分析药物的流通渠道和使用频率，为市场布局提供参考</w:t>
            </w:r>
            <w:r>
              <w:rPr>
                <w:rFonts w:hint="eastAsia" w:ascii="宋体" w:hAnsi="宋体"/>
                <w:sz w:val="20"/>
                <w:shd w:val="clear" w:color="auto" w:fill="FFFFFF"/>
              </w:rPr>
              <w:t>。</w:t>
            </w:r>
            <w:r>
              <w:rPr>
                <w:rFonts w:ascii="宋体" w:hAnsi="宋体"/>
                <w:sz w:val="20"/>
                <w:shd w:val="clear" w:color="auto" w:fill="FFFFFF"/>
              </w:rPr>
              <w:t>健康咨询等服</w:t>
            </w:r>
            <w:r>
              <w:rPr>
                <w:rFonts w:ascii="宋体" w:hAnsi="宋体" w:cs="Segoe UI"/>
                <w:sz w:val="20"/>
                <w:shd w:val="clear" w:color="auto" w:fill="FFFFFF"/>
              </w:rPr>
              <w:t>务能收集反馈、了解需求，用药管理等服务可监测效果和安全性，患教服务和科普能提高认知度，线上复诊复购反映市场潜力。</w:t>
            </w:r>
          </w:p>
          <w:p w14:paraId="02481B69">
            <w:pPr>
              <w:spacing w:before="32" w:beforeLines="10" w:after="32" w:afterLines="10" w:line="320" w:lineRule="exact"/>
              <w:ind w:firstLine="400"/>
              <w:rPr>
                <w:rFonts w:ascii="宋体" w:hAnsi="宋体"/>
                <w:sz w:val="20"/>
              </w:rPr>
            </w:pPr>
            <w:r>
              <w:rPr>
                <w:rFonts w:hint="eastAsia" w:ascii="宋体" w:hAnsi="宋体" w:cs="Segoe UI"/>
                <w:sz w:val="20"/>
                <w:shd w:val="clear" w:color="auto" w:fill="FFFFFF"/>
              </w:rPr>
              <w:t>同时</w:t>
            </w:r>
            <w:r>
              <w:rPr>
                <w:rFonts w:hint="eastAsia" w:ascii="宋体" w:hAnsi="宋体"/>
                <w:color w:val="auto"/>
                <w:sz w:val="20"/>
              </w:rPr>
              <w:t>数字化应用的研究</w:t>
            </w:r>
            <w:r>
              <w:rPr>
                <w:rFonts w:ascii="宋体" w:hAnsi="宋体" w:cs="Segoe UI"/>
                <w:sz w:val="20"/>
                <w:shd w:val="clear" w:color="auto" w:fill="FFFFFF"/>
              </w:rPr>
              <w:t>为</w:t>
            </w:r>
            <w:r>
              <w:rPr>
                <w:rFonts w:hint="eastAsia" w:ascii="宋体" w:hAnsi="宋体" w:cs="Segoe UI"/>
                <w:sz w:val="20"/>
                <w:shd w:val="clear" w:color="auto" w:fill="FFFFFF"/>
              </w:rPr>
              <w:t>医疗领域</w:t>
            </w:r>
            <w:r>
              <w:rPr>
                <w:rFonts w:ascii="宋体" w:hAnsi="宋体" w:cs="Segoe UI"/>
                <w:sz w:val="20"/>
                <w:shd w:val="clear" w:color="auto" w:fill="FFFFFF"/>
              </w:rPr>
              <w:t>提供高效便捷</w:t>
            </w:r>
            <w:r>
              <w:rPr>
                <w:rFonts w:hint="eastAsia" w:ascii="宋体" w:hAnsi="宋体" w:cs="Segoe UI"/>
                <w:sz w:val="20"/>
                <w:shd w:val="clear" w:color="auto" w:fill="FFFFFF"/>
              </w:rPr>
              <w:t>手段</w:t>
            </w:r>
            <w:r>
              <w:rPr>
                <w:rFonts w:ascii="宋体" w:hAnsi="宋体" w:cs="Segoe UI"/>
                <w:sz w:val="20"/>
                <w:shd w:val="clear" w:color="auto" w:fill="FFFFFF"/>
              </w:rPr>
              <w:t>，</w:t>
            </w:r>
            <w:r>
              <w:rPr>
                <w:rFonts w:hint="eastAsia" w:ascii="宋体" w:hAnsi="宋体" w:cs="Segoe UI"/>
                <w:sz w:val="20"/>
                <w:shd w:val="clear" w:color="auto" w:fill="FFFFFF"/>
              </w:rPr>
              <w:t>整合医疗机构、高校实验室的科研进展、技术突破及专利布局，建立分类成果库，明确成果成熟度与转化需求，</w:t>
            </w:r>
            <w:r>
              <w:rPr>
                <w:rFonts w:ascii="宋体" w:hAnsi="宋体" w:cs="Segoe UI"/>
                <w:sz w:val="20"/>
                <w:shd w:val="clear" w:color="auto" w:fill="FFFFFF"/>
              </w:rPr>
              <w:t>降低成本、提高效率，为企业精准决策提供全面实时数据支持，促进市场健康发展。</w:t>
            </w:r>
          </w:p>
        </w:tc>
      </w:tr>
    </w:tbl>
    <w:p w14:paraId="660546B5">
      <w:pPr>
        <w:spacing w:before="0" w:after="0" w:line="480" w:lineRule="exact"/>
        <w:ind w:firstLine="562"/>
        <w:contextualSpacing/>
        <w:jc w:val="left"/>
        <w:outlineLvl w:val="1"/>
        <w:rPr>
          <w:rFonts w:ascii="黑体" w:hAnsi="黑体" w:eastAsia="黑体" w:cs="宋体"/>
          <w:b/>
          <w:bCs/>
          <w:sz w:val="28"/>
        </w:rPr>
      </w:pPr>
    </w:p>
    <w:p w14:paraId="693B3ADA">
      <w:pPr>
        <w:spacing w:before="0" w:after="0" w:line="480" w:lineRule="exact"/>
        <w:ind w:firstLine="562"/>
        <w:contextualSpacing/>
        <w:jc w:val="left"/>
        <w:outlineLvl w:val="1"/>
        <w:rPr>
          <w:rFonts w:ascii="黑体" w:hAnsi="黑体" w:eastAsia="黑体" w:cs="宋体"/>
          <w:b/>
          <w:bCs/>
          <w:sz w:val="28"/>
        </w:rPr>
      </w:pPr>
    </w:p>
    <w:p w14:paraId="3CB095EF">
      <w:pPr>
        <w:spacing w:before="0" w:after="0" w:line="480" w:lineRule="exact"/>
        <w:ind w:firstLine="562"/>
        <w:contextualSpacing/>
        <w:jc w:val="left"/>
        <w:outlineLvl w:val="1"/>
        <w:rPr>
          <w:rFonts w:ascii="黑体" w:hAnsi="黑体" w:eastAsia="黑体" w:cs="宋体"/>
          <w:b/>
          <w:bCs/>
          <w:sz w:val="28"/>
        </w:rPr>
      </w:pPr>
    </w:p>
    <w:p w14:paraId="495B8333">
      <w:pPr>
        <w:spacing w:before="0" w:after="0" w:line="480" w:lineRule="exact"/>
        <w:ind w:firstLine="562"/>
        <w:contextualSpacing/>
        <w:outlineLvl w:val="1"/>
        <w:rPr>
          <w:rFonts w:ascii="黑体" w:hAnsi="黑体" w:eastAsia="黑体" w:cs="宋体"/>
          <w:b/>
          <w:bCs/>
          <w:iCs w:val="0"/>
          <w:sz w:val="28"/>
        </w:rPr>
      </w:pPr>
      <w:r>
        <w:rPr>
          <w:rFonts w:hint="eastAsia" w:ascii="黑体" w:hAnsi="黑体" w:eastAsia="黑体" w:cs="宋体"/>
          <w:b/>
          <w:bCs/>
          <w:sz w:val="28"/>
        </w:rPr>
        <w:t>二、申报条件和要求</w:t>
      </w:r>
    </w:p>
    <w:p w14:paraId="55CC785D">
      <w:pPr>
        <w:spacing w:before="0" w:after="0" w:line="480" w:lineRule="exact"/>
        <w:ind w:firstLine="480"/>
        <w:contextualSpacing/>
        <w:rPr>
          <w:rFonts w:ascii="宋体" w:hAnsi="宋体" w:cs="宋体"/>
          <w:sz w:val="24"/>
          <w:szCs w:val="24"/>
        </w:rPr>
      </w:pPr>
      <w:r>
        <w:rPr>
          <w:rFonts w:hint="eastAsia" w:ascii="宋体" w:hAnsi="宋体" w:cs="宋体"/>
          <w:sz w:val="24"/>
          <w:szCs w:val="24"/>
        </w:rPr>
        <w:t>1. 团队成员在选定的项目研究方向有较好的技术储备，包括与申报课题研究内容相关的研究成果、教材、论文、专利、获奖等。</w:t>
      </w:r>
    </w:p>
    <w:p w14:paraId="27585F74">
      <w:pPr>
        <w:spacing w:before="0" w:after="0" w:line="480" w:lineRule="exact"/>
        <w:ind w:firstLine="480"/>
        <w:contextualSpacing/>
        <w:rPr>
          <w:rFonts w:ascii="宋体" w:hAnsi="宋体" w:cs="宋体"/>
          <w:sz w:val="24"/>
          <w:szCs w:val="24"/>
        </w:rPr>
      </w:pPr>
      <w:r>
        <w:rPr>
          <w:rFonts w:hint="eastAsia" w:ascii="宋体" w:hAnsi="宋体" w:cs="宋体"/>
          <w:sz w:val="24"/>
          <w:szCs w:val="24"/>
        </w:rPr>
        <w:t>2. 团队组成合理，分工明确，数量不少于3人。</w:t>
      </w:r>
    </w:p>
    <w:p w14:paraId="565FEBBC">
      <w:pPr>
        <w:spacing w:before="0" w:after="0" w:line="480" w:lineRule="exact"/>
        <w:ind w:firstLine="480"/>
        <w:contextualSpacing/>
        <w:rPr>
          <w:rFonts w:ascii="宋体" w:hAnsi="宋体" w:cs="宋体"/>
          <w:sz w:val="24"/>
          <w:szCs w:val="24"/>
        </w:rPr>
      </w:pPr>
      <w:r>
        <w:rPr>
          <w:rFonts w:hint="eastAsia" w:ascii="宋体" w:hAnsi="宋体" w:cs="宋体"/>
          <w:sz w:val="24"/>
          <w:szCs w:val="24"/>
        </w:rPr>
        <w:t>3. 优先支持有志于进行数字化赋能人才培养的场景与模式创新、数字化赋能教师发展、教学改革，已进行过相关研究，或者有初步研究计划的团队。</w:t>
      </w:r>
    </w:p>
    <w:p w14:paraId="1C3765BC">
      <w:pPr>
        <w:spacing w:before="0" w:after="0" w:line="480" w:lineRule="exact"/>
        <w:ind w:firstLine="480"/>
        <w:contextualSpacing/>
        <w:rPr>
          <w:rFonts w:ascii="宋体" w:hAnsi="宋体" w:cs="宋体"/>
          <w:sz w:val="24"/>
          <w:szCs w:val="24"/>
        </w:rPr>
      </w:pPr>
      <w:r>
        <w:rPr>
          <w:rFonts w:hint="eastAsia" w:ascii="宋体" w:hAnsi="宋体" w:cs="宋体"/>
          <w:sz w:val="24"/>
          <w:szCs w:val="24"/>
        </w:rPr>
        <w:t>4. 优先支持研究内容有创造性、前瞻性和实用性，有可转化前景的课题。</w:t>
      </w:r>
    </w:p>
    <w:p w14:paraId="34B4A1C0">
      <w:pPr>
        <w:spacing w:before="0" w:after="0" w:line="480" w:lineRule="exact"/>
        <w:ind w:firstLine="480"/>
        <w:contextualSpacing/>
        <w:rPr>
          <w:rFonts w:ascii="宋体" w:hAnsi="宋体" w:cs="宋体"/>
          <w:sz w:val="24"/>
          <w:szCs w:val="24"/>
          <w:highlight w:val="yellow"/>
        </w:rPr>
      </w:pPr>
      <w:r>
        <w:rPr>
          <w:rFonts w:hint="eastAsia" w:ascii="宋体" w:hAnsi="宋体" w:cs="宋体"/>
          <w:sz w:val="24"/>
          <w:szCs w:val="24"/>
        </w:rPr>
        <w:t>5. 优先有明确研究成果，成果有应用价值，可复制、可推广的课题。</w:t>
      </w:r>
    </w:p>
    <w:p w14:paraId="3E828AD9">
      <w:pPr>
        <w:spacing w:before="0" w:after="0" w:line="480" w:lineRule="exact"/>
        <w:ind w:firstLine="480"/>
        <w:contextualSpacing/>
        <w:rPr>
          <w:rFonts w:ascii="宋体" w:hAnsi="宋体" w:cs="宋体"/>
          <w:sz w:val="24"/>
          <w:szCs w:val="24"/>
        </w:rPr>
      </w:pPr>
      <w:r>
        <w:rPr>
          <w:rFonts w:hint="eastAsia" w:ascii="宋体" w:hAnsi="宋体" w:cs="宋体"/>
          <w:sz w:val="24"/>
          <w:szCs w:val="24"/>
        </w:rPr>
        <w:t>6. 优先支持研究方向明确，研究内容详实，研究方案完整可行的课题。</w:t>
      </w:r>
    </w:p>
    <w:p w14:paraId="0305AED5">
      <w:pPr>
        <w:spacing w:before="0" w:after="0" w:line="480" w:lineRule="exact"/>
        <w:ind w:firstLine="480"/>
        <w:contextualSpacing/>
        <w:rPr>
          <w:rFonts w:ascii="宋体" w:hAnsi="宋体" w:cs="宋体"/>
          <w:sz w:val="24"/>
          <w:szCs w:val="24"/>
        </w:rPr>
      </w:pPr>
      <w:r>
        <w:rPr>
          <w:rFonts w:hint="eastAsia" w:ascii="宋体" w:hAnsi="宋体" w:cs="宋体"/>
          <w:sz w:val="24"/>
          <w:szCs w:val="24"/>
        </w:rPr>
        <w:t>7</w:t>
      </w:r>
      <w:r>
        <w:rPr>
          <w:rFonts w:ascii="宋体" w:hAnsi="宋体" w:cs="宋体"/>
          <w:sz w:val="24"/>
          <w:szCs w:val="24"/>
        </w:rPr>
        <w:t xml:space="preserve">. </w:t>
      </w:r>
      <w:r>
        <w:rPr>
          <w:rFonts w:hint="eastAsia" w:ascii="宋体" w:hAnsi="宋体" w:cs="宋体"/>
          <w:sz w:val="24"/>
          <w:szCs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731C2422">
      <w:pPr>
        <w:spacing w:before="0" w:after="0" w:line="480" w:lineRule="exact"/>
        <w:ind w:firstLine="480"/>
        <w:contextualSpacing/>
        <w:rPr>
          <w:rFonts w:ascii="宋体" w:hAnsi="宋体" w:cs="宋体"/>
          <w:sz w:val="24"/>
          <w:szCs w:val="24"/>
        </w:rPr>
      </w:pPr>
      <w:r>
        <w:rPr>
          <w:rFonts w:ascii="宋体" w:hAnsi="宋体" w:cs="宋体"/>
          <w:sz w:val="24"/>
          <w:szCs w:val="24"/>
        </w:rPr>
        <w:t>8</w:t>
      </w:r>
      <w:r>
        <w:rPr>
          <w:rFonts w:hint="eastAsia" w:ascii="宋体" w:hAnsi="宋体" w:cs="宋体"/>
          <w:sz w:val="24"/>
          <w:szCs w:val="24"/>
        </w:rPr>
        <w:t>. 资助课题项目获得的知识产权由合作方和课题项目承担单位共同所有。</w:t>
      </w:r>
    </w:p>
    <w:p w14:paraId="5FA36CA2">
      <w:pPr>
        <w:spacing w:before="0" w:after="0" w:line="480" w:lineRule="exact"/>
        <w:ind w:firstLine="480"/>
        <w:contextualSpacing/>
        <w:rPr>
          <w:rFonts w:ascii="宋体" w:hAnsi="宋体" w:cs="宋体"/>
          <w:sz w:val="24"/>
          <w:szCs w:val="24"/>
          <w:lang w:val="zh-TW" w:eastAsia="zh-TW"/>
        </w:rPr>
      </w:pPr>
      <w:r>
        <w:rPr>
          <w:rFonts w:ascii="宋体" w:hAnsi="宋体" w:cs="宋体"/>
          <w:sz w:val="24"/>
          <w:szCs w:val="24"/>
        </w:rPr>
        <w:t>9</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lang w:val="zh-TW"/>
        </w:rPr>
        <w:t>课题</w:t>
      </w:r>
      <w:r>
        <w:rPr>
          <w:rFonts w:hint="eastAsia" w:ascii="宋体" w:hAnsi="宋体" w:cs="宋体"/>
          <w:sz w:val="24"/>
          <w:szCs w:val="24"/>
          <w:lang w:val="zh-TW" w:eastAsia="zh-TW"/>
        </w:rPr>
        <w:t>组在项目开展过程中，需具备可独立支配的研究基础软硬件条件</w:t>
      </w:r>
      <w:r>
        <w:rPr>
          <w:rFonts w:hint="eastAsia" w:ascii="宋体" w:hAnsi="宋体" w:cs="宋体"/>
          <w:sz w:val="24"/>
          <w:szCs w:val="24"/>
          <w:lang w:val="zh-TW"/>
        </w:rPr>
        <w:t>，</w:t>
      </w:r>
      <w:r>
        <w:rPr>
          <w:rFonts w:hint="eastAsia" w:ascii="宋体" w:hAnsi="宋体" w:cs="宋体"/>
          <w:sz w:val="24"/>
          <w:szCs w:val="24"/>
          <w:lang w:val="zh-TW" w:eastAsia="zh-TW"/>
        </w:rPr>
        <w:t>如需外部资源支持，须在项目申报书中明确指出。</w:t>
      </w:r>
    </w:p>
    <w:p w14:paraId="7FBA1DDD">
      <w:pPr>
        <w:pStyle w:val="3"/>
        <w:numPr>
          <w:ilvl w:val="0"/>
          <w:numId w:val="0"/>
        </w:numPr>
        <w:spacing w:before="0" w:beforeLines="0" w:line="480" w:lineRule="exact"/>
        <w:ind w:firstLine="480" w:firstLineChars="200"/>
        <w:jc w:val="both"/>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sz w:val="24"/>
          <w:szCs w:val="24"/>
        </w:rPr>
        <w:t>10.重点课题项目：（1）实行牵头单位总负责制，各协作分中心遵照统一研究方案执行工作。牵头方统筹整体进度、标准制定与汇总上报；各分中心负责本区域病例纳入、数据采集、现场实施及本级质控，各司其职互不越权调整核心研究内容。</w:t>
      </w:r>
      <w:r>
        <w:rPr>
          <w:rFonts w:hint="eastAsia" w:ascii="宋体" w:hAnsi="宋体"/>
          <w:b w:val="0"/>
          <w:bCs w:val="0"/>
          <w:sz w:val="24"/>
          <w:szCs w:val="24"/>
        </w:rPr>
        <w:t>（2）</w:t>
      </w:r>
      <w:r>
        <w:rPr>
          <w:rFonts w:hint="eastAsia" w:ascii="宋体" w:hAnsi="宋体" w:eastAsia="宋体"/>
          <w:b w:val="0"/>
          <w:bCs w:val="0"/>
          <w:sz w:val="24"/>
          <w:szCs w:val="24"/>
        </w:rPr>
        <w:t>全项目统一技术规范、数据填报口径、系统操作版本与评价指标，所有中心执行标准保持一致，杜绝私自改动流程、判定标准。（3</w:t>
      </w:r>
      <w:r>
        <w:rPr>
          <w:rFonts w:hint="eastAsia" w:ascii="宋体" w:hAnsi="宋体" w:eastAsia="宋体"/>
          <w:b w:val="0"/>
          <w:bCs w:val="0"/>
          <w:color w:val="000000" w:themeColor="text1"/>
          <w:sz w:val="24"/>
          <w:szCs w:val="24"/>
          <w14:textFill>
            <w14:solidFill>
              <w14:schemeClr w14:val="tx1"/>
            </w14:solidFill>
          </w14:textFill>
        </w:rPr>
        <w:t>）定期召开多中心工作会议，各中心对接牵头单位及管理方同步工作内容、协调分歧、统一要求。</w:t>
      </w:r>
    </w:p>
    <w:p w14:paraId="0274B491">
      <w:pPr>
        <w:ind w:firstLine="420"/>
        <w:rPr>
          <w:color w:val="000000" w:themeColor="text1"/>
          <w14:textFill>
            <w14:solidFill>
              <w14:schemeClr w14:val="tx1"/>
            </w14:solidFill>
          </w14:textFill>
        </w:rPr>
      </w:pPr>
    </w:p>
    <w:p w14:paraId="6F01862F">
      <w:pPr>
        <w:pStyle w:val="3"/>
        <w:numPr>
          <w:ilvl w:val="0"/>
          <w:numId w:val="0"/>
        </w:numPr>
        <w:spacing w:before="0" w:beforeLines="0" w:line="480" w:lineRule="exact"/>
        <w:ind w:firstLine="562" w:firstLineChars="200"/>
        <w:jc w:val="both"/>
        <w:rPr>
          <w:rFonts w:ascii="黑体" w:hAnsi="黑体" w:eastAsia="黑体" w:cs="宋体"/>
          <w:szCs w:val="20"/>
        </w:rPr>
      </w:pPr>
      <w:r>
        <w:rPr>
          <w:rFonts w:hint="eastAsia" w:ascii="黑体" w:hAnsi="黑体" w:eastAsia="黑体" w:cs="宋体"/>
          <w:szCs w:val="20"/>
        </w:rPr>
        <w:t>三、资源及服务</w:t>
      </w:r>
    </w:p>
    <w:p w14:paraId="6BF29516">
      <w:pPr>
        <w:spacing w:before="0" w:after="0" w:line="480" w:lineRule="exact"/>
        <w:ind w:firstLine="480"/>
        <w:contextualSpacing/>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kern w:val="24"/>
          <w:sz w:val="24"/>
          <w:szCs w:val="24"/>
          <w14:textFill>
            <w14:solidFill>
              <w14:schemeClr w14:val="tx1"/>
            </w14:solidFill>
          </w14:textFill>
        </w:rPr>
        <w:t>多医云在线医疗数字化专项（二期）</w:t>
      </w:r>
      <w:r>
        <w:rPr>
          <w:rFonts w:hint="eastAsia" w:ascii="宋体" w:hAnsi="宋体" w:cs="宋体"/>
          <w:sz w:val="24"/>
          <w:szCs w:val="24"/>
        </w:rPr>
        <w:t>”将以上海多瑞生物科技有限责任公司、上海湛全医疗科技有限责任公司、上海弥澳医疗科技有限责任公司、银川胜诊互联网医院有限公司提供技术和平台为基础，提供完善的资源和服务体系（见表三），以保证院校顺利开展合作项目，并为院校医疗健康数字化方向的学科建设及人才培养提供长期有效的支持。“</w:t>
      </w:r>
      <w:r>
        <w:rPr>
          <w:rFonts w:hint="eastAsia" w:ascii="宋体" w:hAnsi="宋体" w:cs="宋体"/>
          <w:color w:val="000000" w:themeColor="text1"/>
          <w:kern w:val="24"/>
          <w:sz w:val="24"/>
          <w:szCs w:val="24"/>
          <w14:textFill>
            <w14:solidFill>
              <w14:schemeClr w14:val="tx1"/>
            </w14:solidFill>
          </w14:textFill>
        </w:rPr>
        <w:t>多医云在线医疗数字化专项（二期）</w:t>
      </w:r>
      <w:r>
        <w:rPr>
          <w:rFonts w:hint="eastAsia" w:ascii="宋体" w:hAnsi="宋体" w:cs="宋体"/>
          <w:sz w:val="24"/>
          <w:szCs w:val="24"/>
        </w:rPr>
        <w:t>”为每个立项课题提供对应的经费支持与技术服务支持。“Dolly多医云在线”医疗科研AI数智一体化平台、胜诊互联网医院、多福健康平台、多医云在线健康科普、弥澳产学研平台，将研究信息进行的收集、分析、评估等功能，有助于课题负责人开展相关研究工作。</w:t>
      </w:r>
    </w:p>
    <w:p w14:paraId="5AD0EF1D">
      <w:pPr>
        <w:spacing w:before="0" w:after="0" w:line="480" w:lineRule="exact"/>
        <w:ind w:firstLine="480"/>
        <w:contextualSpacing/>
        <w:rPr>
          <w:rFonts w:ascii="宋体" w:hAnsi="宋体" w:cs="宋体"/>
          <w:sz w:val="24"/>
          <w:szCs w:val="24"/>
        </w:rPr>
      </w:pPr>
      <w:r>
        <w:rPr>
          <w:rFonts w:hint="eastAsia" w:ascii="宋体" w:hAnsi="宋体" w:cs="宋体"/>
          <w:sz w:val="24"/>
          <w:szCs w:val="24"/>
        </w:rPr>
        <w:t>项目发起单位将针对院校申报、联合申报单位的专项课题，予以项目咨询服务和技术支持，助力科研成果的实现产业化，并推动解决方案切实落地实施。</w:t>
      </w:r>
    </w:p>
    <w:p w14:paraId="64AF0205">
      <w:pPr>
        <w:pStyle w:val="58"/>
        <w:spacing w:before="163" w:beforeLines="50" w:after="0" w:line="360" w:lineRule="auto"/>
        <w:ind w:left="0" w:firstLine="0" w:firstLineChars="0"/>
        <w:jc w:val="center"/>
        <w:rPr>
          <w:rFonts w:eastAsiaTheme="majorEastAsia"/>
          <w:b/>
          <w:sz w:val="24"/>
          <w:szCs w:val="24"/>
        </w:rPr>
      </w:pPr>
      <w:r>
        <w:rPr>
          <w:rFonts w:eastAsiaTheme="majorEastAsia"/>
          <w:b/>
          <w:sz w:val="24"/>
          <w:szCs w:val="24"/>
        </w:rPr>
        <w:t>表三 提供给课题研究的软硬件平台说明</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6662"/>
      </w:tblGrid>
      <w:tr w14:paraId="026A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6" w:type="dxa"/>
            <w:shd w:val="clear" w:color="000000" w:fill="C0C0C0"/>
            <w:vAlign w:val="center"/>
          </w:tcPr>
          <w:p w14:paraId="1799FCCB">
            <w:pPr>
              <w:spacing w:before="0" w:after="0" w:line="320" w:lineRule="exact"/>
              <w:ind w:firstLine="0" w:firstLineChars="0"/>
              <w:jc w:val="center"/>
              <w:rPr>
                <w:b/>
                <w:szCs w:val="21"/>
              </w:rPr>
            </w:pPr>
            <w:r>
              <w:rPr>
                <w:rFonts w:hint="eastAsia"/>
                <w:b/>
                <w:szCs w:val="21"/>
              </w:rPr>
              <w:t>平台编号</w:t>
            </w:r>
          </w:p>
        </w:tc>
        <w:tc>
          <w:tcPr>
            <w:tcW w:w="1701" w:type="dxa"/>
            <w:shd w:val="clear" w:color="000000" w:fill="C0C0C0"/>
            <w:vAlign w:val="center"/>
          </w:tcPr>
          <w:p w14:paraId="243A006C">
            <w:pPr>
              <w:spacing w:before="0" w:after="0" w:line="320" w:lineRule="exact"/>
              <w:ind w:firstLine="0" w:firstLineChars="0"/>
              <w:jc w:val="center"/>
              <w:rPr>
                <w:b/>
                <w:szCs w:val="21"/>
              </w:rPr>
            </w:pPr>
            <w:r>
              <w:rPr>
                <w:rFonts w:hint="eastAsia" w:ascii="宋体" w:hAnsi="宋体"/>
                <w:b/>
                <w:szCs w:val="21"/>
              </w:rPr>
              <w:t>技术平台名称及服务</w:t>
            </w:r>
          </w:p>
        </w:tc>
        <w:tc>
          <w:tcPr>
            <w:tcW w:w="6662" w:type="dxa"/>
            <w:shd w:val="clear" w:color="000000" w:fill="C0C0C0"/>
            <w:vAlign w:val="center"/>
          </w:tcPr>
          <w:p w14:paraId="7F15021B">
            <w:pPr>
              <w:spacing w:before="0" w:after="0" w:line="320" w:lineRule="exact"/>
              <w:ind w:firstLine="0" w:firstLineChars="0"/>
              <w:jc w:val="center"/>
              <w:rPr>
                <w:b/>
                <w:szCs w:val="21"/>
              </w:rPr>
            </w:pPr>
            <w:r>
              <w:rPr>
                <w:rFonts w:hint="eastAsia"/>
                <w:b/>
                <w:szCs w:val="21"/>
              </w:rPr>
              <w:t>详细介绍</w:t>
            </w:r>
          </w:p>
        </w:tc>
      </w:tr>
      <w:tr w14:paraId="1D0F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vAlign w:val="center"/>
          </w:tcPr>
          <w:p w14:paraId="7325E51C">
            <w:pPr>
              <w:spacing w:before="0" w:after="0" w:line="320" w:lineRule="exact"/>
              <w:ind w:firstLine="0" w:firstLineChars="0"/>
              <w:jc w:val="center"/>
              <w:rPr>
                <w:rFonts w:ascii="宋体" w:hAnsi="宋体"/>
                <w:sz w:val="20"/>
              </w:rPr>
            </w:pPr>
            <w:r>
              <w:rPr>
                <w:rFonts w:ascii="宋体" w:hAnsi="宋体"/>
                <w:sz w:val="20"/>
              </w:rPr>
              <w:t>C01</w:t>
            </w:r>
          </w:p>
        </w:tc>
        <w:tc>
          <w:tcPr>
            <w:tcW w:w="1701" w:type="dxa"/>
            <w:shd w:val="clear" w:color="auto" w:fill="auto"/>
            <w:vAlign w:val="center"/>
          </w:tcPr>
          <w:p w14:paraId="77944647">
            <w:pPr>
              <w:ind w:firstLine="0" w:firstLineChars="0"/>
              <w:rPr>
                <w:rFonts w:ascii="宋体" w:hAnsi="宋体"/>
                <w:sz w:val="20"/>
              </w:rPr>
            </w:pPr>
            <w:r>
              <w:rPr>
                <w:rFonts w:hint="eastAsia" w:ascii="宋体" w:hAnsi="宋体"/>
                <w:sz w:val="20"/>
              </w:rPr>
              <w:t>“Dolly多医云在线”医疗科研AI数智一体化平台</w:t>
            </w:r>
          </w:p>
        </w:tc>
        <w:tc>
          <w:tcPr>
            <w:tcW w:w="6662" w:type="dxa"/>
            <w:shd w:val="clear" w:color="auto" w:fill="auto"/>
            <w:vAlign w:val="center"/>
          </w:tcPr>
          <w:p w14:paraId="3E730753">
            <w:pPr>
              <w:spacing w:before="0" w:after="0" w:line="320" w:lineRule="exact"/>
              <w:ind w:firstLine="400"/>
              <w:rPr>
                <w:rFonts w:ascii="宋体" w:hAnsi="宋体"/>
                <w:sz w:val="20"/>
              </w:rPr>
            </w:pPr>
            <w:r>
              <w:rPr>
                <w:rFonts w:hint="eastAsia" w:ascii="宋体" w:hAnsi="宋体"/>
                <w:sz w:val="20"/>
              </w:rPr>
              <w:t>“Dolly多医云在线”医疗科研AI数智一体化平台”是科研的得力助手，利用先进的分布式存储和大数据处理技术（如 Hadoop 和 Spark），结合多种 AI 算法（如随机森林、支持向量机、梯度提升决策树），为研究提供高效的数据管理和分析。</w:t>
            </w:r>
          </w:p>
          <w:p w14:paraId="4DE76435">
            <w:pPr>
              <w:spacing w:before="0" w:after="0" w:line="320" w:lineRule="exact"/>
              <w:ind w:firstLine="400"/>
              <w:rPr>
                <w:rFonts w:ascii="宋体" w:hAnsi="宋体"/>
                <w:sz w:val="20"/>
              </w:rPr>
            </w:pPr>
            <w:r>
              <w:rPr>
                <w:rFonts w:hint="eastAsia" w:ascii="宋体" w:hAnsi="宋体"/>
                <w:sz w:val="20"/>
              </w:rPr>
              <w:t>系统内置：</w:t>
            </w:r>
          </w:p>
          <w:p w14:paraId="1E84D65E">
            <w:pPr>
              <w:spacing w:before="0" w:after="0" w:line="320" w:lineRule="exact"/>
              <w:ind w:firstLine="402"/>
              <w:rPr>
                <w:rFonts w:ascii="宋体" w:hAnsi="宋体"/>
                <w:b/>
                <w:bCs/>
                <w:sz w:val="20"/>
              </w:rPr>
            </w:pPr>
            <w:r>
              <w:rPr>
                <w:rFonts w:hint="eastAsia" w:ascii="宋体" w:hAnsi="宋体"/>
                <w:b/>
                <w:bCs/>
                <w:sz w:val="20"/>
              </w:rPr>
              <w:t>“Dolly智云”医疗科研数据管理系统</w:t>
            </w:r>
          </w:p>
          <w:p w14:paraId="035A6FA5">
            <w:pPr>
              <w:spacing w:before="0" w:after="0" w:line="320" w:lineRule="exact"/>
              <w:ind w:firstLine="400"/>
              <w:rPr>
                <w:rFonts w:ascii="宋体" w:hAnsi="宋体"/>
                <w:sz w:val="20"/>
              </w:rPr>
            </w:pPr>
            <w:r>
              <w:rPr>
                <w:rFonts w:hint="eastAsia" w:ascii="宋体" w:hAnsi="宋体"/>
                <w:sz w:val="20"/>
              </w:rPr>
              <w:t>系统通过</w:t>
            </w:r>
            <w:r>
              <w:rPr>
                <w:rFonts w:ascii="宋体" w:hAnsi="宋体"/>
                <w:b/>
                <w:bCs/>
                <w:sz w:val="20"/>
              </w:rPr>
              <w:t>数据预处理→机器学习填充→安全合规校验→偏差管控</w:t>
            </w:r>
            <w:r>
              <w:rPr>
                <w:rFonts w:hint="eastAsia" w:ascii="MS Gothic" w:hAnsi="MS Gothic" w:eastAsia="MS Gothic" w:cs="MS Gothic"/>
                <w:sz w:val="20"/>
              </w:rPr>
              <w:t>‌</w:t>
            </w:r>
            <w:r>
              <w:rPr>
                <w:rFonts w:hint="eastAsia" w:ascii="宋体" w:hAnsi="宋体"/>
                <w:sz w:val="20"/>
              </w:rPr>
              <w:t>等流程实现行业数据标准及符合行业数据安全标准。</w:t>
            </w:r>
          </w:p>
          <w:p w14:paraId="55D43A33">
            <w:pPr>
              <w:spacing w:before="0" w:after="0" w:line="320" w:lineRule="exact"/>
              <w:ind w:firstLine="402"/>
              <w:rPr>
                <w:rFonts w:ascii="宋体" w:hAnsi="宋体"/>
                <w:b/>
                <w:bCs/>
                <w:sz w:val="20"/>
              </w:rPr>
            </w:pPr>
            <w:r>
              <w:rPr>
                <w:rFonts w:hint="eastAsia" w:ascii="宋体" w:hAnsi="宋体"/>
                <w:b/>
                <w:bCs/>
                <w:sz w:val="20"/>
              </w:rPr>
              <w:t>“Dolly智研”AI-智能eCRF模板管理系统</w:t>
            </w:r>
          </w:p>
          <w:p w14:paraId="49608B21">
            <w:pPr>
              <w:spacing w:before="0" w:after="0" w:line="320" w:lineRule="exact"/>
              <w:ind w:firstLine="400"/>
              <w:rPr>
                <w:rFonts w:ascii="宋体" w:hAnsi="宋体"/>
                <w:sz w:val="20"/>
              </w:rPr>
            </w:pPr>
            <w:r>
              <w:rPr>
                <w:rFonts w:hint="eastAsia" w:ascii="宋体" w:hAnsi="宋体"/>
                <w:sz w:val="20"/>
              </w:rPr>
              <w:t>通过以</w:t>
            </w:r>
            <w:r>
              <w:rPr>
                <w:rFonts w:ascii="宋体" w:hAnsi="宋体"/>
                <w:sz w:val="20"/>
              </w:rPr>
              <w:t>构建标准化模板库</w:t>
            </w:r>
            <w:r>
              <w:rPr>
                <w:rFonts w:hint="eastAsia" w:ascii="宋体" w:hAnsi="宋体"/>
                <w:sz w:val="20"/>
              </w:rPr>
              <w:t>为</w:t>
            </w:r>
            <w:r>
              <w:rPr>
                <w:rFonts w:ascii="宋体" w:hAnsi="宋体"/>
                <w:sz w:val="20"/>
              </w:rPr>
              <w:t>基础底座</w:t>
            </w:r>
            <w:r>
              <w:rPr>
                <w:rFonts w:hint="eastAsia" w:ascii="宋体" w:hAnsi="宋体"/>
                <w:sz w:val="20"/>
              </w:rPr>
              <w:t>；</w:t>
            </w:r>
            <w:r>
              <w:rPr>
                <w:rFonts w:ascii="宋体" w:hAnsi="宋体"/>
                <w:sz w:val="20"/>
              </w:rPr>
              <w:t>基于输入的研究方案信息，AI自动完成模板适配</w:t>
            </w:r>
            <w:r>
              <w:rPr>
                <w:rFonts w:hint="eastAsia" w:ascii="宋体" w:hAnsi="宋体"/>
                <w:sz w:val="20"/>
              </w:rPr>
              <w:t>，</w:t>
            </w:r>
            <w:r>
              <w:rPr>
                <w:rFonts w:ascii="宋体" w:hAnsi="宋体"/>
                <w:sz w:val="20"/>
              </w:rPr>
              <w:t>调用标准化模板库的匹配算法，自动匹配对应适应症+分期的基础模板；针对低数据需求的试验，自动调用精简模板，贴合实际研究需求；支持少量人工调整后一键生成最终eCRF</w:t>
            </w:r>
            <w:r>
              <w:rPr>
                <w:rFonts w:hint="eastAsia" w:ascii="宋体" w:hAnsi="宋体"/>
                <w:sz w:val="20"/>
              </w:rPr>
              <w:t>，</w:t>
            </w:r>
            <w:r>
              <w:rPr>
                <w:rFonts w:ascii="宋体" w:hAnsi="宋体"/>
                <w:sz w:val="20"/>
              </w:rPr>
              <w:t>缩短</w:t>
            </w:r>
            <w:r>
              <w:rPr>
                <w:rFonts w:hint="eastAsia" w:ascii="宋体" w:hAnsi="宋体"/>
                <w:sz w:val="20"/>
              </w:rPr>
              <w:t>传统的CRF模板创建</w:t>
            </w:r>
            <w:r>
              <w:rPr>
                <w:rFonts w:ascii="宋体" w:hAnsi="宋体"/>
                <w:sz w:val="20"/>
              </w:rPr>
              <w:t>流程</w:t>
            </w:r>
            <w:r>
              <w:rPr>
                <w:rFonts w:hint="eastAsia" w:ascii="宋体" w:hAnsi="宋体"/>
                <w:sz w:val="20"/>
              </w:rPr>
              <w:t>。</w:t>
            </w:r>
          </w:p>
          <w:p w14:paraId="775D97C7">
            <w:pPr>
              <w:spacing w:before="0" w:after="0" w:line="320" w:lineRule="exact"/>
              <w:ind w:firstLine="402"/>
              <w:rPr>
                <w:rFonts w:ascii="宋体" w:hAnsi="宋体"/>
                <w:b/>
                <w:bCs/>
                <w:sz w:val="20"/>
              </w:rPr>
            </w:pPr>
            <w:r>
              <w:rPr>
                <w:rFonts w:hint="eastAsia" w:ascii="宋体" w:hAnsi="宋体"/>
                <w:b/>
                <w:bCs/>
                <w:sz w:val="20"/>
              </w:rPr>
              <w:t>“Dolly智录”数据采集与质控系统</w:t>
            </w:r>
          </w:p>
          <w:p w14:paraId="2142994D">
            <w:pPr>
              <w:spacing w:before="0" w:after="0" w:line="320" w:lineRule="exact"/>
              <w:ind w:firstLine="400"/>
              <w:rPr>
                <w:rFonts w:ascii="宋体" w:hAnsi="宋体"/>
                <w:sz w:val="20"/>
              </w:rPr>
            </w:pPr>
            <w:r>
              <w:rPr>
                <w:rFonts w:ascii="宋体" w:hAnsi="宋体"/>
                <w:sz w:val="20"/>
              </w:rPr>
              <w:t>大语言模型</w:t>
            </w:r>
            <w:r>
              <w:rPr>
                <w:rFonts w:hint="eastAsia" w:ascii="宋体" w:hAnsi="宋体"/>
                <w:sz w:val="20"/>
              </w:rPr>
              <w:t>（</w:t>
            </w:r>
            <w:r>
              <w:rPr>
                <w:rFonts w:ascii="宋体" w:hAnsi="宋体"/>
                <w:sz w:val="20"/>
              </w:rPr>
              <w:t>BiLSTM-CRF或BERT-BiLSTM-CRF</w:t>
            </w:r>
            <w:r>
              <w:rPr>
                <w:rFonts w:hint="eastAsia" w:ascii="宋体" w:hAnsi="宋体"/>
                <w:sz w:val="20"/>
              </w:rPr>
              <w:t>）</w:t>
            </w:r>
            <w:r>
              <w:rPr>
                <w:rFonts w:ascii="宋体" w:hAnsi="宋体"/>
                <w:sz w:val="20"/>
              </w:rPr>
              <w:t>语义匹配</w:t>
            </w:r>
            <w:r>
              <w:rPr>
                <w:rFonts w:hint="eastAsia" w:ascii="MS Gothic" w:hAnsi="MS Gothic" w:eastAsia="MS Gothic" w:cs="MS Gothic"/>
                <w:sz w:val="20"/>
              </w:rPr>
              <w:t>‌</w:t>
            </w:r>
            <w:r>
              <w:rPr>
                <w:rFonts w:ascii="宋体" w:hAnsi="宋体"/>
                <w:sz w:val="20"/>
              </w:rPr>
              <w:t>：利用大模型对文档内容做语义理解，自动识别文档中的关键信息，匹配eCRF对应字段，实现"一份报告多表一键录入"</w:t>
            </w:r>
            <w:r>
              <w:rPr>
                <w:rFonts w:hint="eastAsia" w:ascii="宋体" w:hAnsi="宋体"/>
                <w:sz w:val="20"/>
              </w:rPr>
              <w:t>。</w:t>
            </w:r>
          </w:p>
          <w:p w14:paraId="67F74360">
            <w:pPr>
              <w:spacing w:before="0" w:after="0" w:line="320" w:lineRule="exact"/>
              <w:ind w:firstLine="402"/>
              <w:rPr>
                <w:rFonts w:ascii="宋体" w:hAnsi="宋体"/>
                <w:b/>
                <w:bCs/>
                <w:sz w:val="20"/>
              </w:rPr>
            </w:pPr>
            <w:r>
              <w:rPr>
                <w:rFonts w:hint="eastAsia" w:ascii="宋体" w:hAnsi="宋体"/>
                <w:b/>
                <w:bCs/>
                <w:sz w:val="20"/>
              </w:rPr>
              <w:t>“Dolly智统”AI智能统计分析与证据生成系统</w:t>
            </w:r>
          </w:p>
          <w:p w14:paraId="17CE5A38">
            <w:pPr>
              <w:spacing w:before="0" w:after="0" w:line="320" w:lineRule="exact"/>
              <w:ind w:firstLine="400"/>
              <w:rPr>
                <w:rFonts w:ascii="宋体" w:hAnsi="宋体"/>
                <w:sz w:val="20"/>
              </w:rPr>
            </w:pPr>
            <w:r>
              <w:rPr>
                <w:rFonts w:ascii="宋体" w:hAnsi="宋体"/>
                <w:sz w:val="20"/>
              </w:rPr>
              <w:t>通过对研究数据进行统计学方法的应用和分析，以揭示数据之间的关联、趋势和差异，从而提供科学依据和结论支持。</w:t>
            </w:r>
          </w:p>
          <w:p w14:paraId="33F3618E">
            <w:pPr>
              <w:spacing w:before="0" w:after="0" w:line="320" w:lineRule="exact"/>
              <w:ind w:firstLine="402"/>
              <w:rPr>
                <w:rFonts w:ascii="宋体" w:hAnsi="宋体"/>
                <w:sz w:val="20"/>
              </w:rPr>
            </w:pPr>
            <w:r>
              <w:rPr>
                <w:rFonts w:hint="eastAsia" w:ascii="宋体" w:hAnsi="宋体"/>
                <w:b/>
                <w:bCs/>
                <w:sz w:val="20"/>
              </w:rPr>
              <w:t>“Dolly智数”AI多模态数控技术报告系统</w:t>
            </w:r>
          </w:p>
          <w:p w14:paraId="1B9EC27D">
            <w:pPr>
              <w:spacing w:before="0" w:after="0" w:line="320" w:lineRule="exact"/>
              <w:ind w:firstLine="400"/>
              <w:rPr>
                <w:rFonts w:ascii="宋体" w:hAnsi="宋体"/>
                <w:sz w:val="20"/>
              </w:rPr>
            </w:pPr>
            <w:r>
              <w:rPr>
                <w:rFonts w:hint="eastAsia" w:ascii="宋体" w:hAnsi="宋体"/>
                <w:sz w:val="20"/>
              </w:rPr>
              <w:t>以Dolly多以云在线医疗科研平台数据为预处理数据源，通过大模型数据分析，智能生成定制化医疗科研数据统计报告。</w:t>
            </w:r>
          </w:p>
          <w:p w14:paraId="73A7062C">
            <w:pPr>
              <w:spacing w:before="0" w:after="0" w:line="320" w:lineRule="exact"/>
              <w:ind w:firstLine="402"/>
              <w:rPr>
                <w:rFonts w:ascii="宋体" w:hAnsi="宋体"/>
                <w:sz w:val="20"/>
              </w:rPr>
            </w:pPr>
            <w:r>
              <w:rPr>
                <w:rFonts w:hint="eastAsia" w:ascii="宋体" w:hAnsi="宋体"/>
                <w:b/>
                <w:bCs/>
                <w:sz w:val="20"/>
              </w:rPr>
              <w:t>“Dolly 智模”智能构建医疗模型系统</w:t>
            </w:r>
            <w:r>
              <w:rPr>
                <w:rFonts w:ascii="宋体" w:hAnsi="宋体"/>
                <w:sz w:val="20"/>
              </w:rPr>
              <w:br w:type="textWrapping"/>
            </w:r>
            <w:r>
              <w:rPr>
                <w:rFonts w:ascii="宋体" w:hAnsi="宋体"/>
                <w:sz w:val="20"/>
              </w:rPr>
              <w:tab/>
            </w:r>
            <w:r>
              <w:rPr>
                <w:rFonts w:ascii="宋体" w:hAnsi="宋体"/>
                <w:sz w:val="20"/>
              </w:rPr>
              <w:t>系统以标准化医疗统计/机器学习模型模板库为核心基底，上传多源医疗数据、输入核心研究需求，依托特征工程自动化算法</w:t>
            </w:r>
            <w:r>
              <w:rPr>
                <w:rFonts w:hint="eastAsia" w:ascii="宋体" w:hAnsi="宋体"/>
                <w:sz w:val="20"/>
              </w:rPr>
              <w:t>+</w:t>
            </w:r>
            <w:r>
              <w:rPr>
                <w:rFonts w:ascii="宋体" w:hAnsi="宋体"/>
                <w:sz w:val="20"/>
              </w:rPr>
              <w:t>模型适配决策引擎，可自动匹配对应研究场景的基础模型。针对小样本数据、快速验证类研究场景，自动调取简化版统计模型或轻量化森林模型模板适配实际诉求，借助交叉验证优化技术+超参数智能搜索算法提升模型稳定性与精度，仅需小幅参数微调，即可一键输出可用医疗模型及性能报告。</w:t>
            </w:r>
          </w:p>
        </w:tc>
      </w:tr>
      <w:tr w14:paraId="7ABC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46" w:type="dxa"/>
            <w:shd w:val="clear" w:color="auto" w:fill="auto"/>
            <w:vAlign w:val="center"/>
          </w:tcPr>
          <w:p w14:paraId="549D5DC2">
            <w:pPr>
              <w:spacing w:before="0" w:after="0" w:line="320" w:lineRule="exact"/>
              <w:ind w:firstLine="0" w:firstLineChars="0"/>
              <w:jc w:val="center"/>
              <w:rPr>
                <w:rFonts w:ascii="宋体" w:hAnsi="宋体"/>
                <w:sz w:val="20"/>
              </w:rPr>
            </w:pPr>
            <w:r>
              <w:rPr>
                <w:rFonts w:ascii="宋体" w:hAnsi="宋体"/>
                <w:sz w:val="20"/>
              </w:rPr>
              <w:t>C02</w:t>
            </w:r>
          </w:p>
        </w:tc>
        <w:tc>
          <w:tcPr>
            <w:tcW w:w="1701" w:type="dxa"/>
            <w:shd w:val="clear" w:color="auto" w:fill="auto"/>
            <w:vAlign w:val="center"/>
          </w:tcPr>
          <w:p w14:paraId="0A2285B2">
            <w:pPr>
              <w:spacing w:before="0" w:after="0" w:line="320" w:lineRule="exact"/>
              <w:ind w:firstLine="0" w:firstLineChars="0"/>
              <w:rPr>
                <w:rFonts w:ascii="宋体" w:hAnsi="宋体"/>
                <w:color w:val="auto"/>
                <w:sz w:val="20"/>
              </w:rPr>
            </w:pPr>
            <w:r>
              <w:rPr>
                <w:rFonts w:hint="eastAsia" w:ascii="宋体" w:hAnsi="宋体"/>
                <w:color w:val="auto"/>
                <w:sz w:val="20"/>
              </w:rPr>
              <w:t>胜诊互联网医院、多福健康平台</w:t>
            </w:r>
          </w:p>
        </w:tc>
        <w:tc>
          <w:tcPr>
            <w:tcW w:w="6662" w:type="dxa"/>
            <w:shd w:val="clear" w:color="auto" w:fill="auto"/>
            <w:vAlign w:val="center"/>
          </w:tcPr>
          <w:p w14:paraId="6FCDA0D9">
            <w:pPr>
              <w:spacing w:before="0" w:after="0" w:line="320" w:lineRule="exact"/>
              <w:ind w:firstLine="400"/>
              <w:rPr>
                <w:rFonts w:ascii="宋体" w:hAnsi="宋体"/>
                <w:sz w:val="20"/>
              </w:rPr>
            </w:pPr>
            <w:r>
              <w:rPr>
                <w:rFonts w:hint="eastAsia" w:ascii="宋体" w:hAnsi="宋体"/>
                <w:sz w:val="20"/>
              </w:rPr>
              <w:t>“Dolly多医云在线 ”胜诊互联网医院和多福健康平台是助力科研项目的重要工具，其基于先进的患者随访管理体系，实时追踪患者情况，精准收集病情变化、治疗反应等数据，确保科研项目的顺利进行。</w:t>
            </w:r>
          </w:p>
          <w:p w14:paraId="0BE326C2">
            <w:pPr>
              <w:spacing w:before="0" w:after="0" w:line="320" w:lineRule="exact"/>
              <w:ind w:firstLine="400"/>
              <w:rPr>
                <w:rFonts w:ascii="宋体" w:hAnsi="宋体"/>
                <w:sz w:val="20"/>
              </w:rPr>
            </w:pPr>
            <w:r>
              <w:rPr>
                <w:rFonts w:hint="eastAsia" w:ascii="宋体" w:hAnsi="宋体"/>
                <w:sz w:val="20"/>
              </w:rPr>
              <w:t xml:space="preserve">    该平台融合了云计算、大数据和物联网技术，利用深度学习（如CNN、LSTM）、自然语言处理（NLP）及计算机视觉技术实现数据可视化和全程随访管理。</w:t>
            </w:r>
          </w:p>
          <w:p w14:paraId="101265F8">
            <w:pPr>
              <w:spacing w:before="0" w:after="0" w:line="320" w:lineRule="exact"/>
              <w:ind w:firstLine="400"/>
              <w:rPr>
                <w:rFonts w:ascii="宋体" w:hAnsi="宋体"/>
                <w:sz w:val="20"/>
              </w:rPr>
            </w:pPr>
            <w:r>
              <w:rPr>
                <w:rFonts w:hint="eastAsia" w:ascii="宋体" w:hAnsi="宋体"/>
                <w:sz w:val="20"/>
              </w:rPr>
              <w:t>在患者管理上，平台支持电子健康记录管理，便于记录和查看患者信息，并提供医患互动功能。随访管理方面，自动提醒系统确保患者按时随访，提高随访率，并可创建和跟踪治疗计划，收集患者反馈以改进服务。</w:t>
            </w:r>
          </w:p>
          <w:p w14:paraId="05761F49">
            <w:pPr>
              <w:spacing w:before="0" w:after="0" w:line="320" w:lineRule="exact"/>
              <w:ind w:firstLine="400"/>
              <w:rPr>
                <w:rFonts w:ascii="宋体" w:hAnsi="宋体"/>
                <w:sz w:val="20"/>
              </w:rPr>
            </w:pPr>
            <w:r>
              <w:rPr>
                <w:rFonts w:hint="eastAsia" w:ascii="宋体" w:hAnsi="宋体"/>
                <w:sz w:val="20"/>
              </w:rPr>
              <w:t>此外，平台支持数据收集和分析，提供工具帮助医生和研究人员分析大数据集，促进医学研究进展。</w:t>
            </w:r>
          </w:p>
        </w:tc>
      </w:tr>
      <w:tr w14:paraId="74A1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6" w:type="dxa"/>
            <w:shd w:val="clear" w:color="auto" w:fill="auto"/>
            <w:vAlign w:val="center"/>
          </w:tcPr>
          <w:p w14:paraId="7D17A9AE">
            <w:pPr>
              <w:spacing w:before="0" w:after="0" w:line="320" w:lineRule="exact"/>
              <w:ind w:firstLine="0" w:firstLineChars="0"/>
              <w:jc w:val="center"/>
              <w:rPr>
                <w:rFonts w:ascii="宋体" w:hAnsi="宋体"/>
                <w:sz w:val="20"/>
              </w:rPr>
            </w:pPr>
            <w:r>
              <w:rPr>
                <w:rFonts w:ascii="宋体" w:hAnsi="宋体"/>
                <w:sz w:val="20"/>
              </w:rPr>
              <w:t>C03</w:t>
            </w:r>
          </w:p>
        </w:tc>
        <w:tc>
          <w:tcPr>
            <w:tcW w:w="1701" w:type="dxa"/>
            <w:shd w:val="clear" w:color="auto" w:fill="auto"/>
            <w:vAlign w:val="center"/>
          </w:tcPr>
          <w:p w14:paraId="5189D410">
            <w:pPr>
              <w:spacing w:before="0" w:after="0" w:line="320" w:lineRule="exact"/>
              <w:ind w:firstLine="0" w:firstLineChars="0"/>
              <w:jc w:val="left"/>
              <w:rPr>
                <w:rFonts w:ascii="宋体" w:hAnsi="宋体"/>
                <w:color w:val="auto"/>
                <w:sz w:val="20"/>
              </w:rPr>
            </w:pPr>
            <w:r>
              <w:rPr>
                <w:rFonts w:hint="eastAsia" w:ascii="宋体" w:hAnsi="宋体"/>
                <w:color w:val="auto"/>
                <w:sz w:val="20"/>
              </w:rPr>
              <w:t>多医云在线健康科普 智医顾问</w:t>
            </w:r>
          </w:p>
        </w:tc>
        <w:tc>
          <w:tcPr>
            <w:tcW w:w="6662" w:type="dxa"/>
            <w:shd w:val="clear" w:color="auto" w:fill="auto"/>
            <w:vAlign w:val="center"/>
          </w:tcPr>
          <w:p w14:paraId="227BBADD">
            <w:pPr>
              <w:shd w:val="clear" w:color="auto" w:fill="FFFFFF"/>
              <w:spacing w:before="0" w:after="0" w:line="320" w:lineRule="exact"/>
              <w:ind w:firstLine="400"/>
              <w:rPr>
                <w:rFonts w:ascii="宋体" w:hAnsi="宋体"/>
                <w:sz w:val="20"/>
              </w:rPr>
            </w:pPr>
            <w:r>
              <w:rPr>
                <w:rFonts w:hint="eastAsia" w:ascii="宋体" w:hAnsi="宋体"/>
                <w:sz w:val="20"/>
              </w:rPr>
              <w:t>“Dolly多医云在线 智医顾问”是整合丰富医学资源的互动科普工具，旨在增强患者的健康意识和医患互动效率。它利用云计算、大数据、移动互联网和人工智能技术，提供全面、专业且易懂的医学知识，包括多媒体内容管理、社交媒体互动和用户行为分析等功能。</w:t>
            </w:r>
          </w:p>
          <w:p w14:paraId="5DF9A989">
            <w:pPr>
              <w:shd w:val="clear" w:color="auto" w:fill="FFFFFF"/>
              <w:spacing w:before="0" w:after="0" w:line="320" w:lineRule="exact"/>
              <w:ind w:firstLine="400"/>
              <w:rPr>
                <w:rFonts w:ascii="宋体" w:hAnsi="宋体"/>
                <w:sz w:val="20"/>
              </w:rPr>
            </w:pPr>
            <w:r>
              <w:rPr>
                <w:rFonts w:hint="eastAsia" w:ascii="宋体" w:hAnsi="宋体"/>
                <w:sz w:val="20"/>
              </w:rPr>
              <w:t>通过云计算技术，平台确保医学资料的稳定存储和快速访问；大数据技术实现个性化科普信息推送；移动互联网技术使患者可通过手机等设备轻松访问平台，医生可以跟踪学习进度与效果，从而全面提升患者的学习体验和实际效果。</w:t>
            </w:r>
          </w:p>
        </w:tc>
      </w:tr>
      <w:tr w14:paraId="5A79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846" w:type="dxa"/>
            <w:shd w:val="clear" w:color="auto" w:fill="auto"/>
            <w:vAlign w:val="center"/>
          </w:tcPr>
          <w:p w14:paraId="7BF58B85">
            <w:pPr>
              <w:spacing w:before="0" w:after="0" w:line="320" w:lineRule="exact"/>
              <w:ind w:firstLine="0" w:firstLineChars="0"/>
              <w:jc w:val="center"/>
              <w:rPr>
                <w:rFonts w:ascii="宋体" w:hAnsi="宋体"/>
                <w:sz w:val="20"/>
              </w:rPr>
            </w:pPr>
            <w:r>
              <w:rPr>
                <w:rFonts w:ascii="宋体" w:hAnsi="宋体"/>
                <w:sz w:val="20"/>
              </w:rPr>
              <w:t>C04</w:t>
            </w:r>
          </w:p>
        </w:tc>
        <w:tc>
          <w:tcPr>
            <w:tcW w:w="1701" w:type="dxa"/>
            <w:shd w:val="clear" w:color="auto" w:fill="auto"/>
            <w:vAlign w:val="center"/>
          </w:tcPr>
          <w:p w14:paraId="1653BFEB">
            <w:pPr>
              <w:spacing w:before="0" w:after="0" w:line="320" w:lineRule="exact"/>
              <w:ind w:firstLine="0" w:firstLineChars="0"/>
              <w:jc w:val="left"/>
              <w:rPr>
                <w:rFonts w:ascii="宋体" w:hAnsi="宋体"/>
                <w:sz w:val="20"/>
              </w:rPr>
            </w:pPr>
            <w:r>
              <w:rPr>
                <w:rFonts w:hint="eastAsia" w:ascii="宋体" w:hAnsi="宋体"/>
                <w:sz w:val="20"/>
              </w:rPr>
              <w:t>弥澳产学研</w:t>
            </w:r>
            <w:r>
              <w:rPr>
                <w:rFonts w:ascii="宋体" w:hAnsi="宋体"/>
                <w:sz w:val="20"/>
              </w:rPr>
              <w:t>平台</w:t>
            </w:r>
          </w:p>
        </w:tc>
        <w:tc>
          <w:tcPr>
            <w:tcW w:w="6662" w:type="dxa"/>
            <w:shd w:val="clear" w:color="auto" w:fill="auto"/>
            <w:vAlign w:val="center"/>
          </w:tcPr>
          <w:p w14:paraId="0951F3EF">
            <w:pPr>
              <w:shd w:val="clear" w:color="auto" w:fill="FFFFFF"/>
              <w:spacing w:before="0" w:after="0" w:line="320" w:lineRule="exact"/>
              <w:ind w:firstLine="400"/>
              <w:rPr>
                <w:rFonts w:ascii="宋体" w:hAnsi="宋体"/>
                <w:sz w:val="20"/>
              </w:rPr>
            </w:pPr>
            <w:r>
              <w:rPr>
                <w:rFonts w:hint="eastAsia" w:ascii="宋体" w:hAnsi="宋体"/>
                <w:sz w:val="20"/>
              </w:rPr>
              <w:t xml:space="preserve"> “弥澳产学研”是科研项目的重要支撑，为参与者提供展示空间，沉淀科研进度、数据、成果和经费等关键要素，促进信息共享与交流，确保科研工作有序进行。</w:t>
            </w:r>
          </w:p>
          <w:p w14:paraId="2A6C89E2">
            <w:pPr>
              <w:shd w:val="clear" w:color="auto" w:fill="FFFFFF"/>
              <w:spacing w:before="0" w:after="0" w:line="320" w:lineRule="exact"/>
              <w:ind w:firstLine="400"/>
              <w:rPr>
                <w:rFonts w:ascii="宋体" w:hAnsi="宋体"/>
                <w:sz w:val="20"/>
              </w:rPr>
            </w:pPr>
            <w:r>
              <w:rPr>
                <w:rFonts w:hint="eastAsia" w:ascii="宋体" w:hAnsi="宋体"/>
                <w:sz w:val="20"/>
              </w:rPr>
              <w:t>平台融合云计算、AI 和大数据技术，采用分布式架构（Hadoop），实现科研数据高效管理。通过完善的数据管理体系，对海量数据进行分类、整理，支持深入分析。</w:t>
            </w:r>
          </w:p>
          <w:p w14:paraId="47080463">
            <w:pPr>
              <w:shd w:val="clear" w:color="auto" w:fill="FFFFFF"/>
              <w:spacing w:before="0" w:after="0" w:line="320" w:lineRule="exact"/>
              <w:ind w:firstLine="400"/>
              <w:rPr>
                <w:rFonts w:ascii="宋体" w:hAnsi="宋体"/>
                <w:iCs w:val="0"/>
                <w:sz w:val="20"/>
              </w:rPr>
            </w:pPr>
            <w:r>
              <w:rPr>
                <w:rFonts w:hint="eastAsia" w:ascii="宋体" w:hAnsi="宋体"/>
                <w:sz w:val="20"/>
              </w:rPr>
              <w:t>利用先进算法挖掘数据规律，支持科研决策。采用 EDMS 提升科研效率，实现任务分配、进度跟踪和资源协调，提高团队协作效率。利用知识图谱和语义分析技术，促进成果结构化和可视化展示，便于快速理解和应用。</w:t>
            </w:r>
          </w:p>
        </w:tc>
      </w:tr>
    </w:tbl>
    <w:p w14:paraId="149F2276">
      <w:pPr>
        <w:spacing w:before="0" w:after="0" w:line="480" w:lineRule="exact"/>
        <w:ind w:firstLine="0" w:firstLineChars="0"/>
        <w:rPr>
          <w:rFonts w:eastAsiaTheme="majorEastAsia"/>
          <w:sz w:val="24"/>
          <w:szCs w:val="24"/>
        </w:rPr>
      </w:pPr>
    </w:p>
    <w:p w14:paraId="00621AA5">
      <w:pPr>
        <w:pStyle w:val="3"/>
        <w:numPr>
          <w:ilvl w:val="0"/>
          <w:numId w:val="0"/>
        </w:numPr>
        <w:spacing w:before="0" w:beforeLines="0" w:line="480" w:lineRule="exact"/>
        <w:ind w:firstLine="562" w:firstLineChars="200"/>
        <w:rPr>
          <w:rFonts w:ascii="黑体" w:hAnsi="黑体" w:eastAsia="黑体"/>
          <w:szCs w:val="28"/>
        </w:rPr>
      </w:pPr>
      <w:r>
        <w:rPr>
          <w:rFonts w:ascii="黑体" w:hAnsi="黑体" w:eastAsia="黑体"/>
          <w:szCs w:val="28"/>
        </w:rPr>
        <w:t>四、课题申报说明</w:t>
      </w:r>
    </w:p>
    <w:p w14:paraId="666AD5A4">
      <w:pPr>
        <w:pStyle w:val="3"/>
        <w:numPr>
          <w:ilvl w:val="0"/>
          <w:numId w:val="0"/>
        </w:numPr>
        <w:spacing w:before="0" w:beforeLines="0" w:line="48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1</w:t>
      </w:r>
      <w:r>
        <w:rPr>
          <w:rFonts w:ascii="宋体" w:hAnsi="宋体" w:eastAsia="宋体"/>
          <w:b w:val="0"/>
          <w:bCs w:val="0"/>
          <w:sz w:val="24"/>
          <w:szCs w:val="24"/>
        </w:rPr>
        <w:t>.申请人须仔细阅读申请指南，按照指南详细填写申请书，填写不合要求的课题会按照格式不符合要求处理。</w:t>
      </w:r>
    </w:p>
    <w:p w14:paraId="3A1C5EC1">
      <w:pPr>
        <w:pStyle w:val="3"/>
        <w:numPr>
          <w:ilvl w:val="0"/>
          <w:numId w:val="0"/>
        </w:numPr>
        <w:spacing w:before="0" w:beforeLines="0" w:line="480" w:lineRule="exact"/>
        <w:ind w:firstLine="480" w:firstLineChars="200"/>
        <w:jc w:val="both"/>
        <w:rPr>
          <w:rFonts w:ascii="宋体" w:hAnsi="宋体" w:eastAsia="宋体"/>
          <w:b w:val="0"/>
          <w:bCs w:val="0"/>
          <w:sz w:val="24"/>
          <w:szCs w:val="24"/>
        </w:rPr>
      </w:pPr>
      <w:r>
        <w:rPr>
          <w:rFonts w:ascii="宋体" w:hAnsi="宋体" w:eastAsia="宋体"/>
          <w:b w:val="0"/>
          <w:bCs w:val="0"/>
          <w:sz w:val="24"/>
          <w:szCs w:val="24"/>
        </w:rPr>
        <w:t>2.请各课题申请人按要求填写申请书（申请书中手机和邮箱必须填写），加盖学校公章及签字后扫描上传至：</w:t>
      </w:r>
      <w:r>
        <w:rPr>
          <w:rFonts w:ascii="宋体" w:hAnsi="宋体" w:eastAsia="宋体"/>
          <w:bCs w:val="0"/>
          <w:sz w:val="24"/>
          <w:szCs w:val="24"/>
        </w:rPr>
        <w:t>http</w:t>
      </w:r>
      <w:r>
        <w:rPr>
          <w:rFonts w:hint="eastAsia" w:ascii="宋体" w:hAnsi="宋体" w:eastAsia="宋体"/>
          <w:bCs w:val="0"/>
          <w:sz w:val="24"/>
          <w:szCs w:val="24"/>
        </w:rPr>
        <w:t>s</w:t>
      </w:r>
      <w:r>
        <w:rPr>
          <w:rFonts w:ascii="宋体" w:hAnsi="宋体" w:eastAsia="宋体"/>
          <w:bCs w:val="0"/>
          <w:sz w:val="24"/>
          <w:szCs w:val="24"/>
        </w:rPr>
        <w:t>://cxjj.cutech.edu.cn</w:t>
      </w:r>
      <w:r>
        <w:rPr>
          <w:rFonts w:ascii="宋体" w:hAnsi="宋体" w:eastAsia="宋体"/>
          <w:b w:val="0"/>
          <w:bCs w:val="0"/>
          <w:sz w:val="24"/>
          <w:szCs w:val="24"/>
        </w:rPr>
        <w:t>；为方便评审，申请书扫描件请按以下命名规则命名：学校名称+申请人姓名。</w:t>
      </w:r>
    </w:p>
    <w:p w14:paraId="452F41D0">
      <w:pPr>
        <w:pStyle w:val="3"/>
        <w:numPr>
          <w:ilvl w:val="0"/>
          <w:numId w:val="0"/>
        </w:numPr>
        <w:spacing w:before="0" w:beforeLines="0" w:line="48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3</w:t>
      </w:r>
      <w:r>
        <w:rPr>
          <w:rFonts w:ascii="宋体" w:hAnsi="宋体" w:eastAsia="宋体"/>
          <w:b w:val="0"/>
          <w:bCs w:val="0"/>
          <w:sz w:val="24"/>
          <w:szCs w:val="24"/>
        </w:rPr>
        <w:t>.</w:t>
      </w:r>
      <w:r>
        <w:rPr>
          <w:rFonts w:hint="eastAsia" w:ascii="宋体" w:hAnsi="宋体" w:eastAsia="宋体"/>
          <w:b w:val="0"/>
          <w:bCs w:val="0"/>
          <w:sz w:val="24"/>
          <w:szCs w:val="24"/>
        </w:rPr>
        <w:t>申请书书面材料一份，邮寄至：北京市海淀区中关村大街35号80</w:t>
      </w:r>
      <w:r>
        <w:rPr>
          <w:rFonts w:ascii="宋体" w:hAnsi="宋体" w:eastAsia="宋体"/>
          <w:b w:val="0"/>
          <w:bCs w:val="0"/>
          <w:sz w:val="24"/>
          <w:szCs w:val="24"/>
        </w:rPr>
        <w:t>3</w:t>
      </w:r>
      <w:r>
        <w:rPr>
          <w:rFonts w:hint="eastAsia" w:ascii="宋体" w:hAnsi="宋体" w:eastAsia="宋体"/>
          <w:b w:val="0"/>
          <w:bCs w:val="0"/>
          <w:sz w:val="24"/>
          <w:szCs w:val="24"/>
        </w:rPr>
        <w:t>室，教育部高等学校科学研究发展中心信息化研究发展处。</w:t>
      </w:r>
    </w:p>
    <w:p w14:paraId="329869C9">
      <w:pPr>
        <w:pStyle w:val="3"/>
        <w:widowControl w:val="0"/>
        <w:numPr>
          <w:ilvl w:val="0"/>
          <w:numId w:val="0"/>
        </w:numPr>
        <w:snapToGrid w:val="0"/>
        <w:spacing w:before="0" w:beforeLines="0" w:line="480" w:lineRule="exact"/>
        <w:ind w:firstLine="480" w:firstLineChars="200"/>
        <w:contextualSpacing w:val="0"/>
        <w:jc w:val="both"/>
        <w:rPr>
          <w:rFonts w:ascii="宋体" w:hAnsi="宋体" w:eastAsia="宋体"/>
          <w:b w:val="0"/>
          <w:bCs w:val="0"/>
          <w:sz w:val="24"/>
          <w:szCs w:val="24"/>
        </w:rPr>
      </w:pPr>
      <w:r>
        <w:rPr>
          <w:rFonts w:ascii="宋体" w:hAnsi="宋体" w:eastAsia="宋体"/>
          <w:b w:val="0"/>
          <w:bCs w:val="0"/>
          <w:sz w:val="24"/>
          <w:szCs w:val="24"/>
        </w:rPr>
        <w:t>4.申请截止时间为</w:t>
      </w:r>
      <w:r>
        <w:rPr>
          <w:rFonts w:ascii="宋体" w:hAnsi="宋体" w:eastAsia="宋体"/>
          <w:b w:val="0"/>
          <w:sz w:val="24"/>
          <w:szCs w:val="24"/>
        </w:rPr>
        <w:t>20</w:t>
      </w:r>
      <w:r>
        <w:rPr>
          <w:rFonts w:hint="eastAsia" w:ascii="宋体" w:hAnsi="宋体" w:eastAsia="宋体"/>
          <w:b w:val="0"/>
          <w:sz w:val="24"/>
          <w:szCs w:val="24"/>
        </w:rPr>
        <w:t>26</w:t>
      </w:r>
      <w:r>
        <w:rPr>
          <w:rFonts w:ascii="宋体" w:hAnsi="宋体" w:eastAsia="宋体"/>
          <w:b w:val="0"/>
          <w:sz w:val="24"/>
          <w:szCs w:val="24"/>
        </w:rPr>
        <w:t>年9月25日</w:t>
      </w:r>
      <w:r>
        <w:rPr>
          <w:rFonts w:ascii="宋体" w:hAnsi="宋体" w:eastAsia="宋体"/>
          <w:b w:val="0"/>
          <w:bCs w:val="0"/>
          <w:sz w:val="24"/>
          <w:szCs w:val="24"/>
        </w:rPr>
        <w:t>。</w:t>
      </w:r>
    </w:p>
    <w:p w14:paraId="30D6B202">
      <w:pPr>
        <w:pStyle w:val="3"/>
        <w:widowControl w:val="0"/>
        <w:numPr>
          <w:ilvl w:val="0"/>
          <w:numId w:val="0"/>
        </w:numPr>
        <w:spacing w:before="0" w:beforeLines="0" w:line="48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5</w:t>
      </w:r>
      <w:r>
        <w:rPr>
          <w:rFonts w:ascii="宋体" w:hAnsi="宋体" w:eastAsia="宋体"/>
          <w:b w:val="0"/>
          <w:bCs w:val="0"/>
          <w:sz w:val="24"/>
          <w:szCs w:val="24"/>
        </w:rPr>
        <w:t>.</w:t>
      </w:r>
      <w:r>
        <w:rPr>
          <w:rFonts w:hint="eastAsia" w:ascii="宋体" w:hAnsi="宋体" w:eastAsia="宋体"/>
          <w:b w:val="0"/>
          <w:bCs w:val="0"/>
          <w:sz w:val="24"/>
          <w:szCs w:val="24"/>
        </w:rPr>
        <w:t>课题的计划执行时间为</w:t>
      </w:r>
      <w:r>
        <w:rPr>
          <w:rFonts w:hint="eastAsia" w:ascii="宋体" w:hAnsi="宋体" w:eastAsia="宋体"/>
          <w:b w:val="0"/>
          <w:sz w:val="24"/>
          <w:szCs w:val="24"/>
        </w:rPr>
        <w:t>2026年</w:t>
      </w:r>
      <w:r>
        <w:rPr>
          <w:rFonts w:ascii="宋体" w:hAnsi="宋体" w:eastAsia="宋体"/>
          <w:b w:val="0"/>
          <w:sz w:val="24"/>
          <w:szCs w:val="24"/>
        </w:rPr>
        <w:t>12</w:t>
      </w:r>
      <w:r>
        <w:rPr>
          <w:rFonts w:hint="eastAsia" w:ascii="宋体" w:hAnsi="宋体" w:eastAsia="宋体"/>
          <w:b w:val="0"/>
          <w:sz w:val="24"/>
          <w:szCs w:val="24"/>
        </w:rPr>
        <w:t>月</w:t>
      </w:r>
      <w:r>
        <w:rPr>
          <w:rFonts w:ascii="宋体" w:hAnsi="宋体" w:eastAsia="宋体"/>
          <w:b w:val="0"/>
          <w:sz w:val="24"/>
          <w:szCs w:val="24"/>
        </w:rPr>
        <w:t>1</w:t>
      </w:r>
      <w:r>
        <w:rPr>
          <w:rFonts w:hint="eastAsia" w:ascii="宋体" w:hAnsi="宋体" w:eastAsia="宋体"/>
          <w:b w:val="0"/>
          <w:sz w:val="24"/>
          <w:szCs w:val="24"/>
        </w:rPr>
        <w:t>日～202</w:t>
      </w:r>
      <w:r>
        <w:rPr>
          <w:rFonts w:ascii="宋体" w:hAnsi="宋体" w:eastAsia="宋体"/>
          <w:b w:val="0"/>
          <w:sz w:val="24"/>
          <w:szCs w:val="24"/>
        </w:rPr>
        <w:t>8</w:t>
      </w:r>
      <w:r>
        <w:rPr>
          <w:rFonts w:hint="eastAsia" w:ascii="宋体" w:hAnsi="宋体" w:eastAsia="宋体"/>
          <w:b w:val="0"/>
          <w:sz w:val="24"/>
          <w:szCs w:val="24"/>
        </w:rPr>
        <w:t>年11月</w:t>
      </w:r>
      <w:r>
        <w:rPr>
          <w:rFonts w:ascii="宋体" w:hAnsi="宋体" w:eastAsia="宋体"/>
          <w:b w:val="0"/>
          <w:sz w:val="24"/>
          <w:szCs w:val="24"/>
        </w:rPr>
        <w:t>30</w:t>
      </w:r>
      <w:r>
        <w:rPr>
          <w:rFonts w:hint="eastAsia" w:ascii="宋体" w:hAnsi="宋体" w:eastAsia="宋体"/>
          <w:b w:val="0"/>
          <w:sz w:val="24"/>
          <w:szCs w:val="24"/>
        </w:rPr>
        <w:t>日</w:t>
      </w:r>
      <w:r>
        <w:rPr>
          <w:rFonts w:hint="eastAsia" w:ascii="宋体" w:hAnsi="宋体" w:eastAsia="宋体"/>
          <w:b w:val="0"/>
          <w:bCs w:val="0"/>
          <w:sz w:val="24"/>
          <w:szCs w:val="24"/>
        </w:rPr>
        <w:t>，可根据课题复杂程度适度延长执行周期，根据课题实际情况协商，最长不超过三年。</w:t>
      </w:r>
    </w:p>
    <w:p w14:paraId="40FE70A9">
      <w:pPr>
        <w:pStyle w:val="3"/>
        <w:widowControl w:val="0"/>
        <w:numPr>
          <w:ilvl w:val="0"/>
          <w:numId w:val="0"/>
        </w:numPr>
        <w:spacing w:before="0" w:beforeLines="0" w:line="48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6</w:t>
      </w:r>
      <w:r>
        <w:rPr>
          <w:rFonts w:ascii="宋体" w:hAnsi="宋体" w:eastAsia="宋体"/>
          <w:b w:val="0"/>
          <w:bCs w:val="0"/>
          <w:sz w:val="24"/>
          <w:szCs w:val="24"/>
        </w:rPr>
        <w:t>.</w:t>
      </w:r>
      <w:r>
        <w:rPr>
          <w:rFonts w:hint="eastAsia" w:ascii="宋体" w:hAnsi="宋体" w:eastAsia="宋体"/>
          <w:b w:val="0"/>
          <w:sz w:val="24"/>
          <w:szCs w:val="24"/>
        </w:rPr>
        <w:t>每位申报人限报一项课题。</w:t>
      </w:r>
    </w:p>
    <w:p w14:paraId="3553E563">
      <w:pPr>
        <w:pStyle w:val="3"/>
        <w:widowControl w:val="0"/>
        <w:numPr>
          <w:ilvl w:val="0"/>
          <w:numId w:val="0"/>
        </w:numPr>
        <w:spacing w:before="0" w:beforeLines="0" w:line="480" w:lineRule="exact"/>
        <w:ind w:firstLine="480" w:firstLineChars="200"/>
        <w:jc w:val="both"/>
        <w:rPr>
          <w:rFonts w:ascii="宋体" w:hAnsi="宋体" w:eastAsia="宋体"/>
          <w:b w:val="0"/>
          <w:bCs w:val="0"/>
          <w:sz w:val="24"/>
          <w:szCs w:val="24"/>
        </w:rPr>
      </w:pPr>
      <w:r>
        <w:rPr>
          <w:rFonts w:ascii="宋体" w:hAnsi="宋体" w:eastAsia="宋体"/>
          <w:b w:val="0"/>
          <w:bCs w:val="0"/>
          <w:sz w:val="24"/>
          <w:szCs w:val="24"/>
        </w:rPr>
        <w:t>7.课题选题列表上的选题方向都不限定课题数量，但是如果存在内容重复的相似课题，专家组将根据课题组技术积累、课题方案、课题支撑条件等要素择优选择立项课题。</w:t>
      </w:r>
    </w:p>
    <w:p w14:paraId="7EB5BA6B">
      <w:pPr>
        <w:pStyle w:val="3"/>
        <w:widowControl w:val="0"/>
        <w:numPr>
          <w:ilvl w:val="0"/>
          <w:numId w:val="0"/>
        </w:numPr>
        <w:spacing w:before="0" w:beforeLines="0" w:line="48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8</w:t>
      </w:r>
      <w:r>
        <w:rPr>
          <w:rFonts w:ascii="宋体" w:hAnsi="宋体" w:eastAsia="宋体"/>
          <w:b w:val="0"/>
          <w:bCs w:val="0"/>
          <w:sz w:val="24"/>
          <w:szCs w:val="24"/>
        </w:rPr>
        <w:t>.如果以</w:t>
      </w:r>
      <w:r>
        <w:rPr>
          <w:rFonts w:hint="eastAsia" w:ascii="宋体" w:hAnsi="宋体" w:eastAsia="宋体"/>
          <w:b w:val="0"/>
          <w:bCs w:val="0"/>
          <w:sz w:val="24"/>
          <w:szCs w:val="24"/>
        </w:rPr>
        <w:t>多中心</w:t>
      </w:r>
      <w:r>
        <w:rPr>
          <w:rFonts w:ascii="宋体" w:hAnsi="宋体" w:eastAsia="宋体"/>
          <w:b w:val="0"/>
          <w:bCs w:val="0"/>
          <w:sz w:val="24"/>
          <w:szCs w:val="24"/>
        </w:rPr>
        <w:t>联合课题组的形式申请课题，需要列明不同单位的课题任务。</w:t>
      </w:r>
    </w:p>
    <w:p w14:paraId="6FC5842B">
      <w:pPr>
        <w:pStyle w:val="3"/>
        <w:widowControl w:val="0"/>
        <w:numPr>
          <w:ilvl w:val="0"/>
          <w:numId w:val="0"/>
        </w:numPr>
        <w:spacing w:before="0" w:beforeLines="0" w:line="48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9</w:t>
      </w:r>
      <w:r>
        <w:rPr>
          <w:rFonts w:ascii="宋体" w:hAnsi="宋体" w:eastAsia="宋体"/>
          <w:b w:val="0"/>
          <w:bCs w:val="0"/>
          <w:sz w:val="24"/>
          <w:szCs w:val="24"/>
        </w:rPr>
        <w:t>.</w:t>
      </w:r>
      <w:r>
        <w:rPr>
          <w:rFonts w:ascii="宋体" w:hAnsi="宋体" w:eastAsia="宋体"/>
          <w:b w:val="0"/>
          <w:sz w:val="24"/>
          <w:szCs w:val="24"/>
        </w:rPr>
        <w:t>课题申请人无需向</w:t>
      </w:r>
      <w:r>
        <w:rPr>
          <w:rFonts w:hint="eastAsia" w:ascii="宋体" w:hAnsi="宋体" w:eastAsia="宋体"/>
          <w:b w:val="0"/>
          <w:sz w:val="24"/>
          <w:szCs w:val="24"/>
        </w:rPr>
        <w:t>资助</w:t>
      </w:r>
      <w:r>
        <w:rPr>
          <w:rFonts w:ascii="宋体" w:hAnsi="宋体" w:eastAsia="宋体"/>
          <w:b w:val="0"/>
          <w:sz w:val="24"/>
          <w:szCs w:val="24"/>
        </w:rPr>
        <w:t>企业额外购买配套设备或软件。</w:t>
      </w:r>
    </w:p>
    <w:p w14:paraId="761ACC03">
      <w:pPr>
        <w:pStyle w:val="3"/>
        <w:numPr>
          <w:ilvl w:val="0"/>
          <w:numId w:val="0"/>
        </w:numPr>
        <w:spacing w:before="0" w:beforeLines="0" w:line="480" w:lineRule="exact"/>
        <w:ind w:firstLine="560" w:firstLineChars="200"/>
        <w:rPr>
          <w:rFonts w:eastAsiaTheme="majorEastAsia"/>
        </w:rPr>
      </w:pPr>
    </w:p>
    <w:p w14:paraId="2E64D3FA">
      <w:pPr>
        <w:pStyle w:val="3"/>
        <w:numPr>
          <w:ilvl w:val="0"/>
          <w:numId w:val="0"/>
        </w:numPr>
        <w:spacing w:before="0" w:beforeLines="0" w:line="480" w:lineRule="exact"/>
        <w:ind w:firstLine="560" w:firstLineChars="200"/>
        <w:rPr>
          <w:rFonts w:eastAsiaTheme="majorEastAsia"/>
        </w:rPr>
      </w:pPr>
      <w:r>
        <w:rPr>
          <w:rFonts w:eastAsiaTheme="majorEastAsia"/>
        </w:rPr>
        <w:t>五、联系人及联系方式</w:t>
      </w:r>
    </w:p>
    <w:p w14:paraId="06739DB8">
      <w:pPr>
        <w:spacing w:before="0" w:after="0" w:line="480" w:lineRule="exact"/>
        <w:ind w:firstLine="482"/>
        <w:rPr>
          <w:rFonts w:ascii="宋体" w:hAnsi="宋体" w:cs="宋体"/>
          <w:b/>
          <w:iCs w:val="0"/>
          <w:sz w:val="24"/>
          <w:szCs w:val="32"/>
        </w:rPr>
      </w:pPr>
      <w:r>
        <w:rPr>
          <w:rFonts w:hint="eastAsia" w:ascii="宋体" w:hAnsi="宋体" w:cs="宋体"/>
          <w:b/>
          <w:sz w:val="24"/>
          <w:szCs w:val="24"/>
        </w:rPr>
        <w:t>教育部高等学校科学研究发展中心</w:t>
      </w:r>
      <w:r>
        <w:rPr>
          <w:rFonts w:hint="eastAsia" w:ascii="宋体" w:hAnsi="宋体" w:cs="宋体"/>
          <w:b/>
          <w:sz w:val="24"/>
          <w:szCs w:val="32"/>
        </w:rPr>
        <w:t>：</w:t>
      </w:r>
    </w:p>
    <w:p w14:paraId="4ED7B061">
      <w:pPr>
        <w:spacing w:before="0" w:after="0" w:line="480" w:lineRule="exact"/>
        <w:ind w:firstLine="480"/>
        <w:rPr>
          <w:rFonts w:ascii="宋体" w:hAnsi="宋体" w:cs="宋体"/>
          <w:iCs w:val="0"/>
          <w:sz w:val="24"/>
          <w:szCs w:val="32"/>
        </w:rPr>
      </w:pPr>
      <w:r>
        <w:rPr>
          <w:rFonts w:hint="eastAsia" w:ascii="宋体" w:hAnsi="宋体" w:cs="宋体"/>
          <w:sz w:val="24"/>
          <w:szCs w:val="32"/>
        </w:rPr>
        <w:t xml:space="preserve">张 </w:t>
      </w:r>
      <w:r>
        <w:rPr>
          <w:rFonts w:ascii="宋体" w:hAnsi="宋体" w:cs="宋体"/>
          <w:sz w:val="24"/>
          <w:szCs w:val="32"/>
        </w:rPr>
        <w:t xml:space="preserve"> </w:t>
      </w:r>
      <w:r>
        <w:rPr>
          <w:rFonts w:hint="eastAsia" w:ascii="宋体" w:hAnsi="宋体" w:cs="宋体"/>
          <w:sz w:val="24"/>
          <w:szCs w:val="32"/>
        </w:rPr>
        <w:t xml:space="preserve">杰 </w:t>
      </w:r>
      <w:r>
        <w:rPr>
          <w:rFonts w:ascii="宋体" w:hAnsi="宋体" w:cs="宋体"/>
          <w:sz w:val="24"/>
          <w:szCs w:val="32"/>
        </w:rPr>
        <w:t xml:space="preserve">    </w:t>
      </w:r>
      <w:r>
        <w:rPr>
          <w:rFonts w:hint="eastAsia" w:ascii="宋体" w:hAnsi="宋体" w:cs="宋体"/>
          <w:sz w:val="24"/>
          <w:szCs w:val="32"/>
        </w:rPr>
        <w:t>电话：010-62514689</w:t>
      </w:r>
    </w:p>
    <w:p w14:paraId="6E9EA03E">
      <w:pPr>
        <w:spacing w:before="0" w:after="0" w:line="480" w:lineRule="exact"/>
        <w:ind w:firstLine="482"/>
        <w:rPr>
          <w:rFonts w:ascii="宋体" w:hAnsi="宋体" w:cs="宋体"/>
          <w:iCs w:val="0"/>
          <w:sz w:val="24"/>
          <w:szCs w:val="32"/>
        </w:rPr>
      </w:pPr>
      <w:r>
        <w:rPr>
          <w:rFonts w:ascii="宋体" w:hAnsi="宋体"/>
          <w:b/>
          <w:sz w:val="24"/>
          <w:szCs w:val="24"/>
        </w:rPr>
        <w:t>上海多瑞生物科技有限责任公司</w:t>
      </w:r>
      <w:r>
        <w:rPr>
          <w:rFonts w:hint="eastAsia" w:ascii="宋体" w:hAnsi="宋体"/>
          <w:b/>
          <w:sz w:val="24"/>
          <w:szCs w:val="24"/>
        </w:rPr>
        <w:t>：</w:t>
      </w:r>
    </w:p>
    <w:p w14:paraId="23089032">
      <w:pPr>
        <w:spacing w:before="0" w:after="0" w:line="480" w:lineRule="exact"/>
        <w:ind w:firstLine="480"/>
        <w:rPr>
          <w:rFonts w:ascii="宋体" w:hAnsi="宋体"/>
          <w:iCs w:val="0"/>
          <w:kern w:val="2"/>
          <w:sz w:val="24"/>
          <w:szCs w:val="24"/>
        </w:rPr>
      </w:pPr>
      <w:r>
        <w:rPr>
          <w:rFonts w:hint="eastAsia" w:ascii="宋体" w:hAnsi="宋体"/>
          <w:sz w:val="24"/>
          <w:szCs w:val="24"/>
        </w:rPr>
        <w:t>谷  萍</w:t>
      </w:r>
      <w:r>
        <w:rPr>
          <w:rFonts w:ascii="宋体" w:hAnsi="宋体"/>
          <w:sz w:val="24"/>
          <w:szCs w:val="24"/>
        </w:rPr>
        <w:t xml:space="preserve">     </w:t>
      </w:r>
      <w:r>
        <w:rPr>
          <w:rFonts w:ascii="宋体" w:hAnsi="宋体"/>
          <w:iCs w:val="0"/>
          <w:kern w:val="2"/>
          <w:sz w:val="24"/>
          <w:szCs w:val="24"/>
        </w:rPr>
        <w:t>电话：13621888873</w:t>
      </w:r>
    </w:p>
    <w:p w14:paraId="62F4A761">
      <w:pPr>
        <w:spacing w:before="0" w:after="0" w:line="480" w:lineRule="exact"/>
        <w:ind w:firstLine="480"/>
        <w:rPr>
          <w:rFonts w:ascii="宋体" w:hAnsi="宋体"/>
          <w:iCs w:val="0"/>
          <w:kern w:val="2"/>
          <w:sz w:val="24"/>
          <w:szCs w:val="24"/>
        </w:rPr>
      </w:pPr>
      <w:r>
        <w:rPr>
          <w:rFonts w:hint="eastAsia" w:ascii="宋体" w:hAnsi="宋体"/>
          <w:sz w:val="24"/>
          <w:szCs w:val="24"/>
        </w:rPr>
        <w:t>孙  松</w:t>
      </w:r>
      <w:r>
        <w:rPr>
          <w:rFonts w:ascii="宋体" w:hAnsi="宋体"/>
          <w:sz w:val="24"/>
          <w:szCs w:val="24"/>
        </w:rPr>
        <w:t xml:space="preserve">     </w:t>
      </w:r>
      <w:r>
        <w:rPr>
          <w:rFonts w:ascii="宋体" w:hAnsi="宋体"/>
          <w:iCs w:val="0"/>
          <w:kern w:val="2"/>
          <w:sz w:val="24"/>
          <w:szCs w:val="24"/>
        </w:rPr>
        <w:t>电话：13764344535</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531" w:bottom="1134" w:left="1531" w:header="113" w:footer="113"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0A83">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CD90A">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9D81">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49EB5">
    <w:pPr>
      <w:pStyle w:val="18"/>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B9F5">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C360">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420"/>
  <w:drawingGridHorizontalSpacing w:val="105"/>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mYzYzZmODYxM2YwOGM2MDdmYTI4OGUxNDViNGUifQ=="/>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4BD8"/>
    <w:rsid w:val="00045469"/>
    <w:rsid w:val="000454BF"/>
    <w:rsid w:val="00046E7D"/>
    <w:rsid w:val="0005093A"/>
    <w:rsid w:val="00050D61"/>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391"/>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67C03"/>
    <w:rsid w:val="0007108D"/>
    <w:rsid w:val="00072126"/>
    <w:rsid w:val="000721E8"/>
    <w:rsid w:val="000731B6"/>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BD6"/>
    <w:rsid w:val="000B7F47"/>
    <w:rsid w:val="000C0693"/>
    <w:rsid w:val="000C14E9"/>
    <w:rsid w:val="000C196A"/>
    <w:rsid w:val="000C19BD"/>
    <w:rsid w:val="000C2E6F"/>
    <w:rsid w:val="000C3939"/>
    <w:rsid w:val="000C3BE7"/>
    <w:rsid w:val="000C4222"/>
    <w:rsid w:val="000C5F21"/>
    <w:rsid w:val="000C623D"/>
    <w:rsid w:val="000D021D"/>
    <w:rsid w:val="000D0283"/>
    <w:rsid w:val="000D1DCB"/>
    <w:rsid w:val="000D2CC5"/>
    <w:rsid w:val="000D2D6F"/>
    <w:rsid w:val="000D3ED4"/>
    <w:rsid w:val="000D432A"/>
    <w:rsid w:val="000D4A76"/>
    <w:rsid w:val="000D5617"/>
    <w:rsid w:val="000D6170"/>
    <w:rsid w:val="000D649C"/>
    <w:rsid w:val="000D6BDB"/>
    <w:rsid w:val="000D6E80"/>
    <w:rsid w:val="000D71FC"/>
    <w:rsid w:val="000D7822"/>
    <w:rsid w:val="000D7FC0"/>
    <w:rsid w:val="000E07F1"/>
    <w:rsid w:val="000E0CCA"/>
    <w:rsid w:val="000E1E87"/>
    <w:rsid w:val="000E1E8E"/>
    <w:rsid w:val="000E36AB"/>
    <w:rsid w:val="000E3A64"/>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07E61"/>
    <w:rsid w:val="001107A6"/>
    <w:rsid w:val="0011113E"/>
    <w:rsid w:val="00112774"/>
    <w:rsid w:val="00112821"/>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4702A"/>
    <w:rsid w:val="00150E34"/>
    <w:rsid w:val="001526AA"/>
    <w:rsid w:val="00152BA9"/>
    <w:rsid w:val="001530EF"/>
    <w:rsid w:val="00153767"/>
    <w:rsid w:val="00153B0D"/>
    <w:rsid w:val="00154D6B"/>
    <w:rsid w:val="001567E4"/>
    <w:rsid w:val="001616D6"/>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6CA"/>
    <w:rsid w:val="00187810"/>
    <w:rsid w:val="00187D73"/>
    <w:rsid w:val="001903FE"/>
    <w:rsid w:val="001907AA"/>
    <w:rsid w:val="00190ABA"/>
    <w:rsid w:val="00190E35"/>
    <w:rsid w:val="00190F46"/>
    <w:rsid w:val="00190F90"/>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45E6"/>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32CD"/>
    <w:rsid w:val="001F53E7"/>
    <w:rsid w:val="001F6708"/>
    <w:rsid w:val="001F795C"/>
    <w:rsid w:val="001F7F84"/>
    <w:rsid w:val="0020068E"/>
    <w:rsid w:val="00200AFB"/>
    <w:rsid w:val="00200DBA"/>
    <w:rsid w:val="002028C8"/>
    <w:rsid w:val="00202906"/>
    <w:rsid w:val="002037F8"/>
    <w:rsid w:val="00203BC3"/>
    <w:rsid w:val="00203C5F"/>
    <w:rsid w:val="00203F02"/>
    <w:rsid w:val="00204329"/>
    <w:rsid w:val="00206006"/>
    <w:rsid w:val="002064DD"/>
    <w:rsid w:val="00206996"/>
    <w:rsid w:val="00206F7C"/>
    <w:rsid w:val="00207053"/>
    <w:rsid w:val="00210376"/>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2471"/>
    <w:rsid w:val="00233E9D"/>
    <w:rsid w:val="00234366"/>
    <w:rsid w:val="00234B56"/>
    <w:rsid w:val="00235194"/>
    <w:rsid w:val="0023520E"/>
    <w:rsid w:val="00235FC0"/>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0FE1"/>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DC8"/>
    <w:rsid w:val="002A0F59"/>
    <w:rsid w:val="002A1B3B"/>
    <w:rsid w:val="002A2260"/>
    <w:rsid w:val="002A31E5"/>
    <w:rsid w:val="002A329A"/>
    <w:rsid w:val="002A34D7"/>
    <w:rsid w:val="002A391A"/>
    <w:rsid w:val="002A3C20"/>
    <w:rsid w:val="002A6BCE"/>
    <w:rsid w:val="002B0E77"/>
    <w:rsid w:val="002B1439"/>
    <w:rsid w:val="002B1510"/>
    <w:rsid w:val="002B169F"/>
    <w:rsid w:val="002B2939"/>
    <w:rsid w:val="002B2AA1"/>
    <w:rsid w:val="002B2FB3"/>
    <w:rsid w:val="002B3639"/>
    <w:rsid w:val="002B3680"/>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27B9"/>
    <w:rsid w:val="003032DA"/>
    <w:rsid w:val="00303D4E"/>
    <w:rsid w:val="00304828"/>
    <w:rsid w:val="00305B13"/>
    <w:rsid w:val="003071EB"/>
    <w:rsid w:val="00310E82"/>
    <w:rsid w:val="003115DD"/>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673"/>
    <w:rsid w:val="0034772A"/>
    <w:rsid w:val="00350074"/>
    <w:rsid w:val="00350A1E"/>
    <w:rsid w:val="003525F1"/>
    <w:rsid w:val="0035299B"/>
    <w:rsid w:val="00352ABD"/>
    <w:rsid w:val="003548D9"/>
    <w:rsid w:val="003570B6"/>
    <w:rsid w:val="00361299"/>
    <w:rsid w:val="00361963"/>
    <w:rsid w:val="00361F6B"/>
    <w:rsid w:val="00362383"/>
    <w:rsid w:val="003629AA"/>
    <w:rsid w:val="003632A9"/>
    <w:rsid w:val="00363767"/>
    <w:rsid w:val="00363942"/>
    <w:rsid w:val="00363C76"/>
    <w:rsid w:val="00363E52"/>
    <w:rsid w:val="003641B5"/>
    <w:rsid w:val="00366563"/>
    <w:rsid w:val="00367162"/>
    <w:rsid w:val="003678EE"/>
    <w:rsid w:val="00373BA0"/>
    <w:rsid w:val="00373BBC"/>
    <w:rsid w:val="00374801"/>
    <w:rsid w:val="0037499D"/>
    <w:rsid w:val="00375858"/>
    <w:rsid w:val="003758DF"/>
    <w:rsid w:val="00377401"/>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728"/>
    <w:rsid w:val="003C7A6F"/>
    <w:rsid w:val="003D017B"/>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4DB7"/>
    <w:rsid w:val="004652D5"/>
    <w:rsid w:val="004653F9"/>
    <w:rsid w:val="00466636"/>
    <w:rsid w:val="00466EE1"/>
    <w:rsid w:val="00470235"/>
    <w:rsid w:val="004717B7"/>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2BBE"/>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205"/>
    <w:rsid w:val="004F2D79"/>
    <w:rsid w:val="004F440A"/>
    <w:rsid w:val="004F4738"/>
    <w:rsid w:val="004F4E5F"/>
    <w:rsid w:val="004F50C5"/>
    <w:rsid w:val="004F66A7"/>
    <w:rsid w:val="004F6AB6"/>
    <w:rsid w:val="004F6BDF"/>
    <w:rsid w:val="004F7160"/>
    <w:rsid w:val="004F745E"/>
    <w:rsid w:val="0050015C"/>
    <w:rsid w:val="0050020E"/>
    <w:rsid w:val="005007CE"/>
    <w:rsid w:val="005012EE"/>
    <w:rsid w:val="00504275"/>
    <w:rsid w:val="00505198"/>
    <w:rsid w:val="0050523E"/>
    <w:rsid w:val="00505F2C"/>
    <w:rsid w:val="005063ED"/>
    <w:rsid w:val="00507101"/>
    <w:rsid w:val="0050743B"/>
    <w:rsid w:val="00507EA1"/>
    <w:rsid w:val="005113AE"/>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07FA"/>
    <w:rsid w:val="00571442"/>
    <w:rsid w:val="00571531"/>
    <w:rsid w:val="0057318A"/>
    <w:rsid w:val="00573560"/>
    <w:rsid w:val="00573752"/>
    <w:rsid w:val="00574E69"/>
    <w:rsid w:val="00576467"/>
    <w:rsid w:val="005805E7"/>
    <w:rsid w:val="00580AE2"/>
    <w:rsid w:val="00580CFF"/>
    <w:rsid w:val="00582508"/>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439A"/>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C6F"/>
    <w:rsid w:val="005D5F5E"/>
    <w:rsid w:val="005D6489"/>
    <w:rsid w:val="005E0474"/>
    <w:rsid w:val="005E1760"/>
    <w:rsid w:val="005E1B53"/>
    <w:rsid w:val="005E2757"/>
    <w:rsid w:val="005E3704"/>
    <w:rsid w:val="005E5488"/>
    <w:rsid w:val="005E5B75"/>
    <w:rsid w:val="005E5E9A"/>
    <w:rsid w:val="005E660B"/>
    <w:rsid w:val="005E6758"/>
    <w:rsid w:val="005E695E"/>
    <w:rsid w:val="005E7C7A"/>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151BD"/>
    <w:rsid w:val="00621664"/>
    <w:rsid w:val="00623BEB"/>
    <w:rsid w:val="00624CA8"/>
    <w:rsid w:val="00625825"/>
    <w:rsid w:val="0062644F"/>
    <w:rsid w:val="00626B8D"/>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4785"/>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0FD3"/>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5CD4"/>
    <w:rsid w:val="006D62C3"/>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026B"/>
    <w:rsid w:val="00722228"/>
    <w:rsid w:val="007222E8"/>
    <w:rsid w:val="007227E4"/>
    <w:rsid w:val="007229BF"/>
    <w:rsid w:val="007231BA"/>
    <w:rsid w:val="00724A9C"/>
    <w:rsid w:val="00725037"/>
    <w:rsid w:val="00725965"/>
    <w:rsid w:val="00726D72"/>
    <w:rsid w:val="00726FA4"/>
    <w:rsid w:val="0072742D"/>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889"/>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4AAC"/>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69E3"/>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940"/>
    <w:rsid w:val="007F5F30"/>
    <w:rsid w:val="007F609F"/>
    <w:rsid w:val="007F60D8"/>
    <w:rsid w:val="007F6A0E"/>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912"/>
    <w:rsid w:val="00807C5A"/>
    <w:rsid w:val="00810907"/>
    <w:rsid w:val="00810946"/>
    <w:rsid w:val="00811E7D"/>
    <w:rsid w:val="008120AA"/>
    <w:rsid w:val="0081328F"/>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CCE"/>
    <w:rsid w:val="00837DA3"/>
    <w:rsid w:val="00840240"/>
    <w:rsid w:val="008423D7"/>
    <w:rsid w:val="00843122"/>
    <w:rsid w:val="00843622"/>
    <w:rsid w:val="00843F8C"/>
    <w:rsid w:val="00844022"/>
    <w:rsid w:val="00845785"/>
    <w:rsid w:val="0084641B"/>
    <w:rsid w:val="008476BF"/>
    <w:rsid w:val="00847739"/>
    <w:rsid w:val="00847BA8"/>
    <w:rsid w:val="0085041E"/>
    <w:rsid w:val="00850493"/>
    <w:rsid w:val="00850D3C"/>
    <w:rsid w:val="00850E8F"/>
    <w:rsid w:val="0085174E"/>
    <w:rsid w:val="008518F2"/>
    <w:rsid w:val="00851C56"/>
    <w:rsid w:val="00853BD9"/>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4EC0"/>
    <w:rsid w:val="00875F33"/>
    <w:rsid w:val="00876036"/>
    <w:rsid w:val="00876B2E"/>
    <w:rsid w:val="00876EA6"/>
    <w:rsid w:val="0087796D"/>
    <w:rsid w:val="00877A1F"/>
    <w:rsid w:val="00877AD1"/>
    <w:rsid w:val="00877B04"/>
    <w:rsid w:val="008802B4"/>
    <w:rsid w:val="008814B7"/>
    <w:rsid w:val="0088282A"/>
    <w:rsid w:val="00883AB9"/>
    <w:rsid w:val="00884426"/>
    <w:rsid w:val="00884CC0"/>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EA1"/>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276E"/>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37661"/>
    <w:rsid w:val="00941195"/>
    <w:rsid w:val="009411F6"/>
    <w:rsid w:val="009419EB"/>
    <w:rsid w:val="00942BEB"/>
    <w:rsid w:val="00943AF7"/>
    <w:rsid w:val="00943C2D"/>
    <w:rsid w:val="0094423D"/>
    <w:rsid w:val="00944CB2"/>
    <w:rsid w:val="00945451"/>
    <w:rsid w:val="00947FA1"/>
    <w:rsid w:val="00951850"/>
    <w:rsid w:val="00951961"/>
    <w:rsid w:val="00951D50"/>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77D92"/>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66B3"/>
    <w:rsid w:val="009A7140"/>
    <w:rsid w:val="009B0129"/>
    <w:rsid w:val="009B0564"/>
    <w:rsid w:val="009B1877"/>
    <w:rsid w:val="009B2CBD"/>
    <w:rsid w:val="009B2ED0"/>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D7F61"/>
    <w:rsid w:val="009E083B"/>
    <w:rsid w:val="009E14B9"/>
    <w:rsid w:val="009E193F"/>
    <w:rsid w:val="009E27FA"/>
    <w:rsid w:val="009E3304"/>
    <w:rsid w:val="009E334A"/>
    <w:rsid w:val="009E47DA"/>
    <w:rsid w:val="009E6070"/>
    <w:rsid w:val="009E61F6"/>
    <w:rsid w:val="009E682B"/>
    <w:rsid w:val="009E7941"/>
    <w:rsid w:val="009E7D0F"/>
    <w:rsid w:val="009F0F78"/>
    <w:rsid w:val="009F26EE"/>
    <w:rsid w:val="009F2ACF"/>
    <w:rsid w:val="009F3710"/>
    <w:rsid w:val="009F4DEE"/>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114C"/>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AAD"/>
    <w:rsid w:val="00AB6F74"/>
    <w:rsid w:val="00AC05B7"/>
    <w:rsid w:val="00AC13BD"/>
    <w:rsid w:val="00AC1478"/>
    <w:rsid w:val="00AC1DE0"/>
    <w:rsid w:val="00AC20A2"/>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5C48"/>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57E4"/>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4EF2"/>
    <w:rsid w:val="00BD6A73"/>
    <w:rsid w:val="00BD7846"/>
    <w:rsid w:val="00BE1AA0"/>
    <w:rsid w:val="00BE23F7"/>
    <w:rsid w:val="00BE274A"/>
    <w:rsid w:val="00BE381A"/>
    <w:rsid w:val="00BE5529"/>
    <w:rsid w:val="00BE6260"/>
    <w:rsid w:val="00BE7767"/>
    <w:rsid w:val="00BE7F46"/>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2690"/>
    <w:rsid w:val="00C532E7"/>
    <w:rsid w:val="00C53BD7"/>
    <w:rsid w:val="00C54949"/>
    <w:rsid w:val="00C54B0D"/>
    <w:rsid w:val="00C56396"/>
    <w:rsid w:val="00C565A9"/>
    <w:rsid w:val="00C60F15"/>
    <w:rsid w:val="00C615FB"/>
    <w:rsid w:val="00C61C0C"/>
    <w:rsid w:val="00C62244"/>
    <w:rsid w:val="00C6233F"/>
    <w:rsid w:val="00C6325C"/>
    <w:rsid w:val="00C634C6"/>
    <w:rsid w:val="00C64E0D"/>
    <w:rsid w:val="00C660D4"/>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1B4E"/>
    <w:rsid w:val="00CA2F3B"/>
    <w:rsid w:val="00CA321B"/>
    <w:rsid w:val="00CA3526"/>
    <w:rsid w:val="00CA39AD"/>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456B"/>
    <w:rsid w:val="00CB512B"/>
    <w:rsid w:val="00CB71F8"/>
    <w:rsid w:val="00CB7347"/>
    <w:rsid w:val="00CC05FA"/>
    <w:rsid w:val="00CC103B"/>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5A6E"/>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3FBE"/>
    <w:rsid w:val="00D559BF"/>
    <w:rsid w:val="00D55B1A"/>
    <w:rsid w:val="00D55FCA"/>
    <w:rsid w:val="00D5626F"/>
    <w:rsid w:val="00D57441"/>
    <w:rsid w:val="00D60924"/>
    <w:rsid w:val="00D61140"/>
    <w:rsid w:val="00D614AF"/>
    <w:rsid w:val="00D618AE"/>
    <w:rsid w:val="00D624D9"/>
    <w:rsid w:val="00D62701"/>
    <w:rsid w:val="00D629A4"/>
    <w:rsid w:val="00D63190"/>
    <w:rsid w:val="00D65CD4"/>
    <w:rsid w:val="00D65FD8"/>
    <w:rsid w:val="00D66BA9"/>
    <w:rsid w:val="00D70E25"/>
    <w:rsid w:val="00D7142C"/>
    <w:rsid w:val="00D72895"/>
    <w:rsid w:val="00D72AE2"/>
    <w:rsid w:val="00D73BD0"/>
    <w:rsid w:val="00D75398"/>
    <w:rsid w:val="00D75C18"/>
    <w:rsid w:val="00D761F7"/>
    <w:rsid w:val="00D765EA"/>
    <w:rsid w:val="00D76E8B"/>
    <w:rsid w:val="00D776F1"/>
    <w:rsid w:val="00D812B2"/>
    <w:rsid w:val="00D822AE"/>
    <w:rsid w:val="00D82BC1"/>
    <w:rsid w:val="00D8398A"/>
    <w:rsid w:val="00D83BA6"/>
    <w:rsid w:val="00D84E1F"/>
    <w:rsid w:val="00D853A5"/>
    <w:rsid w:val="00D85B8C"/>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23BA"/>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0A0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66ED"/>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0F1"/>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414"/>
    <w:rsid w:val="00E64574"/>
    <w:rsid w:val="00E658BB"/>
    <w:rsid w:val="00E65DCD"/>
    <w:rsid w:val="00E66C40"/>
    <w:rsid w:val="00E66F4B"/>
    <w:rsid w:val="00E701AE"/>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674"/>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9745B"/>
    <w:rsid w:val="00EA059C"/>
    <w:rsid w:val="00EA086A"/>
    <w:rsid w:val="00EA22F8"/>
    <w:rsid w:val="00EA2E04"/>
    <w:rsid w:val="00EA30CD"/>
    <w:rsid w:val="00EA42B4"/>
    <w:rsid w:val="00EA4C5D"/>
    <w:rsid w:val="00EA5225"/>
    <w:rsid w:val="00EA65C7"/>
    <w:rsid w:val="00EA757B"/>
    <w:rsid w:val="00EA79A1"/>
    <w:rsid w:val="00EA7D0D"/>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D58"/>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2EB5"/>
    <w:rsid w:val="00F5612A"/>
    <w:rsid w:val="00F57975"/>
    <w:rsid w:val="00F57C22"/>
    <w:rsid w:val="00F57DAC"/>
    <w:rsid w:val="00F60C57"/>
    <w:rsid w:val="00F610E7"/>
    <w:rsid w:val="00F6178F"/>
    <w:rsid w:val="00F624F0"/>
    <w:rsid w:val="00F62831"/>
    <w:rsid w:val="00F630BA"/>
    <w:rsid w:val="00F6361B"/>
    <w:rsid w:val="00F65DB0"/>
    <w:rsid w:val="00F66082"/>
    <w:rsid w:val="00F66573"/>
    <w:rsid w:val="00F66A93"/>
    <w:rsid w:val="00F67EA4"/>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20A"/>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5EC445F"/>
    <w:rsid w:val="0CA37841"/>
    <w:rsid w:val="0DF2282E"/>
    <w:rsid w:val="0F296EAE"/>
    <w:rsid w:val="0FD6DB62"/>
    <w:rsid w:val="112A656A"/>
    <w:rsid w:val="1AEA46D0"/>
    <w:rsid w:val="1B3A2711"/>
    <w:rsid w:val="1D880CFE"/>
    <w:rsid w:val="1DBDCB58"/>
    <w:rsid w:val="1DFE8960"/>
    <w:rsid w:val="1FF8E216"/>
    <w:rsid w:val="2F6F1923"/>
    <w:rsid w:val="335B2CFD"/>
    <w:rsid w:val="366C6D72"/>
    <w:rsid w:val="377B209D"/>
    <w:rsid w:val="37F57D7C"/>
    <w:rsid w:val="39E268BF"/>
    <w:rsid w:val="3B455FC3"/>
    <w:rsid w:val="3BAC56F2"/>
    <w:rsid w:val="3BCECCDE"/>
    <w:rsid w:val="3C8D7A42"/>
    <w:rsid w:val="3D7FF700"/>
    <w:rsid w:val="3DF7E2CD"/>
    <w:rsid w:val="3E7F5440"/>
    <w:rsid w:val="3ED5F7A4"/>
    <w:rsid w:val="3FDFBD87"/>
    <w:rsid w:val="3FF69B0C"/>
    <w:rsid w:val="42A78F35"/>
    <w:rsid w:val="433724B6"/>
    <w:rsid w:val="43F628A7"/>
    <w:rsid w:val="465B695A"/>
    <w:rsid w:val="4870666B"/>
    <w:rsid w:val="4F87D47B"/>
    <w:rsid w:val="50E1107E"/>
    <w:rsid w:val="54BB354F"/>
    <w:rsid w:val="54C239F5"/>
    <w:rsid w:val="57FDB924"/>
    <w:rsid w:val="5D0A03B4"/>
    <w:rsid w:val="5F57B4E4"/>
    <w:rsid w:val="5FEB38CE"/>
    <w:rsid w:val="5FEB9DB9"/>
    <w:rsid w:val="60BD030E"/>
    <w:rsid w:val="6207136E"/>
    <w:rsid w:val="66AB1003"/>
    <w:rsid w:val="672F7AC6"/>
    <w:rsid w:val="67D646CB"/>
    <w:rsid w:val="67EA3883"/>
    <w:rsid w:val="688F5F87"/>
    <w:rsid w:val="6A3273AF"/>
    <w:rsid w:val="6AC52D9B"/>
    <w:rsid w:val="6CB77797"/>
    <w:rsid w:val="6CFD608D"/>
    <w:rsid w:val="6D9F372C"/>
    <w:rsid w:val="6EA14B04"/>
    <w:rsid w:val="6EA445F4"/>
    <w:rsid w:val="6FBD38C8"/>
    <w:rsid w:val="6FEC8A8D"/>
    <w:rsid w:val="6FFFBD17"/>
    <w:rsid w:val="71E768EF"/>
    <w:rsid w:val="72274EF6"/>
    <w:rsid w:val="72832089"/>
    <w:rsid w:val="73C13D5B"/>
    <w:rsid w:val="74910C8D"/>
    <w:rsid w:val="766EDC78"/>
    <w:rsid w:val="773AE31C"/>
    <w:rsid w:val="773FF55B"/>
    <w:rsid w:val="79C05B48"/>
    <w:rsid w:val="7BAF6BFA"/>
    <w:rsid w:val="7CAE0BF6"/>
    <w:rsid w:val="7D791F2E"/>
    <w:rsid w:val="7D8B2B8D"/>
    <w:rsid w:val="7F4778DF"/>
    <w:rsid w:val="7FAB4C0A"/>
    <w:rsid w:val="7FBB2C0C"/>
    <w:rsid w:val="7FCB3CD2"/>
    <w:rsid w:val="7FECDCEC"/>
    <w:rsid w:val="7FFD641B"/>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sz w:val="21"/>
      <w:lang w:val="en-US" w:eastAsia="zh-CN" w:bidi="ar-SA"/>
    </w:rPr>
  </w:style>
  <w:style w:type="paragraph" w:styleId="2">
    <w:name w:val="heading 1"/>
    <w:basedOn w:val="1"/>
    <w:next w:val="1"/>
    <w:link w:val="31"/>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32"/>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33"/>
    <w:qFormat/>
    <w:uiPriority w:val="0"/>
    <w:pPr>
      <w:spacing w:before="0" w:after="0"/>
      <w:ind w:left="420" w:firstLine="0" w:firstLineChars="0"/>
      <w:contextualSpacing/>
      <w:outlineLvl w:val="2"/>
    </w:pPr>
    <w:rPr>
      <w:rFonts w:eastAsia="微软雅黑"/>
      <w:b/>
      <w:bCs/>
      <w:color w:val="2F5496"/>
      <w:sz w:val="30"/>
      <w:szCs w:val="22"/>
    </w:rPr>
  </w:style>
  <w:style w:type="paragraph" w:styleId="5">
    <w:name w:val="heading 4"/>
    <w:basedOn w:val="1"/>
    <w:next w:val="1"/>
    <w:link w:val="34"/>
    <w:qFormat/>
    <w:uiPriority w:val="0"/>
    <w:pPr>
      <w:spacing w:before="0" w:after="0"/>
      <w:ind w:left="420" w:firstLine="0" w:firstLineChars="0"/>
      <w:contextualSpacing/>
      <w:outlineLvl w:val="3"/>
    </w:pPr>
    <w:rPr>
      <w:rFonts w:eastAsia="微软雅黑"/>
      <w:b/>
      <w:bCs/>
      <w:color w:val="2E74B5"/>
      <w:sz w:val="24"/>
      <w:szCs w:val="22"/>
    </w:rPr>
  </w:style>
  <w:style w:type="paragraph" w:styleId="6">
    <w:name w:val="heading 5"/>
    <w:basedOn w:val="1"/>
    <w:next w:val="1"/>
    <w:link w:val="35"/>
    <w:qFormat/>
    <w:uiPriority w:val="9"/>
    <w:pPr>
      <w:ind w:left="420" w:firstLine="0" w:firstLineChars="0"/>
      <w:contextualSpacing/>
      <w:outlineLvl w:val="4"/>
    </w:pPr>
    <w:rPr>
      <w:rFonts w:eastAsia="微软雅黑"/>
      <w:bCs/>
      <w:color w:val="2E74B5"/>
      <w:sz w:val="24"/>
      <w:szCs w:val="22"/>
    </w:rPr>
  </w:style>
  <w:style w:type="paragraph" w:styleId="7">
    <w:name w:val="heading 6"/>
    <w:basedOn w:val="1"/>
    <w:next w:val="1"/>
    <w:link w:val="36"/>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37"/>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38"/>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39"/>
    <w:qFormat/>
    <w:uiPriority w:val="9"/>
    <w:pPr>
      <w:spacing w:before="200" w:after="100"/>
      <w:contextualSpacing/>
      <w:outlineLvl w:val="8"/>
    </w:pPr>
    <w:rPr>
      <w:rFonts w:ascii="Cambria" w:hAnsi="Cambria"/>
      <w:color w:val="C0504D"/>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99"/>
    <w:pPr>
      <w:ind w:firstLine="420"/>
    </w:pPr>
  </w:style>
  <w:style w:type="paragraph" w:styleId="12">
    <w:name w:val="caption"/>
    <w:basedOn w:val="1"/>
    <w:next w:val="1"/>
    <w:qFormat/>
    <w:uiPriority w:val="35"/>
    <w:pPr>
      <w:jc w:val="center"/>
    </w:pPr>
    <w:rPr>
      <w:b/>
      <w:bCs/>
      <w:color w:val="0033CC"/>
      <w:sz w:val="18"/>
      <w:szCs w:val="18"/>
    </w:rPr>
  </w:style>
  <w:style w:type="paragraph" w:styleId="13">
    <w:name w:val="Document Map"/>
    <w:basedOn w:val="1"/>
    <w:link w:val="41"/>
    <w:unhideWhenUsed/>
    <w:qFormat/>
    <w:uiPriority w:val="99"/>
    <w:rPr>
      <w:rFonts w:ascii="宋体"/>
      <w:sz w:val="18"/>
      <w:szCs w:val="18"/>
    </w:rPr>
  </w:style>
  <w:style w:type="paragraph" w:styleId="14">
    <w:name w:val="annotation text"/>
    <w:basedOn w:val="1"/>
    <w:link w:val="42"/>
    <w:unhideWhenUsed/>
    <w:qFormat/>
    <w:uiPriority w:val="0"/>
  </w:style>
  <w:style w:type="paragraph" w:styleId="15">
    <w:name w:val="Plain Text"/>
    <w:basedOn w:val="1"/>
    <w:link w:val="45"/>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6">
    <w:name w:val="Balloon Text"/>
    <w:basedOn w:val="1"/>
    <w:link w:val="47"/>
    <w:unhideWhenUsed/>
    <w:qFormat/>
    <w:uiPriority w:val="99"/>
    <w:pPr>
      <w:spacing w:before="0"/>
    </w:pPr>
    <w:rPr>
      <w:sz w:val="18"/>
      <w:szCs w:val="18"/>
    </w:rPr>
  </w:style>
  <w:style w:type="paragraph" w:styleId="17">
    <w:name w:val="footer"/>
    <w:basedOn w:val="1"/>
    <w:link w:val="48"/>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Subtitle"/>
    <w:basedOn w:val="1"/>
    <w:next w:val="1"/>
    <w:link w:val="52"/>
    <w:qFormat/>
    <w:uiPriority w:val="11"/>
    <w:pPr>
      <w:pBdr>
        <w:bottom w:val="dotted" w:color="C0504D" w:sz="8" w:space="10"/>
      </w:pBdr>
      <w:spacing w:before="200" w:after="900"/>
      <w:jc w:val="center"/>
    </w:pPr>
    <w:rPr>
      <w:color w:val="622423"/>
      <w:sz w:val="24"/>
      <w:szCs w:val="24"/>
    </w:rPr>
  </w:style>
  <w:style w:type="paragraph" w:styleId="20">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1">
    <w:name w:val="Title"/>
    <w:basedOn w:val="1"/>
    <w:next w:val="1"/>
    <w:link w:val="56"/>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22">
    <w:name w:val="annotation subject"/>
    <w:basedOn w:val="14"/>
    <w:next w:val="14"/>
    <w:link w:val="57"/>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ascii="Constantia" w:hAnsi="Constantia" w:eastAsia="微软雅黑"/>
      <w:bCs/>
      <w:spacing w:val="0"/>
      <w:sz w:val="24"/>
    </w:rPr>
  </w:style>
  <w:style w:type="character" w:styleId="27">
    <w:name w:val="FollowedHyperlink"/>
    <w:unhideWhenUsed/>
    <w:qFormat/>
    <w:uiPriority w:val="99"/>
    <w:rPr>
      <w:color w:val="800080"/>
      <w:u w:val="single"/>
    </w:rPr>
  </w:style>
  <w:style w:type="character" w:styleId="28">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29">
    <w:name w:val="Hyperlink"/>
    <w:unhideWhenUsed/>
    <w:qFormat/>
    <w:uiPriority w:val="99"/>
    <w:rPr>
      <w:color w:val="0000FF"/>
      <w:u w:val="single"/>
    </w:rPr>
  </w:style>
  <w:style w:type="character" w:styleId="30">
    <w:name w:val="annotation reference"/>
    <w:unhideWhenUsed/>
    <w:qFormat/>
    <w:uiPriority w:val="0"/>
    <w:rPr>
      <w:sz w:val="21"/>
      <w:szCs w:val="21"/>
    </w:rPr>
  </w:style>
  <w:style w:type="character" w:customStyle="1" w:styleId="31">
    <w:name w:val="标题 1 字符"/>
    <w:link w:val="2"/>
    <w:qFormat/>
    <w:uiPriority w:val="9"/>
    <w:rPr>
      <w:rFonts w:ascii="Times New Roman" w:hAnsi="Times New Roman" w:eastAsia="微软雅黑"/>
      <w:b/>
      <w:bCs/>
      <w:iCs/>
      <w:color w:val="0F243E"/>
      <w:sz w:val="32"/>
      <w:szCs w:val="22"/>
    </w:rPr>
  </w:style>
  <w:style w:type="character" w:customStyle="1" w:styleId="32">
    <w:name w:val="标题 2 字符"/>
    <w:link w:val="3"/>
    <w:qFormat/>
    <w:uiPriority w:val="0"/>
    <w:rPr>
      <w:rFonts w:ascii="Times New Roman" w:hAnsi="Times New Roman" w:eastAsia="微软雅黑"/>
      <w:b/>
      <w:bCs/>
      <w:iCs/>
      <w:color w:val="000000"/>
      <w:sz w:val="28"/>
      <w:szCs w:val="22"/>
    </w:rPr>
  </w:style>
  <w:style w:type="character" w:customStyle="1" w:styleId="33">
    <w:name w:val="标题 3 字符"/>
    <w:link w:val="4"/>
    <w:qFormat/>
    <w:uiPriority w:val="0"/>
    <w:rPr>
      <w:rFonts w:ascii="Times New Roman" w:hAnsi="Times New Roman" w:eastAsia="微软雅黑" w:cs="Times New Roman"/>
      <w:b/>
      <w:bCs/>
      <w:iCs/>
      <w:color w:val="2F5496"/>
      <w:sz w:val="30"/>
      <w:szCs w:val="22"/>
    </w:rPr>
  </w:style>
  <w:style w:type="character" w:customStyle="1" w:styleId="34">
    <w:name w:val="标题 4 字符"/>
    <w:link w:val="5"/>
    <w:qFormat/>
    <w:uiPriority w:val="0"/>
    <w:rPr>
      <w:rFonts w:ascii="Times New Roman" w:hAnsi="Times New Roman" w:eastAsia="微软雅黑" w:cs="Times New Roman"/>
      <w:b/>
      <w:bCs/>
      <w:iCs/>
      <w:color w:val="2E74B5"/>
      <w:sz w:val="24"/>
      <w:szCs w:val="22"/>
    </w:rPr>
  </w:style>
  <w:style w:type="character" w:customStyle="1" w:styleId="35">
    <w:name w:val="标题 5 字符"/>
    <w:link w:val="6"/>
    <w:qFormat/>
    <w:uiPriority w:val="9"/>
    <w:rPr>
      <w:rFonts w:ascii="Times New Roman" w:hAnsi="Times New Roman" w:eastAsia="微软雅黑" w:cs="Times New Roman"/>
      <w:bCs/>
      <w:iCs/>
      <w:color w:val="2E74B5"/>
      <w:sz w:val="24"/>
      <w:szCs w:val="22"/>
    </w:rPr>
  </w:style>
  <w:style w:type="character" w:customStyle="1" w:styleId="36">
    <w:name w:val="标题 6 字符"/>
    <w:link w:val="7"/>
    <w:semiHidden/>
    <w:qFormat/>
    <w:uiPriority w:val="9"/>
    <w:rPr>
      <w:rFonts w:ascii="Times New Roman" w:hAnsi="Times New Roman"/>
      <w:iCs/>
      <w:color w:val="943634"/>
      <w:sz w:val="22"/>
      <w:szCs w:val="22"/>
    </w:rPr>
  </w:style>
  <w:style w:type="character" w:customStyle="1" w:styleId="37">
    <w:name w:val="标题 7 字符"/>
    <w:link w:val="8"/>
    <w:semiHidden/>
    <w:qFormat/>
    <w:uiPriority w:val="9"/>
    <w:rPr>
      <w:rFonts w:ascii="Cambria" w:hAnsi="Cambria" w:eastAsia="宋体" w:cs="Times New Roman"/>
      <w:i/>
      <w:iCs/>
      <w:color w:val="943634"/>
    </w:rPr>
  </w:style>
  <w:style w:type="character" w:customStyle="1" w:styleId="38">
    <w:name w:val="标题 8 字符"/>
    <w:link w:val="9"/>
    <w:semiHidden/>
    <w:qFormat/>
    <w:uiPriority w:val="9"/>
    <w:rPr>
      <w:rFonts w:ascii="Cambria" w:hAnsi="Cambria" w:eastAsia="宋体" w:cs="Times New Roman"/>
      <w:i/>
      <w:iCs/>
      <w:color w:val="C0504D"/>
    </w:rPr>
  </w:style>
  <w:style w:type="character" w:customStyle="1" w:styleId="39">
    <w:name w:val="标题 9 字符"/>
    <w:link w:val="10"/>
    <w:semiHidden/>
    <w:qFormat/>
    <w:uiPriority w:val="9"/>
    <w:rPr>
      <w:rFonts w:ascii="Cambria" w:hAnsi="Cambria" w:eastAsia="宋体" w:cs="Times New Roman"/>
      <w:i/>
      <w:iCs/>
      <w:color w:val="C0504D"/>
      <w:sz w:val="20"/>
      <w:szCs w:val="20"/>
    </w:rPr>
  </w:style>
  <w:style w:type="paragraph" w:customStyle="1" w:styleId="40">
    <w:name w:val="目录 71"/>
    <w:basedOn w:val="1"/>
    <w:next w:val="1"/>
    <w:unhideWhenUsed/>
    <w:qFormat/>
    <w:uiPriority w:val="39"/>
    <w:pPr>
      <w:spacing w:before="0" w:after="0"/>
      <w:ind w:left="1260"/>
      <w:jc w:val="left"/>
    </w:pPr>
    <w:rPr>
      <w:rFonts w:ascii="等线" w:eastAsia="等线"/>
      <w:iCs w:val="0"/>
      <w:sz w:val="18"/>
      <w:szCs w:val="18"/>
    </w:rPr>
  </w:style>
  <w:style w:type="character" w:customStyle="1" w:styleId="41">
    <w:name w:val="文档结构图 字符"/>
    <w:link w:val="13"/>
    <w:semiHidden/>
    <w:qFormat/>
    <w:uiPriority w:val="99"/>
    <w:rPr>
      <w:rFonts w:ascii="宋体"/>
      <w:iCs/>
      <w:color w:val="17365D"/>
      <w:sz w:val="18"/>
      <w:szCs w:val="18"/>
    </w:rPr>
  </w:style>
  <w:style w:type="character" w:customStyle="1" w:styleId="42">
    <w:name w:val="批注文字 字符"/>
    <w:link w:val="14"/>
    <w:semiHidden/>
    <w:qFormat/>
    <w:uiPriority w:val="99"/>
    <w:rPr>
      <w:iCs/>
      <w:color w:val="17365D"/>
      <w:sz w:val="21"/>
    </w:rPr>
  </w:style>
  <w:style w:type="paragraph" w:customStyle="1" w:styleId="43">
    <w:name w:val="目录 51"/>
    <w:basedOn w:val="1"/>
    <w:next w:val="1"/>
    <w:unhideWhenUsed/>
    <w:qFormat/>
    <w:uiPriority w:val="39"/>
    <w:pPr>
      <w:spacing w:before="0" w:after="0"/>
      <w:ind w:left="840"/>
      <w:jc w:val="left"/>
    </w:pPr>
    <w:rPr>
      <w:rFonts w:ascii="等线" w:eastAsia="等线"/>
      <w:iCs w:val="0"/>
      <w:sz w:val="18"/>
      <w:szCs w:val="18"/>
    </w:rPr>
  </w:style>
  <w:style w:type="paragraph" w:customStyle="1" w:styleId="44">
    <w:name w:val="目录 31"/>
    <w:basedOn w:val="1"/>
    <w:next w:val="1"/>
    <w:unhideWhenUsed/>
    <w:qFormat/>
    <w:uiPriority w:val="39"/>
    <w:pPr>
      <w:spacing w:before="0" w:after="0" w:line="360" w:lineRule="exact"/>
      <w:jc w:val="left"/>
    </w:pPr>
    <w:rPr>
      <w:rFonts w:ascii="等线" w:eastAsia="微软雅黑"/>
      <w:color w:val="2E74B5"/>
      <w:sz w:val="24"/>
    </w:rPr>
  </w:style>
  <w:style w:type="character" w:customStyle="1" w:styleId="45">
    <w:name w:val="纯文本 字符"/>
    <w:link w:val="15"/>
    <w:qFormat/>
    <w:uiPriority w:val="0"/>
    <w:rPr>
      <w:rFonts w:ascii="宋体" w:hAnsi="Courier New" w:eastAsia="新宋体" w:cs="Courier New"/>
      <w:kern w:val="2"/>
      <w:sz w:val="21"/>
      <w:szCs w:val="21"/>
    </w:rPr>
  </w:style>
  <w:style w:type="paragraph" w:customStyle="1" w:styleId="46">
    <w:name w:val="目录 81"/>
    <w:basedOn w:val="1"/>
    <w:next w:val="1"/>
    <w:unhideWhenUsed/>
    <w:qFormat/>
    <w:uiPriority w:val="39"/>
    <w:pPr>
      <w:spacing w:before="0" w:after="0"/>
      <w:ind w:left="1470"/>
      <w:jc w:val="left"/>
    </w:pPr>
    <w:rPr>
      <w:rFonts w:ascii="等线" w:eastAsia="等线"/>
      <w:iCs w:val="0"/>
      <w:sz w:val="18"/>
      <w:szCs w:val="18"/>
    </w:rPr>
  </w:style>
  <w:style w:type="character" w:customStyle="1" w:styleId="47">
    <w:name w:val="批注框文本 字符"/>
    <w:link w:val="16"/>
    <w:semiHidden/>
    <w:qFormat/>
    <w:uiPriority w:val="99"/>
    <w:rPr>
      <w:rFonts w:eastAsia="微软雅黑"/>
      <w:iCs/>
      <w:color w:val="365F91"/>
      <w:sz w:val="18"/>
      <w:szCs w:val="18"/>
    </w:rPr>
  </w:style>
  <w:style w:type="character" w:customStyle="1" w:styleId="48">
    <w:name w:val="页脚 字符"/>
    <w:link w:val="17"/>
    <w:qFormat/>
    <w:uiPriority w:val="99"/>
    <w:rPr>
      <w:rFonts w:eastAsia="微软雅黑"/>
      <w:iCs/>
      <w:color w:val="365F91"/>
      <w:sz w:val="18"/>
      <w:szCs w:val="18"/>
    </w:rPr>
  </w:style>
  <w:style w:type="character" w:customStyle="1" w:styleId="49">
    <w:name w:val="页眉 字符"/>
    <w:link w:val="18"/>
    <w:qFormat/>
    <w:uiPriority w:val="99"/>
    <w:rPr>
      <w:rFonts w:eastAsia="微软雅黑"/>
      <w:iCs/>
      <w:color w:val="365F91"/>
      <w:sz w:val="18"/>
      <w:szCs w:val="18"/>
    </w:rPr>
  </w:style>
  <w:style w:type="paragraph" w:customStyle="1" w:styleId="50">
    <w:name w:val="目录 11"/>
    <w:basedOn w:val="1"/>
    <w:next w:val="1"/>
    <w:unhideWhenUsed/>
    <w:qFormat/>
    <w:uiPriority w:val="39"/>
    <w:pPr>
      <w:jc w:val="left"/>
    </w:pPr>
    <w:rPr>
      <w:rFonts w:ascii="等线" w:eastAsia="微软雅黑"/>
      <w:b/>
      <w:bCs/>
      <w:iCs w:val="0"/>
      <w:caps/>
      <w:color w:val="1F4E79"/>
      <w:sz w:val="30"/>
    </w:rPr>
  </w:style>
  <w:style w:type="paragraph" w:customStyle="1" w:styleId="51">
    <w:name w:val="目录 41"/>
    <w:basedOn w:val="1"/>
    <w:next w:val="1"/>
    <w:unhideWhenUsed/>
    <w:qFormat/>
    <w:uiPriority w:val="39"/>
    <w:pPr>
      <w:spacing w:before="0" w:after="0"/>
      <w:ind w:left="454"/>
      <w:jc w:val="left"/>
    </w:pPr>
    <w:rPr>
      <w:rFonts w:ascii="等线" w:eastAsia="幼圆"/>
      <w:iCs w:val="0"/>
      <w:color w:val="0070C0"/>
      <w:sz w:val="18"/>
      <w:szCs w:val="18"/>
    </w:rPr>
  </w:style>
  <w:style w:type="character" w:customStyle="1" w:styleId="52">
    <w:name w:val="副标题 字符"/>
    <w:link w:val="19"/>
    <w:qFormat/>
    <w:uiPriority w:val="11"/>
    <w:rPr>
      <w:rFonts w:ascii="Times New Roman" w:hAnsi="Times New Roman"/>
      <w:iCs/>
      <w:color w:val="622423"/>
      <w:sz w:val="24"/>
      <w:szCs w:val="24"/>
    </w:rPr>
  </w:style>
  <w:style w:type="paragraph" w:customStyle="1" w:styleId="53">
    <w:name w:val="目录 61"/>
    <w:basedOn w:val="1"/>
    <w:next w:val="1"/>
    <w:unhideWhenUsed/>
    <w:qFormat/>
    <w:uiPriority w:val="39"/>
    <w:pPr>
      <w:spacing w:before="0" w:after="0"/>
      <w:ind w:left="1050"/>
      <w:jc w:val="left"/>
    </w:pPr>
    <w:rPr>
      <w:rFonts w:ascii="等线" w:eastAsia="等线"/>
      <w:iCs w:val="0"/>
      <w:sz w:val="18"/>
      <w:szCs w:val="18"/>
    </w:rPr>
  </w:style>
  <w:style w:type="paragraph" w:customStyle="1" w:styleId="54">
    <w:name w:val="目录 21"/>
    <w:basedOn w:val="1"/>
    <w:next w:val="1"/>
    <w:unhideWhenUsed/>
    <w:qFormat/>
    <w:uiPriority w:val="39"/>
    <w:pPr>
      <w:spacing w:before="0" w:after="0" w:line="440" w:lineRule="exact"/>
      <w:ind w:firstLine="160" w:firstLineChars="160"/>
      <w:jc w:val="left"/>
    </w:pPr>
    <w:rPr>
      <w:rFonts w:ascii="等线" w:eastAsia="微软雅黑"/>
      <w:b/>
      <w:iCs w:val="0"/>
      <w:smallCaps/>
      <w:color w:val="1F4E79"/>
      <w:sz w:val="28"/>
    </w:rPr>
  </w:style>
  <w:style w:type="paragraph" w:customStyle="1" w:styleId="55">
    <w:name w:val="目录 91"/>
    <w:basedOn w:val="1"/>
    <w:next w:val="1"/>
    <w:unhideWhenUsed/>
    <w:qFormat/>
    <w:uiPriority w:val="39"/>
    <w:pPr>
      <w:spacing w:before="0" w:after="0"/>
      <w:ind w:left="1680"/>
      <w:jc w:val="left"/>
    </w:pPr>
    <w:rPr>
      <w:rFonts w:ascii="等线" w:eastAsia="等线"/>
      <w:iCs w:val="0"/>
      <w:sz w:val="18"/>
      <w:szCs w:val="18"/>
    </w:rPr>
  </w:style>
  <w:style w:type="character" w:customStyle="1" w:styleId="56">
    <w:name w:val="标题 字符"/>
    <w:link w:val="21"/>
    <w:qFormat/>
    <w:uiPriority w:val="10"/>
    <w:rPr>
      <w:rFonts w:ascii="Times New Roman" w:hAnsi="Times New Roman"/>
      <w:iCs/>
      <w:color w:val="FFFFFF"/>
      <w:spacing w:val="10"/>
      <w:sz w:val="48"/>
      <w:szCs w:val="48"/>
      <w:shd w:val="clear" w:color="auto" w:fill="C0504D"/>
    </w:rPr>
  </w:style>
  <w:style w:type="character" w:customStyle="1" w:styleId="57">
    <w:name w:val="批注主题 字符"/>
    <w:link w:val="22"/>
    <w:semiHidden/>
    <w:qFormat/>
    <w:uiPriority w:val="99"/>
    <w:rPr>
      <w:b/>
      <w:bCs/>
      <w:iCs/>
      <w:color w:val="17365D"/>
      <w:sz w:val="21"/>
    </w:rPr>
  </w:style>
  <w:style w:type="paragraph" w:customStyle="1" w:styleId="58">
    <w:name w:val="列出段落1"/>
    <w:basedOn w:val="1"/>
    <w:link w:val="59"/>
    <w:qFormat/>
    <w:uiPriority w:val="34"/>
    <w:pPr>
      <w:ind w:left="720"/>
      <w:contextualSpacing/>
    </w:pPr>
  </w:style>
  <w:style w:type="character" w:customStyle="1" w:styleId="59">
    <w:name w:val="列出段落 Char"/>
    <w:link w:val="58"/>
    <w:qFormat/>
    <w:locked/>
    <w:uiPriority w:val="34"/>
    <w:rPr>
      <w:rFonts w:ascii="Times New Roman" w:hAnsi="Times New Roman" w:eastAsia="宋体" w:cs="Times New Roman"/>
      <w:iCs/>
      <w:color w:val="000000"/>
      <w:sz w:val="21"/>
    </w:rPr>
  </w:style>
  <w:style w:type="paragraph" w:customStyle="1" w:styleId="60">
    <w:name w:val="无间隔1"/>
    <w:basedOn w:val="1"/>
    <w:link w:val="61"/>
    <w:qFormat/>
    <w:uiPriority w:val="1"/>
    <w:pPr>
      <w:spacing w:after="0"/>
      <w:ind w:firstLine="0" w:firstLineChars="0"/>
      <w:jc w:val="center"/>
    </w:pPr>
  </w:style>
  <w:style w:type="character" w:customStyle="1" w:styleId="61">
    <w:name w:val="无间隔 Char"/>
    <w:link w:val="60"/>
    <w:qFormat/>
    <w:uiPriority w:val="1"/>
    <w:rPr>
      <w:iCs/>
      <w:color w:val="17365D"/>
      <w:sz w:val="21"/>
      <w:szCs w:val="20"/>
    </w:rPr>
  </w:style>
  <w:style w:type="paragraph" w:customStyle="1" w:styleId="62">
    <w:name w:val="引用1"/>
    <w:basedOn w:val="1"/>
    <w:next w:val="1"/>
    <w:link w:val="63"/>
    <w:qFormat/>
    <w:uiPriority w:val="29"/>
    <w:rPr>
      <w:i/>
      <w:iCs w:val="0"/>
      <w:color w:val="943634"/>
    </w:rPr>
  </w:style>
  <w:style w:type="character" w:customStyle="1" w:styleId="63">
    <w:name w:val="引用 Char"/>
    <w:link w:val="62"/>
    <w:qFormat/>
    <w:uiPriority w:val="29"/>
    <w:rPr>
      <w:color w:val="943634"/>
      <w:sz w:val="20"/>
      <w:szCs w:val="20"/>
    </w:rPr>
  </w:style>
  <w:style w:type="paragraph" w:customStyle="1" w:styleId="64">
    <w:name w:val="明显引用1"/>
    <w:basedOn w:val="1"/>
    <w:next w:val="1"/>
    <w:link w:val="6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65">
    <w:name w:val="明显引用 Char"/>
    <w:link w:val="64"/>
    <w:qFormat/>
    <w:uiPriority w:val="30"/>
    <w:rPr>
      <w:rFonts w:ascii="Cambria" w:hAnsi="Cambria" w:eastAsia="宋体" w:cs="Times New Roman"/>
      <w:b/>
      <w:bCs/>
      <w:i/>
      <w:iCs/>
      <w:color w:val="C0504D"/>
      <w:sz w:val="20"/>
      <w:szCs w:val="20"/>
    </w:rPr>
  </w:style>
  <w:style w:type="character" w:customStyle="1" w:styleId="66">
    <w:name w:val="不明显强调1"/>
    <w:qFormat/>
    <w:uiPriority w:val="19"/>
    <w:rPr>
      <w:rFonts w:ascii="Cambria" w:hAnsi="Cambria" w:eastAsia="宋体" w:cs="Times New Roman"/>
      <w:i/>
      <w:iCs/>
      <w:color w:val="C0504D"/>
    </w:rPr>
  </w:style>
  <w:style w:type="character" w:customStyle="1" w:styleId="6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68">
    <w:name w:val="不明显参考1"/>
    <w:qFormat/>
    <w:uiPriority w:val="31"/>
    <w:rPr>
      <w:i/>
      <w:iCs/>
      <w:smallCaps/>
      <w:color w:val="C0504D"/>
      <w:u w:color="C0504D"/>
    </w:rPr>
  </w:style>
  <w:style w:type="character" w:customStyle="1" w:styleId="69">
    <w:name w:val="明显参考1"/>
    <w:qFormat/>
    <w:uiPriority w:val="32"/>
    <w:rPr>
      <w:rFonts w:eastAsia="楷体"/>
      <w:b/>
      <w:bCs/>
      <w:iCs/>
      <w:smallCaps/>
      <w:color w:val="0070C0"/>
      <w:u w:color="C0504D"/>
    </w:rPr>
  </w:style>
  <w:style w:type="character" w:customStyle="1" w:styleId="70">
    <w:name w:val="书籍标题1"/>
    <w:qFormat/>
    <w:uiPriority w:val="33"/>
    <w:rPr>
      <w:rFonts w:ascii="Times New Roman" w:hAnsi="Times New Roman" w:eastAsia="宋体" w:cs="Times New Roman"/>
      <w:b/>
      <w:bCs/>
      <w:i/>
      <w:iCs/>
      <w:smallCaps/>
      <w:color w:val="943634"/>
      <w:u w:val="single"/>
    </w:rPr>
  </w:style>
  <w:style w:type="paragraph" w:customStyle="1" w:styleId="71">
    <w:name w:val="目录标题1"/>
    <w:basedOn w:val="2"/>
    <w:next w:val="1"/>
    <w:unhideWhenUsed/>
    <w:qFormat/>
    <w:uiPriority w:val="39"/>
    <w:pPr>
      <w:outlineLvl w:val="9"/>
    </w:pPr>
    <w:rPr>
      <w:lang w:bidi="en-US"/>
    </w:rPr>
  </w:style>
  <w:style w:type="table" w:customStyle="1" w:styleId="72">
    <w:name w:val="浅色网格 - 强调文字颜色 51"/>
    <w:basedOn w:val="23"/>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Pr>
    <w:tblStylePr w:type="firstRow">
      <w:pPr>
        <w:spacing w:before="0" w:after="0" w:line="240" w:lineRule="auto"/>
      </w:pPr>
      <w:rPr>
        <w:rFonts w:eastAsia="New York"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New York"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New York" w:cs="Times New Roman"/>
        <w:b/>
        <w:bCs/>
      </w:rPr>
    </w:tblStylePr>
    <w:tblStylePr w:type="lastCol">
      <w:rPr>
        <w:rFonts w:eastAsia="New York"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73">
    <w:name w:val="中等深浅网格 3 - 强调文字颜色 1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paragraph" w:customStyle="1" w:styleId="74">
    <w:name w:val="正文缩进1"/>
    <w:basedOn w:val="1"/>
    <w:qFormat/>
    <w:uiPriority w:val="0"/>
    <w:pPr>
      <w:widowControl w:val="0"/>
      <w:spacing w:before="0" w:afterLines="50"/>
      <w:ind w:firstLine="480"/>
    </w:pPr>
    <w:rPr>
      <w:iCs w:val="0"/>
      <w:color w:val="auto"/>
      <w:kern w:val="2"/>
      <w:sz w:val="24"/>
    </w:rPr>
  </w:style>
  <w:style w:type="paragraph" w:customStyle="1" w:styleId="75">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6">
    <w:name w:val="p0"/>
    <w:basedOn w:val="1"/>
    <w:qFormat/>
    <w:uiPriority w:val="99"/>
    <w:pPr>
      <w:spacing w:before="0" w:after="0"/>
      <w:ind w:firstLine="0" w:firstLineChars="0"/>
    </w:pPr>
    <w:rPr>
      <w:rFonts w:cs="宋体"/>
      <w:iCs w:val="0"/>
      <w:color w:val="auto"/>
      <w:szCs w:val="21"/>
    </w:rPr>
  </w:style>
  <w:style w:type="paragraph" w:customStyle="1" w:styleId="77">
    <w:name w:val="文档正文"/>
    <w:basedOn w:val="1"/>
    <w:link w:val="78"/>
    <w:qFormat/>
    <w:uiPriority w:val="0"/>
    <w:pPr>
      <w:widowControl w:val="0"/>
      <w:spacing w:before="0" w:after="0" w:line="360" w:lineRule="auto"/>
      <w:ind w:firstLine="400"/>
    </w:pPr>
    <w:rPr>
      <w:iCs w:val="0"/>
      <w:color w:val="auto"/>
      <w:kern w:val="2"/>
      <w:sz w:val="20"/>
    </w:rPr>
  </w:style>
  <w:style w:type="character" w:customStyle="1" w:styleId="78">
    <w:name w:val="文档正文 Char"/>
    <w:link w:val="77"/>
    <w:qFormat/>
    <w:uiPriority w:val="0"/>
    <w:rPr>
      <w:rFonts w:ascii="Times New Roman" w:hAnsi="Times New Roman" w:eastAsia="宋体"/>
      <w:kern w:val="2"/>
    </w:rPr>
  </w:style>
  <w:style w:type="table" w:customStyle="1" w:styleId="79">
    <w:name w:val="中等深浅底纹 1 - 强调文字颜色 11"/>
    <w:basedOn w:val="23"/>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tblStylePr w:type="band2Horz">
      <w:tcPr>
        <w:tcBorders>
          <w:top w:val="nil"/>
          <w:left w:val="nil"/>
          <w:bottom w:val="nil"/>
          <w:right w:val="nil"/>
          <w:insideH w:val="nil"/>
          <w:insideV w:val="nil"/>
          <w:tl2br w:val="nil"/>
          <w:tr2bl w:val="nil"/>
        </w:tcBorders>
      </w:tcPr>
    </w:tblStylePr>
  </w:style>
  <w:style w:type="paragraph" w:customStyle="1" w:styleId="80">
    <w:name w:val="条目正文"/>
    <w:basedOn w:val="1"/>
    <w:link w:val="81"/>
    <w:qFormat/>
    <w:uiPriority w:val="0"/>
    <w:pPr>
      <w:widowControl w:val="0"/>
      <w:spacing w:before="0" w:after="0" w:line="360" w:lineRule="auto"/>
      <w:ind w:left="200" w:leftChars="200"/>
    </w:pPr>
    <w:rPr>
      <w:iCs w:val="0"/>
      <w:color w:val="auto"/>
      <w:kern w:val="2"/>
      <w:sz w:val="24"/>
      <w:szCs w:val="24"/>
    </w:rPr>
  </w:style>
  <w:style w:type="character" w:customStyle="1" w:styleId="81">
    <w:name w:val="条目正文 Char"/>
    <w:link w:val="80"/>
    <w:qFormat/>
    <w:uiPriority w:val="0"/>
    <w:rPr>
      <w:rFonts w:ascii="Times New Roman" w:hAnsi="Times New Roman"/>
      <w:kern w:val="2"/>
      <w:sz w:val="24"/>
      <w:szCs w:val="24"/>
    </w:rPr>
  </w:style>
  <w:style w:type="character" w:customStyle="1" w:styleId="82">
    <w:name w:val="apple-converted-space"/>
    <w:qFormat/>
    <w:uiPriority w:val="0"/>
  </w:style>
  <w:style w:type="character" w:customStyle="1" w:styleId="83">
    <w:name w:val="批注文字 Char"/>
    <w:qFormat/>
    <w:uiPriority w:val="0"/>
    <w:rPr>
      <w:rFonts w:ascii="Calibri" w:hAnsi="Calibri"/>
      <w:kern w:val="2"/>
      <w:sz w:val="24"/>
      <w:szCs w:val="24"/>
    </w:rPr>
  </w:style>
  <w:style w:type="character" w:customStyle="1" w:styleId="84">
    <w:name w:val="占位符文本1"/>
    <w:semiHidden/>
    <w:qFormat/>
    <w:uiPriority w:val="99"/>
    <w:rPr>
      <w:color w:val="808080"/>
    </w:rPr>
  </w:style>
  <w:style w:type="paragraph" w:customStyle="1" w:styleId="8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6">
    <w:name w:val="清单表 1 浅色 - 着色 11"/>
    <w:basedOn w:val="23"/>
    <w:qFormat/>
    <w:uiPriority w:val="46"/>
    <w:tblStylePr w:type="firstRow">
      <w:rPr>
        <w:b/>
        <w:bCs/>
      </w:rPr>
      <w:tcPr>
        <w:tcBorders>
          <w:top w:val="nil"/>
          <w:left w:val="nil"/>
          <w:bottom w:val="single" w:color="9CC2E5" w:sz="4" w:space="0"/>
          <w:right w:val="nil"/>
          <w:insideH w:val="nil"/>
          <w:insideV w:val="nil"/>
          <w:tl2br w:val="nil"/>
          <w:tr2bl w:val="nil"/>
        </w:tcBorders>
      </w:tcPr>
    </w:tblStylePr>
    <w:tblStylePr w:type="lastRow">
      <w:rPr>
        <w:b/>
        <w:bCs/>
      </w:rPr>
      <w:tcPr>
        <w:tcBorders>
          <w:top w:val="sing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87">
    <w:name w:val="修订1"/>
    <w:semiHidden/>
    <w:qFormat/>
    <w:uiPriority w:val="99"/>
    <w:rPr>
      <w:rFonts w:ascii="Times New Roman" w:hAnsi="Times New Roman" w:eastAsia="宋体" w:cs="Times New Roman"/>
      <w:iCs/>
      <w:color w:val="000000"/>
      <w:sz w:val="21"/>
      <w:lang w:val="en-US" w:eastAsia="zh-CN" w:bidi="ar-SA"/>
    </w:rPr>
  </w:style>
  <w:style w:type="paragraph" w:customStyle="1" w:styleId="88">
    <w:name w:val="列出段落2"/>
    <w:basedOn w:val="1"/>
    <w:qFormat/>
    <w:uiPriority w:val="34"/>
    <w:pPr>
      <w:ind w:left="720"/>
      <w:contextualSpacing/>
    </w:pPr>
  </w:style>
  <w:style w:type="paragraph" w:customStyle="1" w:styleId="89">
    <w:name w:val="07.正文"/>
    <w:qFormat/>
    <w:uiPriority w:val="0"/>
    <w:pPr>
      <w:topLinePunct/>
      <w:spacing w:line="420" w:lineRule="exact"/>
      <w:ind w:firstLine="200" w:firstLineChars="200"/>
      <w:jc w:val="both"/>
    </w:pPr>
    <w:rPr>
      <w:rFonts w:ascii="微软雅黑" w:hAnsi="微软雅黑" w:eastAsia="微软雅黑" w:cs="Arial"/>
      <w:kern w:val="2"/>
      <w:sz w:val="24"/>
      <w:szCs w:val="21"/>
      <w:lang w:val="en-US" w:eastAsia="zh-CN" w:bidi="ar-SA"/>
    </w:rPr>
  </w:style>
  <w:style w:type="paragraph" w:customStyle="1" w:styleId="90">
    <w:name w:val="标准文本"/>
    <w:basedOn w:val="1"/>
    <w:qFormat/>
    <w:uiPriority w:val="0"/>
    <w:pPr>
      <w:widowControl w:val="0"/>
      <w:spacing w:before="0" w:after="0"/>
      <w:ind w:firstLine="480" w:firstLineChars="0"/>
    </w:pPr>
    <w:rPr>
      <w:rFonts w:cs="宋体"/>
      <w:iCs w:val="0"/>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11914</Words>
  <Characters>12242</Characters>
  <Lines>98</Lines>
  <Paragraphs>27</Paragraphs>
  <TotalTime>0</TotalTime>
  <ScaleCrop>false</ScaleCrop>
  <LinksUpToDate>false</LinksUpToDate>
  <CharactersWithSpaces>12304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2026-06-15T01:17:00Z</dcterms:created>
  <dcterms:modified xsi:type="dcterms:W3CDTF">2026-06-25T05:41:33Z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1373AB8C5AD64A9293B490F58BAA570D_13</vt:lpwstr>
  </property>
  <property fmtid="{D5CDD505-2E9C-101B-9397-08002B2CF9AE}" pid="4" name="KSOTemplateDocerSaveRecord">
    <vt:lpwstr>eyJoZGlkIjoiMmZiY2NhMmQ2MzFiZWU5ODIxYWEzODA5MDBhNGEwNWMiLCJ1c2VySWQiOiI0MzE1NjM2OTAifQ==</vt:lpwstr>
  </property>
</Properties>
</file>