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17" w:rsidRDefault="003A35E4">
      <w:pPr>
        <w:spacing w:line="480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t>2023年云南省科学技术奖候选项目</w:t>
      </w:r>
      <w:r>
        <w:rPr>
          <w:rFonts w:ascii="宋体" w:hint="eastAsia"/>
          <w:b/>
          <w:sz w:val="44"/>
          <w:szCs w:val="44"/>
        </w:rPr>
        <w:t>“</w:t>
      </w:r>
      <w:bookmarkStart w:id="0" w:name="_GoBack"/>
      <w:r>
        <w:rPr>
          <w:rFonts w:ascii="宋体"/>
          <w:b/>
          <w:sz w:val="44"/>
          <w:szCs w:val="44"/>
        </w:rPr>
        <w:t>低纬高原抗稻瘟病资源系统性筛选鉴定与创新利用</w:t>
      </w:r>
      <w:bookmarkEnd w:id="0"/>
      <w:r>
        <w:rPr>
          <w:rFonts w:ascii="宋体" w:hint="eastAsia"/>
          <w:b/>
          <w:sz w:val="44"/>
          <w:szCs w:val="44"/>
        </w:rPr>
        <w:t>”</w:t>
      </w:r>
      <w:r>
        <w:rPr>
          <w:rFonts w:ascii="宋体"/>
          <w:b/>
          <w:sz w:val="44"/>
          <w:szCs w:val="44"/>
        </w:rPr>
        <w:t>公示信息</w:t>
      </w:r>
    </w:p>
    <w:p w:rsidR="00561717" w:rsidRDefault="00561717">
      <w:pPr>
        <w:jc w:val="center"/>
        <w:rPr>
          <w:rFonts w:ascii="宋体"/>
          <w:b/>
          <w:sz w:val="32"/>
          <w:szCs w:val="32"/>
        </w:rPr>
      </w:pPr>
    </w:p>
    <w:p w:rsidR="00561717" w:rsidRDefault="00561717">
      <w:pPr>
        <w:jc w:val="center"/>
        <w:rPr>
          <w:rFonts w:ascii="宋体"/>
          <w:b/>
          <w:sz w:val="32"/>
          <w:szCs w:val="32"/>
        </w:rPr>
      </w:pPr>
    </w:p>
    <w:p w:rsidR="00561717" w:rsidRDefault="003A35E4">
      <w:pPr>
        <w:jc w:val="center"/>
        <w:rPr>
          <w:rFonts w:ascii="宋体"/>
          <w:b/>
          <w:sz w:val="32"/>
          <w:szCs w:val="32"/>
        </w:rPr>
      </w:pPr>
      <w:proofErr w:type="gramStart"/>
      <w:r>
        <w:rPr>
          <w:rFonts w:ascii="宋体"/>
          <w:b/>
          <w:sz w:val="32"/>
          <w:szCs w:val="32"/>
        </w:rPr>
        <w:t>一</w:t>
      </w:r>
      <w:proofErr w:type="gramEnd"/>
      <w:r>
        <w:rPr>
          <w:rFonts w:ascii="宋体"/>
          <w:b/>
          <w:sz w:val="32"/>
          <w:szCs w:val="32"/>
        </w:rPr>
        <w:t xml:space="preserve"> 成果名称：低纬高原抗稻瘟病资源系统性筛选鉴定与创新利用</w:t>
      </w:r>
    </w:p>
    <w:p w:rsidR="00561717" w:rsidRDefault="00561717">
      <w:pPr>
        <w:rPr>
          <w:rFonts w:ascii="宋体"/>
          <w:b/>
          <w:sz w:val="32"/>
          <w:szCs w:val="32"/>
        </w:rPr>
      </w:pPr>
    </w:p>
    <w:p w:rsidR="00561717" w:rsidRDefault="003A35E4">
      <w:pPr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二 提名单位：云南省农业科学院</w:t>
      </w:r>
    </w:p>
    <w:p w:rsidR="00561717" w:rsidRDefault="003A35E4">
      <w:pPr>
        <w:ind w:firstLineChars="150" w:firstLine="482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提名等次：2023年度云南省科技进步奖 二等奖</w:t>
      </w:r>
    </w:p>
    <w:p w:rsidR="00561717" w:rsidRDefault="00561717">
      <w:pPr>
        <w:rPr>
          <w:rFonts w:ascii="宋体"/>
          <w:b/>
          <w:sz w:val="32"/>
          <w:szCs w:val="32"/>
        </w:rPr>
      </w:pPr>
    </w:p>
    <w:p w:rsidR="00561717" w:rsidRDefault="003A35E4">
      <w:pPr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t>三 主要知识产权</w:t>
      </w:r>
    </w:p>
    <w:p w:rsidR="00561717" w:rsidRDefault="00561717">
      <w:pPr>
        <w:rPr>
          <w:rFonts w:ascii="宋体"/>
          <w:b/>
          <w:sz w:val="28"/>
          <w:szCs w:val="28"/>
        </w:rPr>
      </w:pPr>
    </w:p>
    <w:p w:rsidR="00561717" w:rsidRDefault="003A35E4">
      <w:pPr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1 专利</w:t>
      </w:r>
      <w:r>
        <w:rPr>
          <w:rFonts w:ascii="宋体"/>
          <w:b/>
          <w:sz w:val="28"/>
          <w:szCs w:val="28"/>
        </w:rPr>
        <w:t>知识产权</w:t>
      </w:r>
    </w:p>
    <w:tbl>
      <w:tblPr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1074"/>
        <w:gridCol w:w="1985"/>
        <w:gridCol w:w="2417"/>
        <w:gridCol w:w="1950"/>
      </w:tblGrid>
      <w:tr w:rsidR="00561717">
        <w:tc>
          <w:tcPr>
            <w:tcW w:w="877" w:type="dxa"/>
          </w:tcPr>
          <w:p w:rsidR="00561717" w:rsidRDefault="003A35E4">
            <w:pPr>
              <w:jc w:val="center"/>
            </w:pPr>
            <w:r>
              <w:rPr>
                <w:rFonts w:hint="eastAsia"/>
              </w:rPr>
              <w:t>序</w:t>
            </w:r>
          </w:p>
          <w:p w:rsidR="00561717" w:rsidRDefault="003A35E4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074" w:type="dxa"/>
          </w:tcPr>
          <w:p w:rsidR="00561717" w:rsidRDefault="003A35E4">
            <w:pPr>
              <w:jc w:val="center"/>
            </w:pPr>
            <w:r>
              <w:rPr>
                <w:rFonts w:hint="eastAsia"/>
              </w:rPr>
              <w:t>知识产权（标准）类别</w:t>
            </w:r>
          </w:p>
        </w:tc>
        <w:tc>
          <w:tcPr>
            <w:tcW w:w="1985" w:type="dxa"/>
          </w:tcPr>
          <w:p w:rsidR="00561717" w:rsidRDefault="003A35E4">
            <w:pPr>
              <w:jc w:val="center"/>
            </w:pPr>
            <w:r>
              <w:rPr>
                <w:rFonts w:hint="eastAsia"/>
              </w:rPr>
              <w:t>知识产权（标准）</w:t>
            </w:r>
          </w:p>
          <w:p w:rsidR="00561717" w:rsidRDefault="003A35E4">
            <w:pPr>
              <w:jc w:val="center"/>
            </w:pPr>
            <w:r>
              <w:rPr>
                <w:rFonts w:hint="eastAsia"/>
              </w:rPr>
              <w:t>具体名称</w:t>
            </w:r>
          </w:p>
        </w:tc>
        <w:tc>
          <w:tcPr>
            <w:tcW w:w="2417" w:type="dxa"/>
          </w:tcPr>
          <w:p w:rsidR="00561717" w:rsidRDefault="003A35E4">
            <w:pPr>
              <w:jc w:val="center"/>
            </w:pPr>
            <w:r>
              <w:rPr>
                <w:rFonts w:hint="eastAsia"/>
              </w:rPr>
              <w:t>权利人（标准起</w:t>
            </w:r>
          </w:p>
          <w:p w:rsidR="00561717" w:rsidRDefault="003A35E4">
            <w:pPr>
              <w:jc w:val="center"/>
            </w:pPr>
            <w:proofErr w:type="gramStart"/>
            <w:r>
              <w:rPr>
                <w:rFonts w:hint="eastAsia"/>
              </w:rPr>
              <w:t>草单位</w:t>
            </w:r>
            <w:proofErr w:type="gramEnd"/>
          </w:p>
        </w:tc>
        <w:tc>
          <w:tcPr>
            <w:tcW w:w="1950" w:type="dxa"/>
          </w:tcPr>
          <w:p w:rsidR="00561717" w:rsidRDefault="003A35E4">
            <w:pPr>
              <w:jc w:val="center"/>
            </w:pPr>
            <w:r>
              <w:rPr>
                <w:rFonts w:hint="eastAsia"/>
              </w:rPr>
              <w:t>发明人（标准起</w:t>
            </w:r>
          </w:p>
          <w:p w:rsidR="00561717" w:rsidRDefault="003A35E4">
            <w:pPr>
              <w:jc w:val="center"/>
            </w:pPr>
            <w:r>
              <w:rPr>
                <w:rFonts w:hint="eastAsia"/>
              </w:rPr>
              <w:t>草人）</w:t>
            </w:r>
          </w:p>
        </w:tc>
      </w:tr>
      <w:tr w:rsidR="00561717">
        <w:tc>
          <w:tcPr>
            <w:tcW w:w="877" w:type="dxa"/>
          </w:tcPr>
          <w:p w:rsidR="00561717" w:rsidRDefault="003A35E4">
            <w:r>
              <w:t>1</w:t>
            </w:r>
          </w:p>
        </w:tc>
        <w:tc>
          <w:tcPr>
            <w:tcW w:w="1074" w:type="dxa"/>
          </w:tcPr>
          <w:p w:rsidR="00561717" w:rsidRDefault="003A35E4">
            <w:r>
              <w:rPr>
                <w:rFonts w:hint="eastAsia"/>
              </w:rPr>
              <w:t>发明专利</w:t>
            </w:r>
          </w:p>
        </w:tc>
        <w:tc>
          <w:tcPr>
            <w:tcW w:w="1985" w:type="dxa"/>
          </w:tcPr>
          <w:p w:rsidR="00561717" w:rsidRDefault="003A35E4">
            <w:r>
              <w:rPr>
                <w:rFonts w:hint="eastAsia"/>
              </w:rPr>
              <w:t>一种鉴定野生稻抗稻瘟病基因的方法</w:t>
            </w:r>
          </w:p>
        </w:tc>
        <w:tc>
          <w:tcPr>
            <w:tcW w:w="2417" w:type="dxa"/>
          </w:tcPr>
          <w:p w:rsidR="00561717" w:rsidRDefault="003A35E4">
            <w:r>
              <w:rPr>
                <w:rFonts w:hint="eastAsia"/>
              </w:rPr>
              <w:t>云南省农业科学院农业环境资源研究所</w:t>
            </w:r>
          </w:p>
        </w:tc>
        <w:tc>
          <w:tcPr>
            <w:tcW w:w="1950" w:type="dxa"/>
          </w:tcPr>
          <w:p w:rsidR="00561717" w:rsidRDefault="003A35E4">
            <w:r>
              <w:rPr>
                <w:rFonts w:hint="eastAsia"/>
              </w:rPr>
              <w:t>李进斌，李成云，刘林，杨静</w:t>
            </w:r>
          </w:p>
        </w:tc>
      </w:tr>
      <w:tr w:rsidR="00561717">
        <w:tc>
          <w:tcPr>
            <w:tcW w:w="877" w:type="dxa"/>
          </w:tcPr>
          <w:p w:rsidR="00561717" w:rsidRDefault="003A35E4">
            <w:r>
              <w:t>2</w:t>
            </w:r>
          </w:p>
        </w:tc>
        <w:tc>
          <w:tcPr>
            <w:tcW w:w="1074" w:type="dxa"/>
          </w:tcPr>
          <w:p w:rsidR="00561717" w:rsidRDefault="003A35E4">
            <w:r>
              <w:rPr>
                <w:rFonts w:hint="eastAsia"/>
              </w:rPr>
              <w:t>发明专利</w:t>
            </w:r>
          </w:p>
        </w:tc>
        <w:tc>
          <w:tcPr>
            <w:tcW w:w="1985" w:type="dxa"/>
          </w:tcPr>
          <w:p w:rsidR="00561717" w:rsidRDefault="003A35E4">
            <w:r>
              <w:rPr>
                <w:rFonts w:hint="eastAsia"/>
              </w:rPr>
              <w:t>一种抗稻瘟病水稻鉴定方法和基因的标记方法及其应用</w:t>
            </w:r>
          </w:p>
        </w:tc>
        <w:tc>
          <w:tcPr>
            <w:tcW w:w="2417" w:type="dxa"/>
          </w:tcPr>
          <w:p w:rsidR="00561717" w:rsidRDefault="003A35E4">
            <w:r>
              <w:rPr>
                <w:rFonts w:hint="eastAsia"/>
              </w:rPr>
              <w:t>云南省农业科学院生物技术与种质资源研究</w:t>
            </w:r>
          </w:p>
        </w:tc>
        <w:tc>
          <w:tcPr>
            <w:tcW w:w="1950" w:type="dxa"/>
          </w:tcPr>
          <w:p w:rsidR="00561717" w:rsidRDefault="003A35E4">
            <w:r>
              <w:rPr>
                <w:rFonts w:hint="eastAsia"/>
              </w:rPr>
              <w:t>孙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丁，许明辉，马继琼，杨奕，李进斌</w:t>
            </w:r>
          </w:p>
        </w:tc>
      </w:tr>
      <w:tr w:rsidR="00561717">
        <w:tc>
          <w:tcPr>
            <w:tcW w:w="877" w:type="dxa"/>
          </w:tcPr>
          <w:p w:rsidR="00561717" w:rsidRDefault="003A35E4">
            <w:r>
              <w:t>3</w:t>
            </w:r>
          </w:p>
        </w:tc>
        <w:tc>
          <w:tcPr>
            <w:tcW w:w="1074" w:type="dxa"/>
          </w:tcPr>
          <w:p w:rsidR="00561717" w:rsidRDefault="003A35E4">
            <w:r>
              <w:rPr>
                <w:rFonts w:hint="eastAsia"/>
              </w:rPr>
              <w:t>实用新型</w:t>
            </w:r>
          </w:p>
        </w:tc>
        <w:tc>
          <w:tcPr>
            <w:tcW w:w="1985" w:type="dxa"/>
          </w:tcPr>
          <w:p w:rsidR="00561717" w:rsidRDefault="003A35E4">
            <w:r>
              <w:rPr>
                <w:rFonts w:hint="eastAsia"/>
              </w:rPr>
              <w:t>植株支撑</w:t>
            </w:r>
          </w:p>
          <w:p w:rsidR="00561717" w:rsidRDefault="003A35E4">
            <w:r>
              <w:rPr>
                <w:rFonts w:hint="eastAsia"/>
              </w:rPr>
              <w:t>装置</w:t>
            </w:r>
          </w:p>
        </w:tc>
        <w:tc>
          <w:tcPr>
            <w:tcW w:w="2417" w:type="dxa"/>
          </w:tcPr>
          <w:p w:rsidR="00561717" w:rsidRDefault="003A35E4">
            <w:r>
              <w:rPr>
                <w:rFonts w:hint="eastAsia"/>
              </w:rPr>
              <w:t>云南省农业科学院生物技术与种质资源研究</w:t>
            </w:r>
          </w:p>
        </w:tc>
        <w:tc>
          <w:tcPr>
            <w:tcW w:w="1950" w:type="dxa"/>
          </w:tcPr>
          <w:p w:rsidR="00561717" w:rsidRDefault="003A35E4">
            <w:r>
              <w:rPr>
                <w:rFonts w:hint="eastAsia"/>
              </w:rPr>
              <w:t>王炎炎，李维蛟，张斐斐，杨顺枫，许明辉，马继琼，孙一丁，杨奕，饶</w:t>
            </w:r>
          </w:p>
          <w:p w:rsidR="00561717" w:rsidRDefault="003A35E4">
            <w:r>
              <w:rPr>
                <w:rFonts w:hint="eastAsia"/>
              </w:rPr>
              <w:t>智</w:t>
            </w:r>
          </w:p>
        </w:tc>
      </w:tr>
    </w:tbl>
    <w:p w:rsidR="00561717" w:rsidRDefault="00561717"/>
    <w:p w:rsidR="00561717" w:rsidRDefault="00561717"/>
    <w:p w:rsidR="00561717" w:rsidRDefault="003A35E4">
      <w:pPr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2论文专著</w:t>
      </w:r>
    </w:p>
    <w:tbl>
      <w:tblPr>
        <w:tblW w:w="83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2175"/>
        <w:gridCol w:w="970"/>
        <w:gridCol w:w="1137"/>
        <w:gridCol w:w="1887"/>
        <w:gridCol w:w="1050"/>
        <w:gridCol w:w="819"/>
      </w:tblGrid>
      <w:tr w:rsidR="00561717">
        <w:trPr>
          <w:trHeight w:val="480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刊名、出版社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通信作者</w:t>
            </w:r>
            <w:r>
              <w:rPr>
                <w:kern w:val="0"/>
                <w:sz w:val="18"/>
                <w:szCs w:val="18"/>
              </w:rPr>
              <w:t>/</w:t>
            </w:r>
          </w:p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第一责任人、</w:t>
            </w:r>
          </w:p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作者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刊期、刊号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页码</w:t>
            </w:r>
          </w:p>
        </w:tc>
      </w:tr>
      <w:tr w:rsidR="00561717">
        <w:trPr>
          <w:trHeight w:val="549"/>
          <w:jc w:val="center"/>
        </w:trPr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1717" w:rsidRDefault="003A35E4">
            <w:pPr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1717" w:rsidRDefault="003A35E4">
            <w:pPr>
              <w:rPr>
                <w:b/>
                <w:bCs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 xml:space="preserve">Ectopic expression of MgSM1, a </w:t>
            </w:r>
            <w:proofErr w:type="spellStart"/>
            <w:r>
              <w:rPr>
                <w:spacing w:val="8"/>
                <w:sz w:val="18"/>
                <w:szCs w:val="18"/>
              </w:rPr>
              <w:t>Cerato-platanin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family protein from </w:t>
            </w:r>
            <w:proofErr w:type="spellStart"/>
            <w:r>
              <w:rPr>
                <w:i/>
                <w:spacing w:val="8"/>
                <w:sz w:val="18"/>
                <w:szCs w:val="18"/>
              </w:rPr>
              <w:t>Magnaporthe</w:t>
            </w:r>
            <w:proofErr w:type="spellEnd"/>
            <w:r>
              <w:rPr>
                <w:i/>
                <w:spacing w:val="8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8"/>
                <w:sz w:val="18"/>
                <w:szCs w:val="18"/>
              </w:rPr>
              <w:t>grisea</w:t>
            </w:r>
            <w:proofErr w:type="spellEnd"/>
            <w:r>
              <w:rPr>
                <w:spacing w:val="8"/>
                <w:sz w:val="18"/>
                <w:szCs w:val="18"/>
              </w:rPr>
              <w:t>,  confers</w:t>
            </w:r>
            <w:proofErr w:type="gramEnd"/>
            <w:r>
              <w:rPr>
                <w:spacing w:val="8"/>
                <w:sz w:val="18"/>
                <w:szCs w:val="18"/>
              </w:rPr>
              <w:t xml:space="preserve"> broad-spectrum disease resistance in Arabidopsis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Biotechnology Journal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Song </w:t>
            </w:r>
            <w:proofErr w:type="spellStart"/>
            <w:r>
              <w:rPr>
                <w:sz w:val="18"/>
                <w:szCs w:val="18"/>
              </w:rPr>
              <w:t>Fengming</w:t>
            </w:r>
            <w:proofErr w:type="spellEnd"/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Yayun</w:t>
            </w:r>
            <w:proofErr w:type="spellEnd"/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(</w:t>
            </w:r>
            <w:r>
              <w:rPr>
                <w:sz w:val="18"/>
                <w:szCs w:val="18"/>
                <w:shd w:val="clear" w:color="auto" w:fill="FFFFFF"/>
              </w:rPr>
              <w:t>宋凤鸣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杨雅云</w:t>
            </w:r>
            <w:r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Yang </w:t>
            </w:r>
            <w:proofErr w:type="spellStart"/>
            <w:r>
              <w:rPr>
                <w:sz w:val="18"/>
                <w:szCs w:val="18"/>
              </w:rPr>
              <w:t>Yayun</w:t>
            </w:r>
            <w:proofErr w:type="spellEnd"/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Zhang </w:t>
            </w:r>
            <w:proofErr w:type="spellStart"/>
            <w:r>
              <w:rPr>
                <w:sz w:val="18"/>
                <w:szCs w:val="18"/>
              </w:rPr>
              <w:t>Huijuan</w:t>
            </w:r>
            <w:proofErr w:type="spellEnd"/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Li </w:t>
            </w:r>
            <w:proofErr w:type="spellStart"/>
            <w:r>
              <w:rPr>
                <w:sz w:val="18"/>
                <w:szCs w:val="18"/>
              </w:rPr>
              <w:t>Guojun</w:t>
            </w:r>
            <w:proofErr w:type="spellEnd"/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Li Wei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Wang </w:t>
            </w:r>
            <w:proofErr w:type="spellStart"/>
            <w:r>
              <w:rPr>
                <w:sz w:val="18"/>
                <w:szCs w:val="18"/>
              </w:rPr>
              <w:t>Xiao'e</w:t>
            </w:r>
            <w:proofErr w:type="spellEnd"/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Song </w:t>
            </w:r>
            <w:proofErr w:type="spellStart"/>
            <w:r>
              <w:rPr>
                <w:sz w:val="18"/>
                <w:szCs w:val="18"/>
              </w:rPr>
              <w:t>Fengming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pacing w:val="8"/>
                <w:sz w:val="18"/>
                <w:szCs w:val="18"/>
                <w:shd w:val="clear" w:color="auto" w:fill="F6F8FA"/>
              </w:rPr>
            </w:pPr>
            <w:r>
              <w:rPr>
                <w:spacing w:val="8"/>
                <w:sz w:val="18"/>
                <w:szCs w:val="18"/>
              </w:rPr>
              <w:t>(2009)7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doi:10.1111/j.1467-7652.</w:t>
            </w:r>
            <w:proofErr w:type="gramStart"/>
            <w:r>
              <w:rPr>
                <w:sz w:val="18"/>
                <w:szCs w:val="18"/>
              </w:rPr>
              <w:t>2009.00442.x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763-777</w:t>
            </w:r>
          </w:p>
        </w:tc>
      </w:tr>
      <w:tr w:rsidR="00561717">
        <w:trPr>
          <w:trHeight w:val="1416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of Resistant Spectrum to Rice Blast in Transgenic Rice Lines Introduced Lysozyme Gene from T4 Phage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Agricultural Sciences in China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 xml:space="preserve">TANG </w:t>
            </w:r>
            <w:proofErr w:type="spellStart"/>
            <w:r>
              <w:rPr>
                <w:spacing w:val="8"/>
                <w:sz w:val="18"/>
                <w:szCs w:val="18"/>
              </w:rPr>
              <w:t>Zuo</w:t>
            </w:r>
            <w:proofErr w:type="spellEnd"/>
            <w:r>
              <w:rPr>
                <w:spacing w:val="8"/>
                <w:sz w:val="18"/>
                <w:szCs w:val="18"/>
              </w:rPr>
              <w:t>-shun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pacing w:val="8"/>
                <w:sz w:val="18"/>
                <w:szCs w:val="18"/>
              </w:rPr>
              <w:t xml:space="preserve"> XU Ming-hui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唐祚舜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许明辉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XU Ming-hui</w:t>
            </w:r>
            <w:r>
              <w:rPr>
                <w:spacing w:val="8"/>
                <w:sz w:val="18"/>
                <w:szCs w:val="18"/>
              </w:rPr>
              <w:t>，</w:t>
            </w:r>
            <w:r>
              <w:rPr>
                <w:spacing w:val="8"/>
                <w:sz w:val="18"/>
                <w:szCs w:val="18"/>
              </w:rPr>
              <w:t xml:space="preserve"> LI Cheng-</w:t>
            </w:r>
            <w:proofErr w:type="spellStart"/>
            <w:r>
              <w:rPr>
                <w:spacing w:val="8"/>
                <w:sz w:val="18"/>
                <w:szCs w:val="18"/>
              </w:rPr>
              <w:t>yun</w:t>
            </w:r>
            <w:proofErr w:type="spellEnd"/>
            <w:r>
              <w:rPr>
                <w:spacing w:val="8"/>
                <w:sz w:val="18"/>
                <w:szCs w:val="18"/>
              </w:rPr>
              <w:t>，</w:t>
            </w:r>
            <w:r>
              <w:rPr>
                <w:spacing w:val="8"/>
                <w:sz w:val="18"/>
                <w:szCs w:val="18"/>
              </w:rPr>
              <w:t xml:space="preserve">LI </w:t>
            </w:r>
            <w:proofErr w:type="spellStart"/>
            <w:r>
              <w:rPr>
                <w:spacing w:val="8"/>
                <w:sz w:val="18"/>
                <w:szCs w:val="18"/>
              </w:rPr>
              <w:t>Jin</w:t>
            </w:r>
            <w:proofErr w:type="spellEnd"/>
            <w:r>
              <w:rPr>
                <w:spacing w:val="8"/>
                <w:sz w:val="18"/>
                <w:szCs w:val="18"/>
              </w:rPr>
              <w:t>-bin</w:t>
            </w:r>
            <w:r>
              <w:rPr>
                <w:spacing w:val="8"/>
                <w:sz w:val="18"/>
                <w:szCs w:val="18"/>
              </w:rPr>
              <w:t>，</w:t>
            </w:r>
            <w:r>
              <w:rPr>
                <w:spacing w:val="8"/>
                <w:sz w:val="18"/>
                <w:szCs w:val="18"/>
              </w:rPr>
              <w:t xml:space="preserve"> TAN </w:t>
            </w:r>
            <w:proofErr w:type="spellStart"/>
            <w:r>
              <w:rPr>
                <w:spacing w:val="8"/>
                <w:sz w:val="18"/>
                <w:szCs w:val="18"/>
              </w:rPr>
              <w:t>Xue-lin</w:t>
            </w:r>
            <w:proofErr w:type="spellEnd"/>
            <w:r>
              <w:rPr>
                <w:spacing w:val="8"/>
                <w:sz w:val="18"/>
                <w:szCs w:val="18"/>
              </w:rPr>
              <w:t>，</w:t>
            </w:r>
            <w:proofErr w:type="spellStart"/>
            <w:r>
              <w:rPr>
                <w:spacing w:val="8"/>
                <w:sz w:val="18"/>
                <w:szCs w:val="18"/>
              </w:rPr>
              <w:t>TIANWen-zhong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and TANG </w:t>
            </w:r>
            <w:proofErr w:type="spellStart"/>
            <w:r>
              <w:rPr>
                <w:spacing w:val="8"/>
                <w:sz w:val="18"/>
                <w:szCs w:val="18"/>
              </w:rPr>
              <w:t>Zuo</w:t>
            </w:r>
            <w:proofErr w:type="spellEnd"/>
            <w:r>
              <w:rPr>
                <w:spacing w:val="8"/>
                <w:sz w:val="18"/>
                <w:szCs w:val="18"/>
              </w:rPr>
              <w:t>-shun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2(3)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273-279</w:t>
            </w:r>
          </w:p>
        </w:tc>
      </w:tr>
      <w:tr w:rsidR="00561717">
        <w:trPr>
          <w:trHeight w:val="1031"/>
          <w:jc w:val="center"/>
        </w:trPr>
        <w:tc>
          <w:tcPr>
            <w:tcW w:w="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几丁质酶</w:t>
            </w:r>
            <w:proofErr w:type="gramStart"/>
            <w:r>
              <w:rPr>
                <w:sz w:val="18"/>
                <w:szCs w:val="18"/>
              </w:rPr>
              <w:t>一</w:t>
            </w:r>
            <w:proofErr w:type="gramEnd"/>
            <w:r>
              <w:rPr>
                <w:sz w:val="18"/>
                <w:szCs w:val="18"/>
              </w:rPr>
              <w:t>葡聚糖酶双价基因</w:t>
            </w:r>
            <w:proofErr w:type="gramStart"/>
            <w:r>
              <w:rPr>
                <w:sz w:val="18"/>
                <w:szCs w:val="18"/>
              </w:rPr>
              <w:t>导入滇型杂交</w:t>
            </w:r>
            <w:proofErr w:type="gramEnd"/>
            <w:r>
              <w:rPr>
                <w:sz w:val="18"/>
                <w:szCs w:val="18"/>
              </w:rPr>
              <w:t>稻恢复系提高稻瘟病抗性的研究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遗传学报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许明辉，唐</w:t>
            </w:r>
            <w:proofErr w:type="gramStart"/>
            <w:r>
              <w:rPr>
                <w:sz w:val="18"/>
                <w:szCs w:val="18"/>
              </w:rPr>
              <w:t>柞</w:t>
            </w:r>
            <w:proofErr w:type="gramEnd"/>
            <w:r>
              <w:rPr>
                <w:sz w:val="18"/>
                <w:szCs w:val="18"/>
              </w:rPr>
              <w:t>舜，谭亚玲，田颖川，李成云，张树华，陈正华，田文忠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30(4)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330-3347</w:t>
            </w:r>
          </w:p>
        </w:tc>
      </w:tr>
      <w:tr w:rsidR="00561717">
        <w:trPr>
          <w:trHeight w:val="582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转几丁质酶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葡聚糖酶基因水稻稻瘟病抗谱分析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中国水稻科学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许明辉，李成云，李进斌，谭学林，田颖川，陈正华，唐祚舜，田文忠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17(4)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307-310</w:t>
            </w:r>
          </w:p>
        </w:tc>
      </w:tr>
      <w:tr w:rsidR="00561717">
        <w:trPr>
          <w:trHeight w:val="1919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Overexpression of </w:t>
            </w:r>
            <w:r>
              <w:rPr>
                <w:i/>
                <w:sz w:val="18"/>
                <w:szCs w:val="18"/>
              </w:rPr>
              <w:t>MoSM1</w:t>
            </w:r>
            <w:r>
              <w:rPr>
                <w:sz w:val="18"/>
                <w:szCs w:val="18"/>
              </w:rPr>
              <w:t xml:space="preserve">, encoding for an immunity-inducing protein from </w:t>
            </w:r>
            <w:proofErr w:type="spellStart"/>
            <w:r>
              <w:rPr>
                <w:i/>
                <w:sz w:val="18"/>
                <w:szCs w:val="18"/>
              </w:rPr>
              <w:t>Magnaporthe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oryzae</w:t>
            </w:r>
            <w:proofErr w:type="spellEnd"/>
            <w:r>
              <w:rPr>
                <w:sz w:val="18"/>
                <w:szCs w:val="18"/>
              </w:rPr>
              <w:t>, in rice confers broad-spectrum resistance against fungal and bacterial diseases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Scientific Reports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Song </w:t>
            </w:r>
            <w:proofErr w:type="spellStart"/>
            <w:r>
              <w:rPr>
                <w:sz w:val="18"/>
                <w:szCs w:val="18"/>
              </w:rPr>
              <w:t>Fengming</w:t>
            </w:r>
            <w:proofErr w:type="spellEnd"/>
            <w:r>
              <w:rPr>
                <w:kern w:val="0"/>
                <w:sz w:val="18"/>
                <w:szCs w:val="18"/>
              </w:rPr>
              <w:t>/</w:t>
            </w:r>
            <w:r>
              <w:rPr>
                <w:spacing w:val="8"/>
                <w:sz w:val="18"/>
                <w:szCs w:val="18"/>
                <w:shd w:val="clear" w:color="auto" w:fill="F6F8FA"/>
              </w:rPr>
              <w:t xml:space="preserve"> </w:t>
            </w:r>
            <w:proofErr w:type="spellStart"/>
            <w:r>
              <w:rPr>
                <w:kern w:val="0"/>
                <w:sz w:val="18"/>
                <w:szCs w:val="18"/>
              </w:rPr>
              <w:t>Yongbo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 Hong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(</w:t>
            </w:r>
            <w:r>
              <w:rPr>
                <w:sz w:val="18"/>
                <w:szCs w:val="18"/>
                <w:shd w:val="clear" w:color="auto" w:fill="FFFFFF"/>
              </w:rPr>
              <w:t>宋凤鸣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洪永波</w:t>
            </w:r>
            <w:r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Yongbo</w:t>
            </w:r>
            <w:proofErr w:type="spellEnd"/>
            <w:r>
              <w:rPr>
                <w:sz w:val="18"/>
                <w:szCs w:val="18"/>
              </w:rPr>
              <w:t xml:space="preserve"> Hong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Yayun</w:t>
            </w:r>
            <w:proofErr w:type="spellEnd"/>
            <w:r>
              <w:rPr>
                <w:sz w:val="18"/>
                <w:szCs w:val="18"/>
              </w:rPr>
              <w:t xml:space="preserve"> Yang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Huijuan</w:t>
            </w:r>
            <w:proofErr w:type="spellEnd"/>
            <w:r>
              <w:rPr>
                <w:sz w:val="18"/>
                <w:szCs w:val="18"/>
              </w:rPr>
              <w:t xml:space="preserve"> Zhang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Lei Huang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Dayong</w:t>
            </w:r>
            <w:proofErr w:type="spellEnd"/>
            <w:r>
              <w:rPr>
                <w:sz w:val="18"/>
                <w:szCs w:val="18"/>
              </w:rPr>
              <w:t xml:space="preserve"> Li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Fengming</w:t>
            </w:r>
            <w:proofErr w:type="spellEnd"/>
            <w:r>
              <w:rPr>
                <w:sz w:val="18"/>
                <w:szCs w:val="18"/>
              </w:rPr>
              <w:t xml:space="preserve"> Song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(2017)7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doi:10.1038/srep41037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1-17</w:t>
            </w:r>
          </w:p>
        </w:tc>
      </w:tr>
      <w:tr w:rsidR="00561717">
        <w:trPr>
          <w:trHeight w:val="807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variation of rice blast resistance gene </w:t>
            </w:r>
            <w:r>
              <w:rPr>
                <w:i/>
                <w:sz w:val="18"/>
                <w:szCs w:val="18"/>
              </w:rPr>
              <w:t>Pi-d2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Genetics and molecular research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Minghui</w:t>
            </w:r>
            <w:proofErr w:type="spellEnd"/>
            <w:r>
              <w:rPr>
                <w:sz w:val="18"/>
                <w:szCs w:val="18"/>
              </w:rPr>
              <w:t xml:space="preserve"> Xu</w:t>
            </w:r>
            <w:r>
              <w:rPr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Jinbin</w:t>
            </w:r>
            <w:proofErr w:type="spellEnd"/>
            <w:r>
              <w:rPr>
                <w:sz w:val="18"/>
                <w:szCs w:val="18"/>
              </w:rPr>
              <w:t xml:space="preserve"> Li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J.B. Li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 Y.D. Sun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 H. Liu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Y.Y. Wang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 Y.L. Jia 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 M.H. Xu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14(1)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doi:10.4238/2015.February</w:t>
            </w:r>
            <w:proofErr w:type="gramEnd"/>
            <w:r>
              <w:rPr>
                <w:sz w:val="18"/>
                <w:szCs w:val="18"/>
              </w:rPr>
              <w:t>.13.2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1235-1249</w:t>
            </w:r>
          </w:p>
        </w:tc>
      </w:tr>
      <w:tr w:rsidR="00561717">
        <w:trPr>
          <w:trHeight w:val="74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云南地方稻种抗稻瘟病基因</w:t>
            </w:r>
            <w:r>
              <w:rPr>
                <w:i/>
                <w:sz w:val="18"/>
                <w:szCs w:val="18"/>
              </w:rPr>
              <w:t>Pi-ta</w:t>
            </w:r>
            <w:r>
              <w:rPr>
                <w:sz w:val="18"/>
                <w:szCs w:val="18"/>
              </w:rPr>
              <w:t>和</w:t>
            </w:r>
            <w:r>
              <w:rPr>
                <w:i/>
                <w:sz w:val="18"/>
                <w:szCs w:val="18"/>
              </w:rPr>
              <w:t>Pi-b</w:t>
            </w:r>
            <w:r>
              <w:rPr>
                <w:sz w:val="18"/>
                <w:szCs w:val="18"/>
              </w:rPr>
              <w:t>的鉴定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中国水稻科学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李进斌，王甜，许明辉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26(5)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593-599</w:t>
            </w:r>
          </w:p>
        </w:tc>
      </w:tr>
      <w:tr w:rsidR="00561717">
        <w:trPr>
          <w:trHeight w:val="969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Genetic variation and evolution of the </w:t>
            </w:r>
            <w:r>
              <w:rPr>
                <w:i/>
                <w:sz w:val="18"/>
                <w:szCs w:val="18"/>
              </w:rPr>
              <w:t>Pit</w:t>
            </w:r>
            <w:r>
              <w:rPr>
                <w:sz w:val="18"/>
                <w:szCs w:val="18"/>
              </w:rPr>
              <w:t xml:space="preserve"> blast resistance locus in rice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Genetic Resources and Crop Evolution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Minghui</w:t>
            </w:r>
            <w:proofErr w:type="spellEnd"/>
            <w:r>
              <w:rPr>
                <w:sz w:val="18"/>
                <w:szCs w:val="18"/>
              </w:rPr>
              <w:t xml:space="preserve"> Xu</w:t>
            </w:r>
            <w:r>
              <w:rPr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Jinbin</w:t>
            </w:r>
            <w:proofErr w:type="spellEnd"/>
            <w:r>
              <w:rPr>
                <w:sz w:val="18"/>
                <w:szCs w:val="18"/>
              </w:rPr>
              <w:t xml:space="preserve"> Li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Jinbin</w:t>
            </w:r>
            <w:proofErr w:type="spellEnd"/>
            <w:r>
              <w:rPr>
                <w:sz w:val="18"/>
                <w:szCs w:val="18"/>
              </w:rPr>
              <w:t xml:space="preserve"> Li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Yiding</w:t>
            </w:r>
            <w:proofErr w:type="spellEnd"/>
            <w:r>
              <w:rPr>
                <w:sz w:val="18"/>
                <w:szCs w:val="18"/>
              </w:rPr>
              <w:t xml:space="preserve"> Sun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Hui Liu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Yanyan</w:t>
            </w:r>
            <w:proofErr w:type="spellEnd"/>
            <w:r>
              <w:rPr>
                <w:sz w:val="18"/>
                <w:szCs w:val="18"/>
              </w:rPr>
              <w:t xml:space="preserve"> Wang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Yulin</w:t>
            </w:r>
            <w:proofErr w:type="spellEnd"/>
            <w:r>
              <w:rPr>
                <w:sz w:val="18"/>
                <w:szCs w:val="18"/>
              </w:rPr>
              <w:t xml:space="preserve"> Jia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Minghui</w:t>
            </w:r>
            <w:proofErr w:type="spellEnd"/>
            <w:r>
              <w:rPr>
                <w:sz w:val="18"/>
                <w:szCs w:val="18"/>
              </w:rPr>
              <w:t xml:space="preserve"> Xu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(2014)61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doi:10.1007/s10722-013-0051-8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473-489</w:t>
            </w:r>
          </w:p>
        </w:tc>
      </w:tr>
      <w:tr w:rsidR="00561717">
        <w:trPr>
          <w:trHeight w:val="59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三个外源抗稻瘟病基因聚合与抗性研究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西南农业学报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李进斌，姚春馨，许明辉，李成云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20(1)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49-52</w:t>
            </w:r>
          </w:p>
        </w:tc>
      </w:tr>
      <w:tr w:rsidR="00561717">
        <w:trPr>
          <w:trHeight w:val="819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转溶菌酶基因水稻稻瘟病抗谱分析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中国农业科学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唐祚舜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许明辉，李成云，李进斌，谭学林，田文忠，唐祚舜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36(4)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387-392</w:t>
            </w:r>
          </w:p>
        </w:tc>
      </w:tr>
      <w:tr w:rsidR="00561717">
        <w:trPr>
          <w:trHeight w:val="430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Molecular analysis of five rice blast resistant genes in landraces from Myanmar and Laos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Genetic Resources: Characterization and Utilization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Minghui</w:t>
            </w:r>
            <w:proofErr w:type="spellEnd"/>
            <w:r>
              <w:rPr>
                <w:sz w:val="18"/>
                <w:szCs w:val="18"/>
              </w:rPr>
              <w:t xml:space="preserve"> Xu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pacing w:val="8"/>
                <w:sz w:val="18"/>
                <w:szCs w:val="18"/>
                <w:shd w:val="clear" w:color="auto" w:fill="F6F8FA"/>
              </w:rPr>
              <w:t xml:space="preserve"> </w:t>
            </w:r>
            <w:proofErr w:type="spellStart"/>
            <w:r>
              <w:rPr>
                <w:kern w:val="0"/>
                <w:sz w:val="18"/>
                <w:szCs w:val="18"/>
              </w:rPr>
              <w:t>Jiqiong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 Ma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马继琼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Jiqiong</w:t>
            </w:r>
            <w:proofErr w:type="spellEnd"/>
            <w:r>
              <w:rPr>
                <w:sz w:val="18"/>
                <w:szCs w:val="18"/>
              </w:rPr>
              <w:t xml:space="preserve"> Ma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Yiding</w:t>
            </w:r>
            <w:proofErr w:type="spellEnd"/>
            <w:r>
              <w:rPr>
                <w:sz w:val="18"/>
                <w:szCs w:val="18"/>
              </w:rPr>
              <w:t xml:space="preserve"> Sun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Yi Yang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Cuifeng</w:t>
            </w:r>
            <w:proofErr w:type="spellEnd"/>
            <w:r>
              <w:rPr>
                <w:sz w:val="18"/>
                <w:szCs w:val="18"/>
              </w:rPr>
              <w:t xml:space="preserve"> Tang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 xml:space="preserve">Xinxiang A </w:t>
            </w:r>
            <w:r>
              <w:rPr>
                <w:sz w:val="18"/>
                <w:szCs w:val="18"/>
              </w:rPr>
              <w:t>，</w:t>
            </w:r>
            <w:proofErr w:type="spellStart"/>
            <w:r>
              <w:rPr>
                <w:sz w:val="18"/>
                <w:szCs w:val="18"/>
              </w:rPr>
              <w:t>Minghui</w:t>
            </w:r>
            <w:proofErr w:type="spellEnd"/>
            <w:r>
              <w:rPr>
                <w:sz w:val="18"/>
                <w:szCs w:val="18"/>
              </w:rPr>
              <w:t xml:space="preserve"> Xu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18(4)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doi</w:t>
            </w:r>
            <w:proofErr w:type="spellEnd"/>
            <w:r>
              <w:rPr>
                <w:sz w:val="18"/>
                <w:szCs w:val="18"/>
              </w:rPr>
              <w:t xml:space="preserve">: 10.1017/S14 792 62120000271 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287-293</w:t>
            </w:r>
          </w:p>
        </w:tc>
      </w:tr>
      <w:tr w:rsidR="00561717">
        <w:trPr>
          <w:trHeight w:val="690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稻瘟病抗性基因</w:t>
            </w:r>
            <w:r>
              <w:rPr>
                <w:i/>
                <w:sz w:val="18"/>
                <w:szCs w:val="18"/>
              </w:rPr>
              <w:t>Pita</w:t>
            </w:r>
            <w:r>
              <w:rPr>
                <w:sz w:val="18"/>
                <w:szCs w:val="18"/>
              </w:rPr>
              <w:t>在中日韩粳稻中的分布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马继琼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马继琼，孙一丁，杨奕，李进斌，许明辉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18(2)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459-465</w:t>
            </w:r>
          </w:p>
        </w:tc>
      </w:tr>
      <w:tr w:rsidR="00561717">
        <w:trPr>
          <w:trHeight w:val="836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适用于云南粳稻种植区的稻瘟病抗性基因分析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马继琼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马继琼，孙一丁，杨奕，李进斌，许明辉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021,19(05)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556-1568</w:t>
            </w:r>
          </w:p>
        </w:tc>
      </w:tr>
      <w:tr w:rsidR="00561717">
        <w:trPr>
          <w:trHeight w:val="836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水稻抗稻瘟病基因</w:t>
            </w:r>
            <w:r>
              <w:rPr>
                <w:i/>
                <w:sz w:val="18"/>
                <w:szCs w:val="18"/>
              </w:rPr>
              <w:t>Brs-d1</w:t>
            </w:r>
            <w:r>
              <w:rPr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SNP</w:t>
            </w:r>
            <w:r>
              <w:rPr>
                <w:sz w:val="18"/>
                <w:szCs w:val="18"/>
              </w:rPr>
              <w:t>区域在地方品种中的变异分析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刘畅媛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刘畅媛，孙一丁，马继琼，杨奕，汤翠凤，阿新祥，郭怡卿，许明辉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(0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097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kern w:val="0"/>
                <w:sz w:val="18"/>
                <w:szCs w:val="18"/>
              </w:rPr>
              <w:t>2102</w:t>
            </w:r>
          </w:p>
        </w:tc>
      </w:tr>
      <w:tr w:rsidR="00561717">
        <w:trPr>
          <w:trHeight w:val="831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中国部分水稻品种</w:t>
            </w:r>
            <w:r>
              <w:rPr>
                <w:i/>
                <w:sz w:val="18"/>
                <w:szCs w:val="18"/>
              </w:rPr>
              <w:t>Bsr-d1</w:t>
            </w:r>
            <w:r>
              <w:rPr>
                <w:sz w:val="18"/>
                <w:szCs w:val="18"/>
              </w:rPr>
              <w:t>启动子稻瘟病持久抗性位点序列分析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刘畅媛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刘畅媛，孙一丁，马继琼，杨奕，郭怡卿，许明辉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18(13)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4331-4337</w:t>
            </w:r>
          </w:p>
        </w:tc>
      </w:tr>
      <w:tr w:rsidR="00561717">
        <w:trPr>
          <w:trHeight w:val="685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个稻瘟病抗性基因在云南水稻育种中的利用分析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孙一丁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孙一丁，马继琼，杨奕，李进斌，许明辉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16(6)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1844-1854</w:t>
            </w:r>
          </w:p>
        </w:tc>
      </w:tr>
      <w:tr w:rsidR="00561717">
        <w:trPr>
          <w:trHeight w:val="885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贵州地方水稻品种抗稻瘟病基因</w:t>
            </w:r>
            <w:r>
              <w:rPr>
                <w:i/>
                <w:sz w:val="18"/>
                <w:szCs w:val="18"/>
              </w:rPr>
              <w:t>Pita</w:t>
            </w:r>
            <w:r>
              <w:rPr>
                <w:sz w:val="18"/>
                <w:szCs w:val="18"/>
              </w:rPr>
              <w:t>功能区段序列变异分析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杨奕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杨奕，马继琼，孙一丁，许明辉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16(13)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4129-4137</w:t>
            </w:r>
          </w:p>
        </w:tc>
      </w:tr>
      <w:tr w:rsidR="00561717">
        <w:trPr>
          <w:trHeight w:val="782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云南地方水稻品种抗稻瘟病基因</w:t>
            </w:r>
            <w:r>
              <w:rPr>
                <w:i/>
                <w:sz w:val="18"/>
                <w:szCs w:val="18"/>
              </w:rPr>
              <w:t>Pita</w:t>
            </w:r>
            <w:r>
              <w:rPr>
                <w:sz w:val="18"/>
                <w:szCs w:val="18"/>
              </w:rPr>
              <w:t>功能区段序列变异分析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中国水稻科学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马继琼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马继琼，杨奕，孙一丁，王炎炎，许明辉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30(3)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265-272</w:t>
            </w:r>
          </w:p>
        </w:tc>
      </w:tr>
      <w:tr w:rsidR="00561717">
        <w:trPr>
          <w:trHeight w:val="74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云南地方稻种抗稻瘟病基因</w:t>
            </w:r>
            <w:r>
              <w:rPr>
                <w:i/>
                <w:sz w:val="18"/>
                <w:szCs w:val="18"/>
              </w:rPr>
              <w:t>Pi-d3</w:t>
            </w:r>
            <w:r>
              <w:rPr>
                <w:sz w:val="18"/>
                <w:szCs w:val="18"/>
              </w:rPr>
              <w:t>序列变异分析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中国水稻科学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杨奕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杨奕，孙一丁，马继琼，王炎炎，许明辉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30(1)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17-26</w:t>
            </w:r>
          </w:p>
        </w:tc>
      </w:tr>
      <w:tr w:rsidR="00561717">
        <w:trPr>
          <w:trHeight w:val="789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水稻过氧化物酶基因</w:t>
            </w:r>
            <w:r>
              <w:rPr>
                <w:i/>
                <w:sz w:val="18"/>
                <w:szCs w:val="18"/>
              </w:rPr>
              <w:t>OsPOX1</w:t>
            </w:r>
            <w:r>
              <w:rPr>
                <w:sz w:val="18"/>
                <w:szCs w:val="18"/>
              </w:rPr>
              <w:t>遗传变异分析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李程鹏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李程鹏，孙一丁，刘辉，曾千春，王炎炎，马继琼，许明辉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13(6)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1233-1238</w:t>
            </w:r>
          </w:p>
        </w:tc>
      </w:tr>
      <w:tr w:rsidR="00561717">
        <w:trPr>
          <w:trHeight w:val="957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利用与抗稻瘟病基因</w:t>
            </w:r>
            <w:r>
              <w:rPr>
                <w:i/>
                <w:sz w:val="18"/>
                <w:szCs w:val="18"/>
              </w:rPr>
              <w:t>Pi1</w:t>
            </w:r>
            <w:r>
              <w:rPr>
                <w:sz w:val="18"/>
                <w:szCs w:val="18"/>
              </w:rPr>
              <w:t>连锁的</w:t>
            </w:r>
            <w:r>
              <w:rPr>
                <w:sz w:val="18"/>
                <w:szCs w:val="18"/>
              </w:rPr>
              <w:t>MRG4766</w:t>
            </w:r>
            <w:r>
              <w:rPr>
                <w:sz w:val="18"/>
                <w:szCs w:val="18"/>
              </w:rPr>
              <w:t>标记鉴定</w:t>
            </w:r>
            <w:r>
              <w:rPr>
                <w:sz w:val="18"/>
                <w:szCs w:val="18"/>
              </w:rPr>
              <w:t>173</w:t>
            </w:r>
            <w:r>
              <w:rPr>
                <w:sz w:val="18"/>
                <w:szCs w:val="18"/>
              </w:rPr>
              <w:t>份云南地方稻种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分子植物育种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李进斌，李鼎，孙一丁，许明辉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10(1)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73-79</w:t>
            </w:r>
          </w:p>
        </w:tc>
      </w:tr>
      <w:tr w:rsidR="00561717">
        <w:trPr>
          <w:trHeight w:val="931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利用</w:t>
            </w:r>
            <w:r>
              <w:rPr>
                <w:sz w:val="18"/>
                <w:szCs w:val="18"/>
              </w:rPr>
              <w:t>SSR</w:t>
            </w:r>
            <w:r>
              <w:rPr>
                <w:sz w:val="18"/>
                <w:szCs w:val="18"/>
              </w:rPr>
              <w:t>分子标记检测云南地方稻种抗稻瘟病基因</w:t>
            </w:r>
            <w:r>
              <w:rPr>
                <w:i/>
                <w:sz w:val="18"/>
                <w:szCs w:val="18"/>
              </w:rPr>
              <w:t>Pi-ta2</w:t>
            </w:r>
            <w:r>
              <w:rPr>
                <w:sz w:val="18"/>
                <w:szCs w:val="18"/>
              </w:rPr>
              <w:t>的研究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中国农业科技导报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李进斌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李进斌，李鼎，孙一丁，张庆，许明辉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14(1)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43-4</w:t>
            </w:r>
            <w:r>
              <w:rPr>
                <w:sz w:val="18"/>
                <w:szCs w:val="18"/>
                <w:shd w:val="clear" w:color="auto" w:fill="FFFFFF"/>
              </w:rPr>
              <w:t>8</w:t>
            </w:r>
          </w:p>
        </w:tc>
      </w:tr>
      <w:tr w:rsidR="00561717">
        <w:trPr>
          <w:trHeight w:val="782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云南地方稻种抗稻瘟病基因</w:t>
            </w:r>
            <w:r>
              <w:rPr>
                <w:i/>
                <w:sz w:val="18"/>
                <w:szCs w:val="18"/>
              </w:rPr>
              <w:t>Pi-d</w:t>
            </w:r>
            <w:r>
              <w:rPr>
                <w:sz w:val="18"/>
                <w:szCs w:val="18"/>
              </w:rPr>
              <w:t>(t)</w:t>
            </w:r>
            <w:r>
              <w:rPr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SSR</w:t>
            </w:r>
            <w:r>
              <w:rPr>
                <w:sz w:val="18"/>
                <w:szCs w:val="18"/>
              </w:rPr>
              <w:t>检测及鉴定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西南农业学报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李鼎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李鼎，许明辉，姚春馨，隆四清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21(6)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1583-1586</w:t>
            </w:r>
          </w:p>
        </w:tc>
      </w:tr>
      <w:tr w:rsidR="00561717">
        <w:trPr>
          <w:trHeight w:val="84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云南生态条件下基因枪法转溶菌酶基因水稻潜在变异性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生态学杂志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姚春馨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姚春馨，许明辉，田文忠，唐祚舜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26(2)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209-212</w:t>
            </w:r>
          </w:p>
        </w:tc>
      </w:tr>
      <w:tr w:rsidR="00561717">
        <w:trPr>
          <w:trHeight w:val="807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转几丁质酶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葡聚糖酶双价基因水稻稻米毒理试验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中国粮油学报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姚春馨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姚春馨，许明辉，李进斌，谭学林，田文忠，唐祚舜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22(4)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18-23</w:t>
            </w:r>
          </w:p>
        </w:tc>
      </w:tr>
      <w:tr w:rsidR="00561717">
        <w:trPr>
          <w:trHeight w:val="781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转溶菌酶基因水稻稻米毒理及致畸作用试验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西南农业学报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姚春馨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姚春馨，许明辉，李进斌，谭学林，田文忠，唐祚舜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（增刊）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103-110</w:t>
            </w:r>
          </w:p>
        </w:tc>
      </w:tr>
      <w:tr w:rsidR="00561717">
        <w:trPr>
          <w:trHeight w:val="89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</w:t>
            </w:r>
            <w:r>
              <w:rPr>
                <w:sz w:val="18"/>
                <w:szCs w:val="18"/>
              </w:rPr>
              <w:t>NPT-Ⅱ</w:t>
            </w:r>
            <w:r>
              <w:rPr>
                <w:sz w:val="18"/>
                <w:szCs w:val="18"/>
              </w:rPr>
              <w:t>基因筛选携带溶菌酶转基因水稻花粉植株初探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全国作物细胞工程与分子技术育种学术研讨会论文集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许明辉，赵丰萍，刘薇，杨敏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325-328</w:t>
            </w:r>
          </w:p>
        </w:tc>
      </w:tr>
      <w:tr w:rsidR="00561717">
        <w:trPr>
          <w:trHeight w:val="882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抗生素</w:t>
            </w:r>
            <w:r>
              <w:rPr>
                <w:sz w:val="18"/>
                <w:szCs w:val="18"/>
              </w:rPr>
              <w:t>G418</w:t>
            </w:r>
            <w:r>
              <w:rPr>
                <w:sz w:val="18"/>
                <w:szCs w:val="18"/>
              </w:rPr>
              <w:t>胁迫条件下转基因水稻种子发芽特性及应用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遗传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许明辉，唐祚舜，赵丰萍，田文忠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25(1)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45-48</w:t>
            </w:r>
          </w:p>
        </w:tc>
      </w:tr>
      <w:tr w:rsidR="00561717">
        <w:trPr>
          <w:trHeight w:val="796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外源溶菌酶基因在水稻杂交后代中的遗传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云南农业大学学报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李亚莉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李亚莉，许明辉，杨德，杨晓曦，赵丰萍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19(2)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128-130+134</w:t>
            </w:r>
          </w:p>
        </w:tc>
      </w:tr>
      <w:tr w:rsidR="00561717">
        <w:trPr>
          <w:trHeight w:val="1474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抗稻瘟病种质资源—从表型到</w:t>
            </w:r>
          </w:p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云南科技出版社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许明辉，孙一丁，马继琼，李进斌，杨奕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5 </w:t>
            </w:r>
            <w:r>
              <w:rPr>
                <w:sz w:val="18"/>
                <w:szCs w:val="18"/>
              </w:rPr>
              <w:t>月第一版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17" w:rsidRDefault="003A35E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1-383</w:t>
            </w:r>
          </w:p>
        </w:tc>
      </w:tr>
    </w:tbl>
    <w:p w:rsidR="00561717" w:rsidRDefault="00561717"/>
    <w:p w:rsidR="00561717" w:rsidRDefault="003A3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主要完成单位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1850"/>
        <w:gridCol w:w="6075"/>
      </w:tblGrid>
      <w:tr w:rsidR="00561717">
        <w:tc>
          <w:tcPr>
            <w:tcW w:w="928" w:type="dxa"/>
          </w:tcPr>
          <w:p w:rsidR="00561717" w:rsidRDefault="003A35E4">
            <w:r>
              <w:t>排序</w:t>
            </w:r>
          </w:p>
        </w:tc>
        <w:tc>
          <w:tcPr>
            <w:tcW w:w="1850" w:type="dxa"/>
          </w:tcPr>
          <w:p w:rsidR="00561717" w:rsidRDefault="003A35E4">
            <w:r>
              <w:t xml:space="preserve"> </w:t>
            </w:r>
            <w:r>
              <w:t>完成单位名称</w:t>
            </w:r>
          </w:p>
        </w:tc>
        <w:tc>
          <w:tcPr>
            <w:tcW w:w="6075" w:type="dxa"/>
          </w:tcPr>
          <w:p w:rsidR="00561717" w:rsidRDefault="003A35E4">
            <w:r>
              <w:t>对本项目的贡献</w:t>
            </w:r>
          </w:p>
        </w:tc>
      </w:tr>
      <w:tr w:rsidR="00561717">
        <w:tc>
          <w:tcPr>
            <w:tcW w:w="928" w:type="dxa"/>
          </w:tcPr>
          <w:p w:rsidR="00561717" w:rsidRDefault="003A35E4">
            <w:r>
              <w:t xml:space="preserve">1 </w:t>
            </w:r>
          </w:p>
        </w:tc>
        <w:tc>
          <w:tcPr>
            <w:tcW w:w="1850" w:type="dxa"/>
          </w:tcPr>
          <w:p w:rsidR="00561717" w:rsidRDefault="003A35E4">
            <w:r>
              <w:t>云南省农业科学院生物技术与种质资源研究所</w:t>
            </w:r>
          </w:p>
        </w:tc>
        <w:tc>
          <w:tcPr>
            <w:tcW w:w="6075" w:type="dxa"/>
          </w:tcPr>
          <w:p w:rsidR="00561717" w:rsidRDefault="003A35E4">
            <w:r>
              <w:t>（</w:t>
            </w:r>
            <w:r>
              <w:t>1</w:t>
            </w:r>
            <w:r>
              <w:t>）对国内外来源的</w:t>
            </w:r>
            <w:r>
              <w:t xml:space="preserve"> 2971 </w:t>
            </w:r>
            <w:r>
              <w:t>份粳稻品种</w:t>
            </w:r>
            <w:r>
              <w:t>(</w:t>
            </w:r>
            <w:r>
              <w:t>系</w:t>
            </w:r>
            <w:r>
              <w:t>)</w:t>
            </w:r>
            <w:r>
              <w:t>稻瘟病抗性进行了连续</w:t>
            </w:r>
            <w:r>
              <w:t xml:space="preserve"> 3 </w:t>
            </w:r>
            <w:r>
              <w:t>年田间自然诱发鉴定，筛选鉴定抗稻瘟病新种质</w:t>
            </w:r>
            <w:r>
              <w:t>37</w:t>
            </w:r>
            <w:r>
              <w:t>份。</w:t>
            </w:r>
          </w:p>
          <w:p w:rsidR="00561717" w:rsidRDefault="003A35E4">
            <w:pPr>
              <w:rPr>
                <w:rFonts w:ascii="宋体"/>
                <w:szCs w:val="21"/>
              </w:rPr>
            </w:pPr>
            <w:r>
              <w:t>（</w:t>
            </w:r>
            <w:r>
              <w:t>2</w:t>
            </w:r>
            <w:r>
              <w:t>）明确了云南抗稻瘟病基因在</w:t>
            </w:r>
            <w:r>
              <w:t xml:space="preserve"> 1127 </w:t>
            </w:r>
            <w:r>
              <w:t>份种质资源中的分布规</w:t>
            </w:r>
            <w:r>
              <w:rPr>
                <w:rFonts w:ascii="宋体" w:hint="eastAsia"/>
                <w:szCs w:val="21"/>
              </w:rPr>
              <w:t>律，筛选鉴定抗稻瘟病基因Brs-d1新种质14份，筛选鉴定Pid2等位基因2个。</w:t>
            </w:r>
          </w:p>
          <w:p w:rsidR="00561717" w:rsidRDefault="003A35E4">
            <w:r>
              <w:t>（</w:t>
            </w:r>
            <w:r>
              <w:t>3</w:t>
            </w:r>
            <w:r>
              <w:t>）验证溶菌酶等</w:t>
            </w:r>
            <w:r>
              <w:t xml:space="preserve"> 3 </w:t>
            </w:r>
            <w:proofErr w:type="gramStart"/>
            <w:r>
              <w:t>个</w:t>
            </w:r>
            <w:proofErr w:type="gramEnd"/>
            <w:r>
              <w:t>基因抗稻瘟病功能。</w:t>
            </w:r>
          </w:p>
          <w:p w:rsidR="00561717" w:rsidRDefault="003A35E4">
            <w:r>
              <w:t>（</w:t>
            </w:r>
            <w:r>
              <w:t>4</w:t>
            </w:r>
            <w:r>
              <w:t>）新创制聚合</w:t>
            </w:r>
            <w:r>
              <w:t xml:space="preserve"> </w:t>
            </w:r>
            <w:proofErr w:type="spellStart"/>
            <w:r>
              <w:t>Pib</w:t>
            </w:r>
            <w:proofErr w:type="spellEnd"/>
            <w:r>
              <w:t>、</w:t>
            </w:r>
            <w:proofErr w:type="spellStart"/>
            <w:r>
              <w:t>Pikh</w:t>
            </w:r>
            <w:proofErr w:type="spellEnd"/>
            <w:r>
              <w:t>、</w:t>
            </w:r>
            <w:r>
              <w:t>Pi5</w:t>
            </w:r>
            <w:r>
              <w:t>、</w:t>
            </w:r>
            <w:r>
              <w:t>Pi9</w:t>
            </w:r>
            <w:r>
              <w:t>、</w:t>
            </w:r>
            <w:r>
              <w:t xml:space="preserve">Pita </w:t>
            </w:r>
            <w:r>
              <w:t>等</w:t>
            </w:r>
            <w:r>
              <w:t xml:space="preserve"> 5 </w:t>
            </w:r>
            <w:proofErr w:type="gramStart"/>
            <w:r>
              <w:t>个</w:t>
            </w:r>
            <w:proofErr w:type="gramEnd"/>
            <w:r>
              <w:t>抗稻瘟病基因的种质</w:t>
            </w:r>
            <w:r>
              <w:t xml:space="preserve"> 10 </w:t>
            </w:r>
            <w:r>
              <w:t>份。</w:t>
            </w:r>
          </w:p>
          <w:p w:rsidR="00561717" w:rsidRDefault="003A35E4">
            <w:r>
              <w:t>（</w:t>
            </w:r>
            <w:r>
              <w:t>5</w:t>
            </w:r>
            <w:r>
              <w:t>）为省内外</w:t>
            </w:r>
            <w:r>
              <w:t xml:space="preserve"> 13</w:t>
            </w:r>
            <w:r>
              <w:t>家育种单位提供了新种质</w:t>
            </w:r>
            <w:r>
              <w:t xml:space="preserve"> 525 </w:t>
            </w:r>
            <w:r>
              <w:t>份次，联合企业开发优异地方品种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；获国家发明专利</w:t>
            </w:r>
            <w:r>
              <w:t xml:space="preserve"> 1 </w:t>
            </w:r>
            <w:r>
              <w:t>件，实用新型专利</w:t>
            </w:r>
            <w:r>
              <w:t xml:space="preserve"> 1 </w:t>
            </w:r>
            <w:r>
              <w:t>件</w:t>
            </w:r>
          </w:p>
        </w:tc>
      </w:tr>
      <w:tr w:rsidR="00561717">
        <w:tc>
          <w:tcPr>
            <w:tcW w:w="928" w:type="dxa"/>
          </w:tcPr>
          <w:p w:rsidR="00561717" w:rsidRDefault="003A35E4">
            <w:r>
              <w:t>2</w:t>
            </w:r>
          </w:p>
        </w:tc>
        <w:tc>
          <w:tcPr>
            <w:tcW w:w="1850" w:type="dxa"/>
          </w:tcPr>
          <w:p w:rsidR="00561717" w:rsidRDefault="003A35E4">
            <w:r>
              <w:t>云南省农业科学院农业环境资源</w:t>
            </w:r>
            <w:r>
              <w:lastRenderedPageBreak/>
              <w:t>研究所</w:t>
            </w:r>
          </w:p>
        </w:tc>
        <w:tc>
          <w:tcPr>
            <w:tcW w:w="6075" w:type="dxa"/>
          </w:tcPr>
          <w:p w:rsidR="00561717" w:rsidRDefault="003A35E4">
            <w:r>
              <w:lastRenderedPageBreak/>
              <w:t>完成稻种资源抗稻瘟病接种鉴定工作。取得国家发明专利</w:t>
            </w:r>
            <w:r>
              <w:t>“</w:t>
            </w:r>
            <w:r>
              <w:t>一种鉴定野生稻抗稻瘟病基因的方法</w:t>
            </w:r>
            <w:r>
              <w:t>”(ZL201310136697.0)</w:t>
            </w:r>
            <w:r>
              <w:t>，以第一作</w:t>
            </w:r>
            <w:r>
              <w:lastRenderedPageBreak/>
              <w:t>者发表论文</w:t>
            </w:r>
            <w:r>
              <w:t xml:space="preserve"> 6 </w:t>
            </w:r>
            <w:r>
              <w:t>篇。</w:t>
            </w:r>
          </w:p>
        </w:tc>
      </w:tr>
      <w:tr w:rsidR="00561717">
        <w:tc>
          <w:tcPr>
            <w:tcW w:w="928" w:type="dxa"/>
          </w:tcPr>
          <w:p w:rsidR="00561717" w:rsidRDefault="003A35E4">
            <w:r>
              <w:t>3</w:t>
            </w:r>
          </w:p>
        </w:tc>
        <w:tc>
          <w:tcPr>
            <w:tcW w:w="1850" w:type="dxa"/>
          </w:tcPr>
          <w:p w:rsidR="00561717" w:rsidRDefault="003A35E4">
            <w:r>
              <w:t>浙江大学</w:t>
            </w:r>
          </w:p>
        </w:tc>
        <w:tc>
          <w:tcPr>
            <w:tcW w:w="6075" w:type="dxa"/>
          </w:tcPr>
          <w:p w:rsidR="00561717" w:rsidRDefault="003A35E4">
            <w:r>
              <w:t>合作完成从稻瘟病菌中克隆了编码免疫诱导蛋白的基因</w:t>
            </w:r>
            <w:r>
              <w:t xml:space="preserve">MgSM1 </w:t>
            </w:r>
            <w:r>
              <w:t>，证明其可诱导稻瘟病、白叶枯病、纹枯病等系统抗性的工作。合作完成论文</w:t>
            </w:r>
            <w:r>
              <w:t xml:space="preserve"> 2 </w:t>
            </w:r>
            <w:r>
              <w:t>篇。</w:t>
            </w:r>
          </w:p>
        </w:tc>
      </w:tr>
      <w:tr w:rsidR="00561717">
        <w:tc>
          <w:tcPr>
            <w:tcW w:w="928" w:type="dxa"/>
          </w:tcPr>
          <w:p w:rsidR="00561717" w:rsidRDefault="003A35E4">
            <w:r>
              <w:t>4</w:t>
            </w:r>
          </w:p>
        </w:tc>
        <w:tc>
          <w:tcPr>
            <w:tcW w:w="1850" w:type="dxa"/>
          </w:tcPr>
          <w:p w:rsidR="00561717" w:rsidRDefault="003A35E4">
            <w:r>
              <w:t>云南农业大学</w:t>
            </w:r>
            <w:r>
              <w:t xml:space="preserve"> </w:t>
            </w:r>
          </w:p>
        </w:tc>
        <w:tc>
          <w:tcPr>
            <w:tcW w:w="6075" w:type="dxa"/>
          </w:tcPr>
          <w:p w:rsidR="00561717" w:rsidRDefault="003A35E4">
            <w:r>
              <w:t>合作完成</w:t>
            </w:r>
            <w:r>
              <w:t xml:space="preserve">T 4 </w:t>
            </w:r>
            <w:r>
              <w:t>噬菌体溶菌酶基因、菜豆几丁质酶和烟草</w:t>
            </w:r>
            <w:r>
              <w:t>β-1</w:t>
            </w:r>
            <w:r>
              <w:t>，</w:t>
            </w:r>
            <w:r>
              <w:t>3-</w:t>
            </w:r>
            <w:r>
              <w:t>葡聚糖酶串联基因</w:t>
            </w:r>
            <w:proofErr w:type="gramStart"/>
            <w:r>
              <w:t>导入滇型杂交水稻</w:t>
            </w:r>
            <w:proofErr w:type="gramEnd"/>
            <w:r>
              <w:t>恢复系的工作。</w:t>
            </w:r>
          </w:p>
        </w:tc>
      </w:tr>
    </w:tbl>
    <w:p w:rsidR="00561717" w:rsidRDefault="00561717">
      <w:pPr>
        <w:jc w:val="center"/>
        <w:rPr>
          <w:rFonts w:ascii="宋体"/>
          <w:b/>
          <w:bCs/>
          <w:sz w:val="32"/>
          <w:szCs w:val="32"/>
        </w:rPr>
      </w:pPr>
    </w:p>
    <w:p w:rsidR="00561717" w:rsidRDefault="003A35E4">
      <w:pPr>
        <w:jc w:val="left"/>
        <w:rPr>
          <w:rFonts w:ascii="宋体"/>
          <w:b/>
          <w:bCs/>
          <w:spacing w:val="100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五 </w:t>
      </w:r>
      <w:r>
        <w:rPr>
          <w:rFonts w:ascii="宋体"/>
          <w:b/>
          <w:bCs/>
          <w:sz w:val="28"/>
          <w:szCs w:val="28"/>
        </w:rPr>
        <w:t>主要完成人员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875"/>
        <w:gridCol w:w="900"/>
        <w:gridCol w:w="1138"/>
        <w:gridCol w:w="2700"/>
        <w:gridCol w:w="2682"/>
      </w:tblGrid>
      <w:tr w:rsidR="00561717"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序号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姓名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技术职称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文化程度(学位)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工作单位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对成果创造性贡献</w:t>
            </w:r>
          </w:p>
        </w:tc>
      </w:tr>
      <w:tr w:rsidR="00561717">
        <w:trPr>
          <w:trHeight w:val="400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许明辉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tabs>
                <w:tab w:val="left" w:pos="437"/>
              </w:tabs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项目主持人，负责项目的设计、分子鉴定与田间选育鉴定</w:t>
            </w:r>
          </w:p>
        </w:tc>
      </w:tr>
      <w:tr w:rsidR="00561717">
        <w:trPr>
          <w:trHeight w:val="400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杨雅云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完成</w:t>
            </w:r>
            <w:r>
              <w:rPr>
                <w:rFonts w:ascii="宋体" w:hint="eastAsia"/>
                <w:kern w:val="0"/>
                <w:szCs w:val="21"/>
              </w:rPr>
              <w:t>稻瘟病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菌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免疫诱导蛋白基因</w:t>
            </w:r>
            <w:r>
              <w:rPr>
                <w:rFonts w:ascii="宋体" w:hint="eastAsia"/>
                <w:i/>
                <w:iCs/>
                <w:kern w:val="0"/>
                <w:szCs w:val="21"/>
              </w:rPr>
              <w:t>MgSM1</w:t>
            </w:r>
            <w:r>
              <w:rPr>
                <w:rFonts w:ascii="宋体" w:hint="eastAsia"/>
                <w:kern w:val="0"/>
                <w:szCs w:val="21"/>
              </w:rPr>
              <w:t>的克隆</w:t>
            </w:r>
            <w:r>
              <w:rPr>
                <w:rFonts w:ascii="宋体" w:hint="eastAsia"/>
                <w:i/>
                <w:iCs/>
                <w:kern w:val="0"/>
                <w:szCs w:val="21"/>
              </w:rPr>
              <w:t>，</w:t>
            </w:r>
            <w:r>
              <w:rPr>
                <w:rFonts w:ascii="宋体" w:hint="eastAsia"/>
                <w:kern w:val="0"/>
                <w:szCs w:val="21"/>
              </w:rPr>
              <w:t>证明其可诱导水稻稻瘟病系统抗性的工作。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李进斌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云南省农业科学院农业环境资源研究所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主要完</w:t>
            </w:r>
            <w:r>
              <w:rPr>
                <w:rFonts w:ascii="宋体" w:hint="eastAsia"/>
                <w:color w:val="000000"/>
                <w:szCs w:val="21"/>
              </w:rPr>
              <w:t>成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稻种资源抗稻瘟病接种鉴定工作。获得</w:t>
            </w:r>
            <w:r>
              <w:rPr>
                <w:rFonts w:ascii="宋体" w:hint="eastAsia"/>
                <w:color w:val="000000"/>
                <w:szCs w:val="21"/>
              </w:rPr>
              <w:t>国家发明专利“一种鉴定野生稻抗稻瘟病基因的方法”(ZL201310136697.0)。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孙一丁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副研究员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Pid2基因的克隆转化，主要完成国家发明专利“一种抗稻</w:t>
            </w:r>
            <w:proofErr w:type="gramStart"/>
            <w:r>
              <w:rPr>
                <w:rFonts w:ascii="宋体" w:hint="eastAsia"/>
                <w:bCs/>
                <w:szCs w:val="21"/>
              </w:rPr>
              <w:t>瘟</w:t>
            </w:r>
            <w:proofErr w:type="gramEnd"/>
            <w:r>
              <w:rPr>
                <w:rFonts w:ascii="宋体" w:hint="eastAsia"/>
                <w:bCs/>
                <w:szCs w:val="21"/>
              </w:rPr>
              <w:t>水稻鉴定方法和基因的标记方法及其应用”（201711080527.X）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马继琼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副研究员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硕士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田间稻瘟病抗性的鉴定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杨  </w:t>
            </w:r>
            <w:proofErr w:type="gramStart"/>
            <w:r>
              <w:rPr>
                <w:rFonts w:ascii="宋体" w:hint="eastAsia"/>
                <w:bCs/>
                <w:szCs w:val="21"/>
              </w:rPr>
              <w:t>奕</w:t>
            </w:r>
            <w:proofErr w:type="gramEnd"/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tabs>
                <w:tab w:val="left" w:pos="437"/>
              </w:tabs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助理研究员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硕士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田间稻瘟病抗性鉴定和基因序列的分析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宋凤鸣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tabs>
                <w:tab w:val="left" w:pos="437"/>
              </w:tabs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教授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浙江大学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合作完成</w:t>
            </w:r>
            <w:r>
              <w:rPr>
                <w:rFonts w:ascii="宋体" w:hint="eastAsia"/>
                <w:kern w:val="0"/>
                <w:szCs w:val="21"/>
              </w:rPr>
              <w:t>稻瘟病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菌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免疫诱导蛋白基因</w:t>
            </w:r>
            <w:r>
              <w:rPr>
                <w:rFonts w:ascii="宋体" w:hint="eastAsia"/>
                <w:i/>
                <w:iCs/>
                <w:kern w:val="0"/>
                <w:szCs w:val="21"/>
              </w:rPr>
              <w:t>MgSM1</w:t>
            </w:r>
            <w:r>
              <w:rPr>
                <w:rFonts w:ascii="宋体" w:hint="eastAsia"/>
                <w:kern w:val="0"/>
                <w:szCs w:val="21"/>
              </w:rPr>
              <w:t>的克隆</w:t>
            </w:r>
            <w:r>
              <w:rPr>
                <w:rFonts w:ascii="宋体" w:hint="eastAsia"/>
                <w:i/>
                <w:iCs/>
                <w:kern w:val="0"/>
                <w:szCs w:val="21"/>
              </w:rPr>
              <w:t>，</w:t>
            </w:r>
            <w:r>
              <w:rPr>
                <w:rFonts w:ascii="宋体" w:hint="eastAsia"/>
                <w:kern w:val="0"/>
                <w:szCs w:val="21"/>
              </w:rPr>
              <w:t>证明其可诱导水稻稻瘟病系统抗性的工作。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谭亚玲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tabs>
                <w:tab w:val="left" w:pos="437"/>
              </w:tabs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副教授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博士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云南农业大学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合作完成溶菌酶基因、菜豆几丁质酶和烟草β-1，3-葡聚糖酶串联基因</w:t>
            </w:r>
            <w:proofErr w:type="gramStart"/>
            <w:r>
              <w:rPr>
                <w:rFonts w:ascii="宋体" w:hint="eastAsia"/>
                <w:szCs w:val="21"/>
              </w:rPr>
              <w:t>导入滇型杂交水稻</w:t>
            </w:r>
            <w:proofErr w:type="gramEnd"/>
            <w:r>
              <w:rPr>
                <w:rFonts w:ascii="宋体" w:hint="eastAsia"/>
                <w:szCs w:val="21"/>
              </w:rPr>
              <w:t>恢复系的工作</w:t>
            </w:r>
            <w:r>
              <w:rPr>
                <w:rFonts w:ascii="宋体" w:hint="eastAsia"/>
                <w:kern w:val="0"/>
                <w:szCs w:val="21"/>
              </w:rPr>
              <w:t>。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李成云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学士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云南农业大学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转基因材料</w:t>
            </w:r>
            <w:r>
              <w:rPr>
                <w:rFonts w:ascii="宋体" w:hint="eastAsia"/>
                <w:szCs w:val="21"/>
              </w:rPr>
              <w:t>稻瘟病抗性鉴</w:t>
            </w:r>
            <w:r>
              <w:rPr>
                <w:rFonts w:ascii="宋体" w:hint="eastAsia"/>
                <w:szCs w:val="21"/>
              </w:rPr>
              <w:lastRenderedPageBreak/>
              <w:t>定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10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王炎炎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助理研究员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硕士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云南省农业科学院国际农业研究所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参与部分鉴定工作，完成实用新型专利“植株支撑装置”（ZL 2017 2 0200126.2）的工作</w:t>
            </w:r>
          </w:p>
        </w:tc>
      </w:tr>
      <w:tr w:rsidR="00561717">
        <w:trPr>
          <w:trHeight w:val="375"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11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姚春馨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副研究员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硕士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云南省农业科学院生物技术与种质资源研究所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561717" w:rsidRDefault="003A35E4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转基因品系选育和安全性评价等工作</w:t>
            </w:r>
          </w:p>
        </w:tc>
      </w:tr>
    </w:tbl>
    <w:p w:rsidR="00561717" w:rsidRDefault="00561717"/>
    <w:sectPr w:rsidR="005617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AD1" w:rsidRDefault="00DA6AD1" w:rsidP="009D4890">
      <w:r>
        <w:separator/>
      </w:r>
    </w:p>
  </w:endnote>
  <w:endnote w:type="continuationSeparator" w:id="0">
    <w:p w:rsidR="00DA6AD1" w:rsidRDefault="00DA6AD1" w:rsidP="009D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AD1" w:rsidRDefault="00DA6AD1" w:rsidP="009D4890">
      <w:r>
        <w:separator/>
      </w:r>
    </w:p>
  </w:footnote>
  <w:footnote w:type="continuationSeparator" w:id="0">
    <w:p w:rsidR="00DA6AD1" w:rsidRDefault="00DA6AD1" w:rsidP="009D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17"/>
    <w:rsid w:val="003A35E4"/>
    <w:rsid w:val="00561717"/>
    <w:rsid w:val="006A0200"/>
    <w:rsid w:val="00884BE2"/>
    <w:rsid w:val="009D4890"/>
    <w:rsid w:val="00CB4A8C"/>
    <w:rsid w:val="00D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F66D70-C307-4B3D-A942-3702910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890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890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胡鹏</cp:lastModifiedBy>
  <cp:revision>2</cp:revision>
  <dcterms:created xsi:type="dcterms:W3CDTF">2023-03-24T07:23:00Z</dcterms:created>
  <dcterms:modified xsi:type="dcterms:W3CDTF">2023-03-24T07:23:00Z</dcterms:modified>
</cp:coreProperties>
</file>