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C49E7" w14:textId="77777777" w:rsidR="000A4449" w:rsidRDefault="00807A6A">
      <w:pPr>
        <w:adjustRightInd w:val="0"/>
        <w:snapToGrid w:val="0"/>
        <w:spacing w:line="500" w:lineRule="exact"/>
        <w:jc w:val="center"/>
        <w:rPr>
          <w:color w:val="000000"/>
          <w:kern w:val="0"/>
          <w:sz w:val="28"/>
          <w:szCs w:val="28"/>
        </w:rPr>
      </w:pPr>
      <w:bookmarkStart w:id="0" w:name="_GoBack"/>
      <w:bookmarkEnd w:id="0"/>
      <w:r>
        <w:rPr>
          <w:b/>
          <w:bCs/>
          <w:color w:val="000000"/>
          <w:sz w:val="32"/>
          <w:szCs w:val="32"/>
        </w:rPr>
        <w:t>华医科技奖公示</w:t>
      </w:r>
      <w:r>
        <w:rPr>
          <w:rFonts w:hint="eastAsia"/>
          <w:b/>
          <w:bCs/>
          <w:color w:val="000000"/>
          <w:sz w:val="32"/>
          <w:szCs w:val="32"/>
        </w:rPr>
        <w:t>内容</w:t>
      </w:r>
    </w:p>
    <w:p w14:paraId="04AABC29" w14:textId="77777777" w:rsidR="000A4449" w:rsidRDefault="00807A6A">
      <w:pPr>
        <w:numPr>
          <w:ilvl w:val="0"/>
          <w:numId w:val="1"/>
        </w:numPr>
        <w:adjustRightInd w:val="0"/>
        <w:snapToGrid w:val="0"/>
        <w:spacing w:beforeLines="50" w:before="156" w:line="360" w:lineRule="auto"/>
        <w:rPr>
          <w:color w:val="000000"/>
          <w:kern w:val="0"/>
          <w:sz w:val="24"/>
          <w:szCs w:val="24"/>
        </w:rPr>
      </w:pPr>
      <w:r>
        <w:rPr>
          <w:b/>
          <w:bCs/>
          <w:color w:val="000000"/>
          <w:kern w:val="0"/>
          <w:sz w:val="24"/>
          <w:szCs w:val="24"/>
        </w:rPr>
        <w:t>奖项类别：</w:t>
      </w:r>
      <w:r>
        <w:rPr>
          <w:rFonts w:hint="eastAsia"/>
          <w:color w:val="000000"/>
          <w:kern w:val="0"/>
          <w:sz w:val="24"/>
          <w:szCs w:val="24"/>
        </w:rPr>
        <w:t>科学技术奖</w:t>
      </w:r>
      <w:r>
        <w:rPr>
          <w:rFonts w:hint="eastAsia"/>
          <w:b/>
          <w:bCs/>
          <w:color w:val="000000"/>
          <w:kern w:val="0"/>
          <w:sz w:val="24"/>
          <w:szCs w:val="24"/>
        </w:rPr>
        <w:t>-</w:t>
      </w:r>
      <w:r>
        <w:rPr>
          <w:rFonts w:hint="eastAsia"/>
          <w:color w:val="000000"/>
          <w:kern w:val="0"/>
          <w:sz w:val="24"/>
          <w:szCs w:val="24"/>
        </w:rPr>
        <w:t>科技进步类</w:t>
      </w:r>
    </w:p>
    <w:p w14:paraId="0560FBAE" w14:textId="77777777" w:rsidR="000A4449" w:rsidRDefault="00807A6A">
      <w:pPr>
        <w:numPr>
          <w:ilvl w:val="0"/>
          <w:numId w:val="1"/>
        </w:numPr>
        <w:adjustRightInd w:val="0"/>
        <w:snapToGrid w:val="0"/>
        <w:spacing w:beforeLines="50" w:before="156" w:line="360" w:lineRule="auto"/>
        <w:rPr>
          <w:color w:val="000000"/>
          <w:kern w:val="0"/>
          <w:sz w:val="24"/>
          <w:szCs w:val="24"/>
        </w:rPr>
      </w:pPr>
      <w:r>
        <w:rPr>
          <w:b/>
          <w:bCs/>
          <w:color w:val="000000"/>
          <w:kern w:val="0"/>
          <w:sz w:val="24"/>
          <w:szCs w:val="24"/>
        </w:rPr>
        <w:t>项目名称：</w:t>
      </w:r>
      <w:r>
        <w:rPr>
          <w:rFonts w:hint="eastAsia"/>
          <w:color w:val="000000"/>
          <w:kern w:val="0"/>
          <w:sz w:val="24"/>
          <w:szCs w:val="24"/>
        </w:rPr>
        <w:t>肝衰竭诊治的技术创新与推广应用</w:t>
      </w:r>
    </w:p>
    <w:p w14:paraId="4EC0E585" w14:textId="77777777" w:rsidR="000A4449" w:rsidRDefault="00807A6A">
      <w:pPr>
        <w:numPr>
          <w:ilvl w:val="0"/>
          <w:numId w:val="1"/>
        </w:numPr>
        <w:adjustRightInd w:val="0"/>
        <w:snapToGrid w:val="0"/>
        <w:spacing w:beforeLines="50" w:before="156" w:line="360" w:lineRule="auto"/>
        <w:rPr>
          <w:b/>
          <w:bCs/>
          <w:color w:val="000000"/>
          <w:kern w:val="0"/>
          <w:sz w:val="24"/>
          <w:szCs w:val="24"/>
        </w:rPr>
      </w:pPr>
      <w:r>
        <w:rPr>
          <w:b/>
          <w:bCs/>
          <w:color w:val="000000"/>
          <w:kern w:val="0"/>
          <w:sz w:val="24"/>
          <w:szCs w:val="24"/>
        </w:rPr>
        <w:t>主要完成人（含排序）：</w:t>
      </w:r>
    </w:p>
    <w:p w14:paraId="6061F587"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李君，排名</w:t>
      </w:r>
      <w:r>
        <w:rPr>
          <w:rFonts w:ascii="宋体" w:hAnsi="宋体" w:cs="宋体" w:hint="eastAsia"/>
          <w:bCs/>
          <w:color w:val="000000" w:themeColor="text1"/>
          <w:sz w:val="24"/>
          <w:szCs w:val="24"/>
        </w:rPr>
        <w:t>1</w:t>
      </w:r>
      <w:r>
        <w:rPr>
          <w:rFonts w:ascii="宋体" w:hAnsi="宋体" w:cs="宋体" w:hint="eastAsia"/>
          <w:bCs/>
          <w:color w:val="000000" w:themeColor="text1"/>
          <w:sz w:val="24"/>
          <w:szCs w:val="24"/>
        </w:rPr>
        <w:t>，教授，浙江大学</w:t>
      </w:r>
    </w:p>
    <w:p w14:paraId="29151A61"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夏宁邵，排名</w:t>
      </w:r>
      <w:r>
        <w:rPr>
          <w:rFonts w:ascii="宋体" w:hAnsi="宋体" w:cs="宋体" w:hint="eastAsia"/>
          <w:bCs/>
          <w:color w:val="000000" w:themeColor="text1"/>
          <w:sz w:val="24"/>
          <w:szCs w:val="24"/>
        </w:rPr>
        <w:t>2</w:t>
      </w:r>
      <w:r>
        <w:rPr>
          <w:rFonts w:ascii="宋体" w:hAnsi="宋体" w:cs="宋体" w:hint="eastAsia"/>
          <w:bCs/>
          <w:color w:val="000000" w:themeColor="text1"/>
          <w:sz w:val="24"/>
          <w:szCs w:val="24"/>
        </w:rPr>
        <w:t>，教授，厦门大学</w:t>
      </w:r>
    </w:p>
    <w:p w14:paraId="29A1C904"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陈新，排名</w:t>
      </w:r>
      <w:r>
        <w:rPr>
          <w:rFonts w:ascii="宋体" w:hAnsi="宋体" w:cs="宋体" w:hint="eastAsia"/>
          <w:bCs/>
          <w:color w:val="000000" w:themeColor="text1"/>
          <w:sz w:val="24"/>
          <w:szCs w:val="24"/>
        </w:rPr>
        <w:t>3</w:t>
      </w:r>
      <w:r>
        <w:rPr>
          <w:rFonts w:ascii="宋体" w:hAnsi="宋体" w:cs="宋体" w:hint="eastAsia"/>
          <w:bCs/>
          <w:color w:val="000000" w:themeColor="text1"/>
          <w:sz w:val="24"/>
          <w:szCs w:val="24"/>
        </w:rPr>
        <w:t>，教授，浙江大学</w:t>
      </w:r>
    </w:p>
    <w:p w14:paraId="3EA966C2"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辛娇娇，排名</w:t>
      </w:r>
      <w:r>
        <w:rPr>
          <w:rFonts w:ascii="宋体" w:hAnsi="宋体" w:cs="宋体" w:hint="eastAsia"/>
          <w:bCs/>
          <w:color w:val="000000" w:themeColor="text1"/>
          <w:sz w:val="24"/>
          <w:szCs w:val="24"/>
        </w:rPr>
        <w:t>4</w:t>
      </w:r>
      <w:r>
        <w:rPr>
          <w:rFonts w:ascii="宋体" w:hAnsi="宋体" w:cs="宋体" w:hint="eastAsia"/>
          <w:bCs/>
          <w:color w:val="000000" w:themeColor="text1"/>
          <w:sz w:val="24"/>
          <w:szCs w:val="24"/>
        </w:rPr>
        <w:t>，实验师，浙江大学</w:t>
      </w:r>
    </w:p>
    <w:p w14:paraId="03D8052F"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石东燕，排名</w:t>
      </w:r>
      <w:r>
        <w:rPr>
          <w:rFonts w:ascii="宋体" w:hAnsi="宋体" w:cs="宋体" w:hint="eastAsia"/>
          <w:bCs/>
          <w:color w:val="000000" w:themeColor="text1"/>
          <w:sz w:val="24"/>
          <w:szCs w:val="24"/>
        </w:rPr>
        <w:t>5</w:t>
      </w:r>
      <w:r>
        <w:rPr>
          <w:rFonts w:ascii="宋体" w:hAnsi="宋体" w:cs="宋体" w:hint="eastAsia"/>
          <w:bCs/>
          <w:color w:val="000000" w:themeColor="text1"/>
          <w:sz w:val="24"/>
          <w:szCs w:val="24"/>
        </w:rPr>
        <w:t>，主管技师，浙江大学</w:t>
      </w:r>
    </w:p>
    <w:p w14:paraId="114B9459"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江静，排名</w:t>
      </w:r>
      <w:r>
        <w:rPr>
          <w:rFonts w:ascii="宋体" w:hAnsi="宋体" w:cs="宋体" w:hint="eastAsia"/>
          <w:bCs/>
          <w:color w:val="000000" w:themeColor="text1"/>
          <w:sz w:val="24"/>
          <w:szCs w:val="24"/>
        </w:rPr>
        <w:t>6</w:t>
      </w:r>
      <w:r>
        <w:rPr>
          <w:rFonts w:ascii="宋体" w:hAnsi="宋体" w:cs="宋体" w:hint="eastAsia"/>
          <w:bCs/>
          <w:color w:val="000000" w:themeColor="text1"/>
          <w:sz w:val="24"/>
          <w:szCs w:val="24"/>
        </w:rPr>
        <w:t>，主管技师，浙江大学</w:t>
      </w:r>
    </w:p>
    <w:p w14:paraId="1FF0D496"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程通，排名</w:t>
      </w:r>
      <w:r>
        <w:rPr>
          <w:rFonts w:ascii="宋体" w:hAnsi="宋体" w:cs="宋体" w:hint="eastAsia"/>
          <w:bCs/>
          <w:color w:val="000000" w:themeColor="text1"/>
          <w:sz w:val="24"/>
          <w:szCs w:val="24"/>
        </w:rPr>
        <w:t>7</w:t>
      </w:r>
      <w:r>
        <w:rPr>
          <w:rFonts w:ascii="宋体" w:hAnsi="宋体" w:cs="宋体" w:hint="eastAsia"/>
          <w:bCs/>
          <w:color w:val="000000" w:themeColor="text1"/>
          <w:sz w:val="24"/>
          <w:szCs w:val="24"/>
        </w:rPr>
        <w:t>，教授，厦门大学</w:t>
      </w:r>
    </w:p>
    <w:p w14:paraId="75183E54"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周倩，排名</w:t>
      </w:r>
      <w:r>
        <w:rPr>
          <w:rFonts w:ascii="宋体" w:hAnsi="宋体" w:cs="宋体" w:hint="eastAsia"/>
          <w:bCs/>
          <w:color w:val="000000" w:themeColor="text1"/>
          <w:sz w:val="24"/>
          <w:szCs w:val="24"/>
        </w:rPr>
        <w:t>8</w:t>
      </w:r>
      <w:r>
        <w:rPr>
          <w:rFonts w:ascii="宋体" w:hAnsi="宋体" w:cs="宋体" w:hint="eastAsia"/>
          <w:bCs/>
          <w:color w:val="000000" w:themeColor="text1"/>
          <w:sz w:val="24"/>
          <w:szCs w:val="24"/>
        </w:rPr>
        <w:t>，副主任医师，浙江大学</w:t>
      </w:r>
    </w:p>
    <w:p w14:paraId="3E1C136D"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袁伦志，排名</w:t>
      </w:r>
      <w:r>
        <w:rPr>
          <w:rFonts w:ascii="宋体" w:hAnsi="宋体" w:cs="宋体" w:hint="eastAsia"/>
          <w:bCs/>
          <w:color w:val="000000" w:themeColor="text1"/>
          <w:sz w:val="24"/>
          <w:szCs w:val="24"/>
        </w:rPr>
        <w:t>9</w:t>
      </w:r>
      <w:r>
        <w:rPr>
          <w:rFonts w:ascii="宋体" w:hAnsi="宋体" w:cs="宋体" w:hint="eastAsia"/>
          <w:bCs/>
          <w:color w:val="000000" w:themeColor="text1"/>
          <w:sz w:val="24"/>
          <w:szCs w:val="24"/>
        </w:rPr>
        <w:t>，副研究员，厦门大学</w:t>
      </w:r>
    </w:p>
    <w:p w14:paraId="000C91D2"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张丽媛，排名</w:t>
      </w:r>
      <w:r>
        <w:rPr>
          <w:rFonts w:ascii="宋体" w:hAnsi="宋体" w:cs="宋体" w:hint="eastAsia"/>
          <w:bCs/>
          <w:color w:val="000000" w:themeColor="text1"/>
          <w:sz w:val="24"/>
          <w:szCs w:val="24"/>
        </w:rPr>
        <w:t>10</w:t>
      </w:r>
      <w:r>
        <w:rPr>
          <w:rFonts w:ascii="宋体" w:hAnsi="宋体" w:cs="宋体" w:hint="eastAsia"/>
          <w:bCs/>
          <w:color w:val="000000" w:themeColor="text1"/>
          <w:sz w:val="24"/>
          <w:szCs w:val="24"/>
        </w:rPr>
        <w:t>，副主任医师，海南医科大学第二附属医院</w:t>
      </w:r>
    </w:p>
    <w:p w14:paraId="3E91DA96"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李江，排名</w:t>
      </w:r>
      <w:r>
        <w:rPr>
          <w:rFonts w:ascii="宋体" w:hAnsi="宋体" w:cs="宋体" w:hint="eastAsia"/>
          <w:bCs/>
          <w:color w:val="000000" w:themeColor="text1"/>
          <w:sz w:val="24"/>
          <w:szCs w:val="24"/>
        </w:rPr>
        <w:t>11</w:t>
      </w:r>
      <w:r>
        <w:rPr>
          <w:rFonts w:ascii="宋体" w:hAnsi="宋体" w:cs="宋体" w:hint="eastAsia"/>
          <w:bCs/>
          <w:color w:val="000000" w:themeColor="text1"/>
          <w:sz w:val="24"/>
          <w:szCs w:val="24"/>
        </w:rPr>
        <w:t>，主治医师，安徽医科大学第一附属医院</w:t>
      </w:r>
    </w:p>
    <w:p w14:paraId="1CE7A41A"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李佳琪，排名</w:t>
      </w:r>
      <w:r>
        <w:rPr>
          <w:rFonts w:ascii="宋体" w:hAnsi="宋体" w:cs="宋体" w:hint="eastAsia"/>
          <w:bCs/>
          <w:color w:val="000000" w:themeColor="text1"/>
          <w:sz w:val="24"/>
          <w:szCs w:val="24"/>
        </w:rPr>
        <w:t>12</w:t>
      </w:r>
      <w:r>
        <w:rPr>
          <w:rFonts w:ascii="宋体" w:hAnsi="宋体" w:cs="宋体" w:hint="eastAsia"/>
          <w:bCs/>
          <w:color w:val="000000" w:themeColor="text1"/>
          <w:sz w:val="24"/>
          <w:szCs w:val="24"/>
        </w:rPr>
        <w:t>，住院医师，浙江省人民医院</w:t>
      </w:r>
    </w:p>
    <w:p w14:paraId="4DE8B0F2"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李朋，排名</w:t>
      </w:r>
      <w:r>
        <w:rPr>
          <w:rFonts w:ascii="宋体" w:hAnsi="宋体" w:cs="宋体" w:hint="eastAsia"/>
          <w:bCs/>
          <w:color w:val="000000" w:themeColor="text1"/>
          <w:sz w:val="24"/>
          <w:szCs w:val="24"/>
        </w:rPr>
        <w:t>13</w:t>
      </w:r>
      <w:r>
        <w:rPr>
          <w:rFonts w:ascii="宋体" w:hAnsi="宋体" w:cs="宋体" w:hint="eastAsia"/>
          <w:bCs/>
          <w:color w:val="000000" w:themeColor="text1"/>
          <w:sz w:val="24"/>
          <w:szCs w:val="24"/>
        </w:rPr>
        <w:t>，主治医师，浙江大学</w:t>
      </w:r>
    </w:p>
    <w:p w14:paraId="066139DD" w14:textId="7850630C"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陈佳娴，排名</w:t>
      </w:r>
      <w:r>
        <w:rPr>
          <w:rFonts w:ascii="宋体" w:hAnsi="宋体" w:cs="宋体" w:hint="eastAsia"/>
          <w:bCs/>
          <w:color w:val="000000" w:themeColor="text1"/>
          <w:sz w:val="24"/>
          <w:szCs w:val="24"/>
        </w:rPr>
        <w:t>14</w:t>
      </w:r>
      <w:r>
        <w:rPr>
          <w:rFonts w:ascii="宋体" w:hAnsi="宋体" w:cs="宋体" w:hint="eastAsia"/>
          <w:bCs/>
          <w:color w:val="000000" w:themeColor="text1"/>
          <w:sz w:val="24"/>
          <w:szCs w:val="24"/>
        </w:rPr>
        <w:t>，医师，浙江大学</w:t>
      </w:r>
    </w:p>
    <w:p w14:paraId="59F81053"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姚恒，排名</w:t>
      </w:r>
      <w:r>
        <w:rPr>
          <w:rFonts w:ascii="宋体" w:hAnsi="宋体" w:cs="宋体" w:hint="eastAsia"/>
          <w:bCs/>
          <w:color w:val="000000" w:themeColor="text1"/>
          <w:sz w:val="24"/>
          <w:szCs w:val="24"/>
        </w:rPr>
        <w:t>15</w:t>
      </w:r>
      <w:r>
        <w:rPr>
          <w:rFonts w:ascii="宋体" w:hAnsi="宋体" w:cs="宋体" w:hint="eastAsia"/>
          <w:bCs/>
          <w:color w:val="000000" w:themeColor="text1"/>
          <w:sz w:val="24"/>
          <w:szCs w:val="24"/>
        </w:rPr>
        <w:t>，生信分析工程师，笙源生命科技（安吉）有限公司</w:t>
      </w:r>
    </w:p>
    <w:p w14:paraId="295819D7" w14:textId="77777777" w:rsidR="000A4449" w:rsidRDefault="00807A6A">
      <w:pPr>
        <w:numPr>
          <w:ilvl w:val="0"/>
          <w:numId w:val="1"/>
        </w:numPr>
        <w:adjustRightInd w:val="0"/>
        <w:snapToGrid w:val="0"/>
        <w:spacing w:beforeLines="50" w:before="156" w:line="360" w:lineRule="auto"/>
        <w:rPr>
          <w:b/>
          <w:bCs/>
          <w:color w:val="000000"/>
          <w:kern w:val="0"/>
          <w:sz w:val="24"/>
          <w:szCs w:val="24"/>
        </w:rPr>
      </w:pPr>
      <w:r>
        <w:rPr>
          <w:b/>
          <w:bCs/>
          <w:color w:val="000000"/>
          <w:kern w:val="0"/>
          <w:sz w:val="24"/>
          <w:szCs w:val="24"/>
        </w:rPr>
        <w:t>主要完成单位（含排序）：</w:t>
      </w:r>
      <w:r>
        <w:rPr>
          <w:b/>
          <w:bCs/>
          <w:color w:val="000000"/>
          <w:kern w:val="0"/>
          <w:sz w:val="24"/>
          <w:szCs w:val="24"/>
        </w:rPr>
        <w:t xml:space="preserve"> </w:t>
      </w:r>
    </w:p>
    <w:p w14:paraId="381EEFDC" w14:textId="77777777" w:rsidR="000A4449" w:rsidRDefault="00807A6A">
      <w:pPr>
        <w:adjustRightInd w:val="0"/>
        <w:snapToGrid w:val="0"/>
        <w:spacing w:line="360" w:lineRule="auto"/>
        <w:ind w:leftChars="304" w:left="638"/>
        <w:jc w:val="left"/>
        <w:rPr>
          <w:rFonts w:ascii="宋体" w:hAnsi="宋体" w:cs="宋体"/>
          <w:bCs/>
          <w:color w:val="000000" w:themeColor="text1"/>
          <w:sz w:val="24"/>
          <w:szCs w:val="24"/>
        </w:rPr>
      </w:pPr>
      <w:r>
        <w:rPr>
          <w:rFonts w:ascii="宋体" w:hAnsi="宋体" w:cs="宋体" w:hint="eastAsia"/>
          <w:bCs/>
          <w:color w:val="000000" w:themeColor="text1"/>
          <w:sz w:val="24"/>
          <w:szCs w:val="24"/>
        </w:rPr>
        <w:t>1.</w:t>
      </w:r>
      <w:r>
        <w:rPr>
          <w:rFonts w:ascii="宋体" w:hAnsi="宋体" w:cs="宋体" w:hint="eastAsia"/>
          <w:bCs/>
          <w:color w:val="000000" w:themeColor="text1"/>
          <w:sz w:val="24"/>
          <w:szCs w:val="24"/>
        </w:rPr>
        <w:t>浙江大学</w:t>
      </w:r>
    </w:p>
    <w:p w14:paraId="15E49E65" w14:textId="77777777" w:rsidR="000A4449" w:rsidRDefault="00807A6A">
      <w:pPr>
        <w:adjustRightInd w:val="0"/>
        <w:snapToGrid w:val="0"/>
        <w:spacing w:line="360" w:lineRule="auto"/>
        <w:ind w:leftChars="304" w:left="638"/>
        <w:jc w:val="left"/>
        <w:rPr>
          <w:rFonts w:ascii="宋体" w:hAnsi="宋体" w:cs="宋体"/>
          <w:bCs/>
          <w:color w:val="000000" w:themeColor="text1"/>
          <w:sz w:val="24"/>
          <w:szCs w:val="24"/>
        </w:rPr>
      </w:pPr>
      <w:r>
        <w:rPr>
          <w:rFonts w:ascii="宋体" w:hAnsi="宋体" w:cs="宋体" w:hint="eastAsia"/>
          <w:bCs/>
          <w:color w:val="000000" w:themeColor="text1"/>
          <w:sz w:val="24"/>
          <w:szCs w:val="24"/>
        </w:rPr>
        <w:t>2.</w:t>
      </w:r>
      <w:r>
        <w:rPr>
          <w:rFonts w:ascii="宋体" w:hAnsi="宋体" w:cs="宋体" w:hint="eastAsia"/>
          <w:bCs/>
          <w:color w:val="000000" w:themeColor="text1"/>
          <w:sz w:val="24"/>
          <w:szCs w:val="24"/>
        </w:rPr>
        <w:t>厦门大学</w:t>
      </w:r>
    </w:p>
    <w:p w14:paraId="7E9D4980" w14:textId="77777777" w:rsidR="000A4449" w:rsidRDefault="00807A6A">
      <w:pPr>
        <w:adjustRightInd w:val="0"/>
        <w:snapToGrid w:val="0"/>
        <w:spacing w:line="360" w:lineRule="auto"/>
        <w:ind w:leftChars="304" w:left="638"/>
        <w:jc w:val="left"/>
        <w:rPr>
          <w:rFonts w:ascii="宋体" w:hAnsi="宋体" w:cs="宋体"/>
          <w:bCs/>
          <w:color w:val="000000" w:themeColor="text1"/>
          <w:sz w:val="24"/>
          <w:szCs w:val="24"/>
        </w:rPr>
      </w:pPr>
      <w:r>
        <w:rPr>
          <w:rFonts w:ascii="宋体" w:hAnsi="宋体" w:cs="宋体" w:hint="eastAsia"/>
          <w:bCs/>
          <w:color w:val="000000" w:themeColor="text1"/>
          <w:sz w:val="24"/>
          <w:szCs w:val="24"/>
        </w:rPr>
        <w:t>3.</w:t>
      </w:r>
      <w:r>
        <w:rPr>
          <w:rFonts w:ascii="宋体" w:hAnsi="宋体" w:cs="宋体" w:hint="eastAsia"/>
          <w:bCs/>
          <w:color w:val="000000" w:themeColor="text1"/>
          <w:sz w:val="24"/>
          <w:szCs w:val="24"/>
        </w:rPr>
        <w:t>海南医科大学第二附属医院</w:t>
      </w:r>
    </w:p>
    <w:p w14:paraId="44A51E43"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4.</w:t>
      </w:r>
      <w:r>
        <w:rPr>
          <w:rFonts w:ascii="宋体" w:hAnsi="宋体" w:cs="宋体" w:hint="eastAsia"/>
          <w:bCs/>
          <w:color w:val="000000" w:themeColor="text1"/>
          <w:sz w:val="24"/>
          <w:szCs w:val="24"/>
        </w:rPr>
        <w:t>安徽医科大学第一附属医院</w:t>
      </w:r>
    </w:p>
    <w:p w14:paraId="3DAC5587" w14:textId="77777777" w:rsidR="000A4449" w:rsidRDefault="00807A6A">
      <w:pPr>
        <w:adjustRightInd w:val="0"/>
        <w:snapToGrid w:val="0"/>
        <w:spacing w:line="360" w:lineRule="auto"/>
        <w:ind w:leftChars="304" w:left="638"/>
        <w:rPr>
          <w:rFonts w:ascii="宋体" w:hAnsi="宋体" w:cs="宋体"/>
          <w:bCs/>
          <w:color w:val="000000" w:themeColor="text1"/>
          <w:sz w:val="24"/>
          <w:szCs w:val="24"/>
        </w:rPr>
      </w:pPr>
      <w:r>
        <w:rPr>
          <w:rFonts w:ascii="宋体" w:hAnsi="宋体" w:cs="宋体" w:hint="eastAsia"/>
          <w:bCs/>
          <w:color w:val="000000" w:themeColor="text1"/>
          <w:sz w:val="24"/>
          <w:szCs w:val="24"/>
        </w:rPr>
        <w:t>5.</w:t>
      </w:r>
      <w:r>
        <w:rPr>
          <w:rFonts w:ascii="宋体" w:hAnsi="宋体" w:cs="宋体" w:hint="eastAsia"/>
          <w:bCs/>
          <w:color w:val="000000" w:themeColor="text1"/>
          <w:sz w:val="24"/>
          <w:szCs w:val="24"/>
        </w:rPr>
        <w:t>浙江省人民医院</w:t>
      </w:r>
    </w:p>
    <w:p w14:paraId="0DE43A3F" w14:textId="77777777" w:rsidR="000A4449" w:rsidRDefault="00807A6A">
      <w:pPr>
        <w:adjustRightInd w:val="0"/>
        <w:snapToGrid w:val="0"/>
        <w:spacing w:line="360" w:lineRule="auto"/>
        <w:ind w:leftChars="304" w:left="638"/>
        <w:rPr>
          <w:rFonts w:ascii="宋体" w:hAnsi="宋体" w:cs="宋体"/>
          <w:bCs/>
          <w:color w:val="000000" w:themeColor="text1"/>
          <w:sz w:val="24"/>
          <w:szCs w:val="24"/>
          <w:shd w:val="clear" w:color="auto" w:fill="FBE5D6" w:themeFill="accent2" w:themeFillTint="32"/>
        </w:rPr>
      </w:pPr>
      <w:r>
        <w:rPr>
          <w:rFonts w:ascii="宋体" w:hAnsi="宋体" w:cs="宋体" w:hint="eastAsia"/>
          <w:bCs/>
          <w:color w:val="000000" w:themeColor="text1"/>
          <w:sz w:val="24"/>
          <w:szCs w:val="24"/>
        </w:rPr>
        <w:t>6.</w:t>
      </w:r>
      <w:r>
        <w:rPr>
          <w:rFonts w:ascii="宋体" w:hAnsi="宋体" w:cs="宋体" w:hint="eastAsia"/>
          <w:bCs/>
          <w:color w:val="000000" w:themeColor="text1"/>
          <w:sz w:val="24"/>
          <w:szCs w:val="24"/>
        </w:rPr>
        <w:t>笙源生命科技（安吉）有限公司</w:t>
      </w:r>
    </w:p>
    <w:p w14:paraId="3C4240D6" w14:textId="77777777" w:rsidR="000A4449" w:rsidRDefault="00807A6A">
      <w:pPr>
        <w:numPr>
          <w:ilvl w:val="0"/>
          <w:numId w:val="1"/>
        </w:numPr>
        <w:adjustRightInd w:val="0"/>
        <w:snapToGrid w:val="0"/>
        <w:spacing w:beforeLines="50" w:before="156" w:line="360" w:lineRule="auto"/>
        <w:rPr>
          <w:b/>
          <w:bCs/>
          <w:color w:val="000000"/>
          <w:kern w:val="0"/>
          <w:sz w:val="24"/>
          <w:szCs w:val="24"/>
        </w:rPr>
      </w:pPr>
      <w:r>
        <w:rPr>
          <w:b/>
          <w:bCs/>
          <w:color w:val="000000"/>
          <w:kern w:val="0"/>
          <w:sz w:val="24"/>
          <w:szCs w:val="24"/>
        </w:rPr>
        <w:t>项目简介</w:t>
      </w:r>
      <w:r>
        <w:rPr>
          <w:rFonts w:hint="eastAsia"/>
          <w:b/>
          <w:bCs/>
          <w:color w:val="000000"/>
          <w:kern w:val="0"/>
          <w:sz w:val="24"/>
          <w:szCs w:val="24"/>
        </w:rPr>
        <w:t>（或候选人科技成就和贡献简介）</w:t>
      </w:r>
      <w:r>
        <w:rPr>
          <w:b/>
          <w:bCs/>
          <w:color w:val="000000"/>
          <w:kern w:val="0"/>
          <w:sz w:val="24"/>
          <w:szCs w:val="24"/>
        </w:rPr>
        <w:t>：</w:t>
      </w:r>
      <w:r>
        <w:rPr>
          <w:b/>
          <w:bCs/>
          <w:color w:val="000000"/>
          <w:kern w:val="0"/>
          <w:sz w:val="24"/>
          <w:szCs w:val="24"/>
        </w:rPr>
        <w:t xml:space="preserve"> </w:t>
      </w:r>
    </w:p>
    <w:p w14:paraId="62D83360" w14:textId="77777777" w:rsidR="000A4449" w:rsidRDefault="00807A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02" w:left="-424" w:rightChars="-230" w:right="-483" w:firstLineChars="200" w:firstLine="480"/>
        <w:rPr>
          <w:rStyle w:val="title1"/>
          <w:b w:val="0"/>
          <w:color w:val="000000"/>
        </w:rPr>
      </w:pPr>
      <w:r>
        <w:rPr>
          <w:rStyle w:val="title1"/>
          <w:rFonts w:hint="eastAsia"/>
          <w:b w:val="0"/>
          <w:color w:val="000000"/>
        </w:rPr>
        <w:t>肝衰竭病死率高、发病机制不清且缺乏有效救治手段。该项目在国自然重点</w:t>
      </w:r>
      <w:r>
        <w:rPr>
          <w:rStyle w:val="title1"/>
          <w:rFonts w:hint="eastAsia"/>
          <w:b w:val="0"/>
          <w:color w:val="000000"/>
        </w:rPr>
        <w:t>/</w:t>
      </w:r>
      <w:r>
        <w:rPr>
          <w:rStyle w:val="title1"/>
          <w:rFonts w:hint="eastAsia"/>
          <w:b w:val="0"/>
          <w:color w:val="000000"/>
        </w:rPr>
        <w:t>面上项</w:t>
      </w:r>
      <w:r>
        <w:rPr>
          <w:rStyle w:val="title1"/>
          <w:rFonts w:hint="eastAsia"/>
          <w:b w:val="0"/>
          <w:color w:val="000000"/>
        </w:rPr>
        <w:lastRenderedPageBreak/>
        <w:t>目、国家科技重大专项、国家重点研发等项目资助下，创建了</w:t>
      </w:r>
      <w:r>
        <w:rPr>
          <w:rStyle w:val="title1"/>
          <w:b w:val="0"/>
          <w:color w:val="000000"/>
        </w:rPr>
        <w:t>适合我国</w:t>
      </w:r>
      <w:r>
        <w:rPr>
          <w:rStyle w:val="title1"/>
          <w:rFonts w:hint="eastAsia"/>
          <w:b w:val="0"/>
          <w:color w:val="000000"/>
        </w:rPr>
        <w:t>乙肝人群肝衰竭</w:t>
      </w:r>
      <w:r>
        <w:rPr>
          <w:rStyle w:val="title1"/>
          <w:b w:val="0"/>
          <w:color w:val="000000"/>
        </w:rPr>
        <w:t>诊断的中国标准</w:t>
      </w:r>
      <w:r>
        <w:rPr>
          <w:rStyle w:val="title1"/>
          <w:rFonts w:hint="eastAsia"/>
          <w:b w:val="0"/>
          <w:color w:val="000000"/>
        </w:rPr>
        <w:t>（</w:t>
      </w:r>
      <w:r>
        <w:rPr>
          <w:rStyle w:val="title1"/>
          <w:rFonts w:hint="eastAsia"/>
          <w:b w:val="0"/>
          <w:color w:val="000000"/>
        </w:rPr>
        <w:t>C</w:t>
      </w:r>
      <w:r>
        <w:rPr>
          <w:rStyle w:val="title1"/>
          <w:b w:val="0"/>
          <w:color w:val="000000"/>
        </w:rPr>
        <w:t>OSSH-ACLF</w:t>
      </w:r>
      <w:r>
        <w:rPr>
          <w:rStyle w:val="title1"/>
          <w:rFonts w:hint="eastAsia"/>
          <w:b w:val="0"/>
          <w:color w:val="000000"/>
        </w:rPr>
        <w:t>）和早诊预警体系</w:t>
      </w:r>
      <w:r>
        <w:rPr>
          <w:rStyle w:val="title1"/>
          <w:b w:val="0"/>
          <w:color w:val="000000"/>
        </w:rPr>
        <w:t>，</w:t>
      </w:r>
      <w:r>
        <w:rPr>
          <w:rStyle w:val="title1"/>
          <w:rFonts w:hint="eastAsia"/>
          <w:b w:val="0"/>
          <w:color w:val="000000"/>
        </w:rPr>
        <w:t>使危重患者的早期精准诊断率提高</w:t>
      </w:r>
      <w:r>
        <w:rPr>
          <w:rStyle w:val="title1"/>
          <w:rFonts w:hint="eastAsia"/>
          <w:b w:val="0"/>
          <w:color w:val="000000"/>
        </w:rPr>
        <w:t>19%</w:t>
      </w:r>
      <w:r>
        <w:rPr>
          <w:rStyle w:val="title1"/>
          <w:rFonts w:hint="eastAsia"/>
          <w:b w:val="0"/>
          <w:color w:val="000000"/>
        </w:rPr>
        <w:t>，病死率下降</w:t>
      </w:r>
      <w:r>
        <w:rPr>
          <w:rStyle w:val="title1"/>
          <w:rFonts w:hint="eastAsia"/>
          <w:b w:val="0"/>
          <w:color w:val="000000"/>
        </w:rPr>
        <w:t>12%</w:t>
      </w:r>
      <w:r>
        <w:rPr>
          <w:rStyle w:val="title1"/>
          <w:rFonts w:hint="eastAsia"/>
          <w:b w:val="0"/>
          <w:color w:val="000000"/>
        </w:rPr>
        <w:t>；最新国际多中心研究证实</w:t>
      </w:r>
      <w:r>
        <w:rPr>
          <w:rStyle w:val="title1"/>
          <w:rFonts w:hint="eastAsia"/>
          <w:b w:val="0"/>
          <w:color w:val="000000"/>
        </w:rPr>
        <w:t>COSSH-ACLF</w:t>
      </w:r>
      <w:r>
        <w:rPr>
          <w:rStyle w:val="title1"/>
          <w:rFonts w:hint="eastAsia"/>
          <w:b w:val="0"/>
          <w:color w:val="000000"/>
        </w:rPr>
        <w:t>早诊预警体系适用于全病因肝衰竭人群；提出并证明“乙肝病毒激活引起免疫代谢失衡是乙肝肝衰竭核心发病机制”的新理论，提升了我国肝衰竭的临床救治能力；在利用干细胞移植救治暴发性肝衰竭猪的基础上构建了</w:t>
      </w:r>
      <w:r>
        <w:rPr>
          <w:rStyle w:val="title1"/>
          <w:rFonts w:hint="eastAsia"/>
          <w:b w:val="0"/>
          <w:color w:val="000000"/>
        </w:rPr>
        <w:t>HBV</w:t>
      </w:r>
      <w:r>
        <w:rPr>
          <w:rStyle w:val="title1"/>
          <w:rFonts w:hint="eastAsia"/>
          <w:b w:val="0"/>
          <w:color w:val="000000"/>
        </w:rPr>
        <w:t>感染的乙肝肝硬化小鼠模型，高度模拟人类</w:t>
      </w:r>
      <w:r>
        <w:rPr>
          <w:rStyle w:val="title1"/>
          <w:rFonts w:hint="eastAsia"/>
          <w:b w:val="0"/>
          <w:color w:val="000000"/>
        </w:rPr>
        <w:t>HBV</w:t>
      </w:r>
      <w:r>
        <w:rPr>
          <w:rStyle w:val="title1"/>
          <w:rFonts w:hint="eastAsia"/>
          <w:b w:val="0"/>
          <w:color w:val="000000"/>
        </w:rPr>
        <w:t>慢性感染导致肝硬化的病理过程，为乙肝肝硬化和肝衰竭新药、新技术研发提供理想的疾病动物模型，显著提升我国乙肝研究的源头创新能力。</w:t>
      </w:r>
    </w:p>
    <w:p w14:paraId="402E1276" w14:textId="77777777" w:rsidR="000A4449" w:rsidRDefault="00807A6A">
      <w:pPr>
        <w:numPr>
          <w:ilvl w:val="0"/>
          <w:numId w:val="1"/>
        </w:numPr>
        <w:adjustRightInd w:val="0"/>
        <w:snapToGrid w:val="0"/>
        <w:spacing w:beforeLines="50" w:before="156" w:line="360" w:lineRule="auto"/>
        <w:rPr>
          <w:b/>
          <w:bCs/>
          <w:color w:val="000000"/>
          <w:kern w:val="0"/>
          <w:sz w:val="24"/>
          <w:szCs w:val="24"/>
          <w:shd w:val="clear" w:color="auto" w:fill="FBE5D6" w:themeFill="accent2" w:themeFillTint="32"/>
        </w:rPr>
      </w:pPr>
      <w:r>
        <w:rPr>
          <w:b/>
          <w:bCs/>
          <w:color w:val="000000"/>
          <w:kern w:val="0"/>
          <w:sz w:val="24"/>
          <w:szCs w:val="24"/>
        </w:rPr>
        <w:t>代表性论文（专著）目录：</w:t>
      </w:r>
      <w:r>
        <w:rPr>
          <w:b/>
          <w:bCs/>
          <w:color w:val="000000"/>
          <w:kern w:val="0"/>
          <w:sz w:val="24"/>
          <w:szCs w:val="24"/>
        </w:rPr>
        <w:t xml:space="preserve"> </w:t>
      </w:r>
    </w:p>
    <w:p w14:paraId="1125CFE1" w14:textId="77777777" w:rsidR="000A4449" w:rsidRDefault="00807A6A">
      <w:pPr>
        <w:numPr>
          <w:ilvl w:val="0"/>
          <w:numId w:val="2"/>
        </w:numPr>
        <w:autoSpaceDE w:val="0"/>
        <w:autoSpaceDN w:val="0"/>
        <w:adjustRightInd w:val="0"/>
        <w:snapToGrid w:val="0"/>
        <w:spacing w:line="360" w:lineRule="auto"/>
        <w:ind w:left="709" w:right="23"/>
        <w:rPr>
          <w:szCs w:val="21"/>
        </w:rPr>
      </w:pPr>
      <w:r>
        <w:rPr>
          <w:szCs w:val="21"/>
        </w:rPr>
        <w:t>Development of diagnostic criteria and a prognostic score for hepatitis B virus-related acute-on-chronic liver failure. Gut. 2018;67: 2181-2191.</w:t>
      </w:r>
    </w:p>
    <w:p w14:paraId="72A49E23" w14:textId="77777777" w:rsidR="000A4449" w:rsidRDefault="00807A6A">
      <w:pPr>
        <w:numPr>
          <w:ilvl w:val="0"/>
          <w:numId w:val="2"/>
        </w:numPr>
        <w:autoSpaceDE w:val="0"/>
        <w:autoSpaceDN w:val="0"/>
        <w:adjustRightInd w:val="0"/>
        <w:snapToGrid w:val="0"/>
        <w:spacing w:line="360" w:lineRule="auto"/>
        <w:ind w:left="709" w:right="23"/>
        <w:rPr>
          <w:szCs w:val="21"/>
        </w:rPr>
      </w:pPr>
      <w:r>
        <w:rPr>
          <w:szCs w:val="21"/>
        </w:rPr>
        <w:t>Development and validation of a new prognostic score for hepatitis B virus-related acute-on-chron</w:t>
      </w:r>
      <w:r>
        <w:rPr>
          <w:szCs w:val="21"/>
        </w:rPr>
        <w:t>ic liver failure. J Hepatol. 2021;75(5):1104-1115.</w:t>
      </w:r>
    </w:p>
    <w:p w14:paraId="3F179F61" w14:textId="77777777" w:rsidR="000A4449" w:rsidRDefault="00807A6A">
      <w:pPr>
        <w:numPr>
          <w:ilvl w:val="0"/>
          <w:numId w:val="2"/>
        </w:numPr>
        <w:autoSpaceDE w:val="0"/>
        <w:autoSpaceDN w:val="0"/>
        <w:adjustRightInd w:val="0"/>
        <w:snapToGrid w:val="0"/>
        <w:spacing w:line="360" w:lineRule="auto"/>
        <w:ind w:left="709" w:right="23"/>
        <w:rPr>
          <w:szCs w:val="21"/>
        </w:rPr>
      </w:pPr>
      <w:r>
        <w:rPr>
          <w:szCs w:val="21"/>
        </w:rPr>
        <w:t>PBMC transcriptomics identifies immune-metabolism disorder during the development of HBV-ACLF. Gut. 2022</w:t>
      </w:r>
      <w:r>
        <w:rPr>
          <w:rFonts w:hint="eastAsia"/>
          <w:szCs w:val="21"/>
        </w:rPr>
        <w:t>;</w:t>
      </w:r>
      <w:r>
        <w:rPr>
          <w:szCs w:val="21"/>
        </w:rPr>
        <w:t xml:space="preserve"> 71(1): 163-175.</w:t>
      </w:r>
    </w:p>
    <w:p w14:paraId="6504531D" w14:textId="77777777" w:rsidR="000A4449" w:rsidRDefault="00807A6A">
      <w:pPr>
        <w:numPr>
          <w:ilvl w:val="0"/>
          <w:numId w:val="2"/>
        </w:numPr>
        <w:autoSpaceDE w:val="0"/>
        <w:autoSpaceDN w:val="0"/>
        <w:adjustRightInd w:val="0"/>
        <w:snapToGrid w:val="0"/>
        <w:spacing w:line="360" w:lineRule="auto"/>
        <w:ind w:left="709" w:right="23"/>
        <w:rPr>
          <w:szCs w:val="21"/>
        </w:rPr>
      </w:pPr>
      <w:r>
        <w:rPr>
          <w:rFonts w:hint="eastAsia"/>
          <w:szCs w:val="21"/>
        </w:rPr>
        <w:t>Performance of the China-CLIF framework in acute-on-chronic liver failure: a multic</w:t>
      </w:r>
      <w:r>
        <w:rPr>
          <w:rFonts w:hint="eastAsia"/>
          <w:szCs w:val="21"/>
        </w:rPr>
        <w:t>ohort study across all aetiologies</w:t>
      </w:r>
      <w:r>
        <w:rPr>
          <w:szCs w:val="21"/>
        </w:rPr>
        <w:t xml:space="preserve">. Gut. </w:t>
      </w:r>
      <w:r>
        <w:rPr>
          <w:rFonts w:hint="eastAsia"/>
          <w:szCs w:val="21"/>
        </w:rPr>
        <w:t>2026;75:131-146</w:t>
      </w:r>
      <w:r>
        <w:rPr>
          <w:szCs w:val="21"/>
        </w:rPr>
        <w:t>.</w:t>
      </w:r>
      <w:r>
        <w:rPr>
          <w:rFonts w:hint="eastAsia"/>
          <w:szCs w:val="21"/>
        </w:rPr>
        <w:t>于</w:t>
      </w:r>
      <w:r>
        <w:rPr>
          <w:rFonts w:hint="eastAsia"/>
          <w:szCs w:val="21"/>
        </w:rPr>
        <w:t>2025.07.25</w:t>
      </w:r>
      <w:r>
        <w:rPr>
          <w:rFonts w:hint="eastAsia"/>
          <w:szCs w:val="21"/>
        </w:rPr>
        <w:t>在线发表</w:t>
      </w:r>
    </w:p>
    <w:p w14:paraId="1CC896D3" w14:textId="77777777" w:rsidR="000A4449" w:rsidRDefault="00807A6A">
      <w:pPr>
        <w:numPr>
          <w:ilvl w:val="0"/>
          <w:numId w:val="2"/>
        </w:numPr>
        <w:autoSpaceDE w:val="0"/>
        <w:autoSpaceDN w:val="0"/>
        <w:adjustRightInd w:val="0"/>
        <w:snapToGrid w:val="0"/>
        <w:spacing w:line="360" w:lineRule="auto"/>
        <w:ind w:left="709" w:right="23"/>
        <w:rPr>
          <w:szCs w:val="21"/>
        </w:rPr>
      </w:pPr>
      <w:r>
        <w:rPr>
          <w:rFonts w:hint="eastAsia"/>
          <w:szCs w:val="21"/>
        </w:rPr>
        <w:t>Single-cell multimodal analysis reveals the dynamic immunopathogenesis of HBV-ACLF progression</w:t>
      </w:r>
      <w:r>
        <w:rPr>
          <w:szCs w:val="21"/>
        </w:rPr>
        <w:t xml:space="preserve">. Gut. </w:t>
      </w:r>
      <w:r>
        <w:rPr>
          <w:rFonts w:hint="eastAsia"/>
          <w:szCs w:val="21"/>
        </w:rPr>
        <w:t>2026;75(2):367-381</w:t>
      </w:r>
      <w:r>
        <w:rPr>
          <w:szCs w:val="21"/>
        </w:rPr>
        <w:t xml:space="preserve">. </w:t>
      </w:r>
      <w:r>
        <w:rPr>
          <w:rFonts w:hint="eastAsia"/>
          <w:szCs w:val="21"/>
        </w:rPr>
        <w:t>于</w:t>
      </w:r>
      <w:r>
        <w:rPr>
          <w:rFonts w:hint="eastAsia"/>
          <w:szCs w:val="21"/>
        </w:rPr>
        <w:t>2025.08.21</w:t>
      </w:r>
      <w:r>
        <w:rPr>
          <w:rFonts w:hint="eastAsia"/>
          <w:szCs w:val="21"/>
        </w:rPr>
        <w:t>在线发表</w:t>
      </w:r>
    </w:p>
    <w:p w14:paraId="11A5F73F" w14:textId="77777777" w:rsidR="000A4449" w:rsidRDefault="00807A6A">
      <w:pPr>
        <w:numPr>
          <w:ilvl w:val="0"/>
          <w:numId w:val="2"/>
        </w:numPr>
        <w:autoSpaceDE w:val="0"/>
        <w:autoSpaceDN w:val="0"/>
        <w:adjustRightInd w:val="0"/>
        <w:snapToGrid w:val="0"/>
        <w:spacing w:line="360" w:lineRule="auto"/>
        <w:ind w:left="709" w:right="23"/>
        <w:rPr>
          <w:szCs w:val="21"/>
        </w:rPr>
      </w:pPr>
      <w:bookmarkStart w:id="1" w:name="OLE_LINK356"/>
      <w:bookmarkStart w:id="2" w:name="OLE_LINK355"/>
      <w:bookmarkStart w:id="3" w:name="OLE_LINK477"/>
      <w:r>
        <w:rPr>
          <w:szCs w:val="21"/>
        </w:rPr>
        <w:t xml:space="preserve">Serum macrophage inflammatory protein 3 alpha </w:t>
      </w:r>
      <w:r>
        <w:rPr>
          <w:szCs w:val="21"/>
        </w:rPr>
        <w:t>levels predict the severity of HBV-related acute-on-chronic liver failure</w:t>
      </w:r>
      <w:bookmarkEnd w:id="1"/>
      <w:bookmarkEnd w:id="2"/>
      <w:bookmarkEnd w:id="3"/>
      <w:r>
        <w:rPr>
          <w:szCs w:val="21"/>
        </w:rPr>
        <w:t xml:space="preserve">. </w:t>
      </w:r>
      <w:bookmarkStart w:id="4" w:name="OLE_LINK353"/>
      <w:r>
        <w:rPr>
          <w:szCs w:val="21"/>
        </w:rPr>
        <w:t xml:space="preserve">Gut. </w:t>
      </w:r>
      <w:bookmarkStart w:id="5" w:name="OLE_LINK479"/>
      <w:bookmarkStart w:id="6" w:name="OLE_LINK478"/>
      <w:r>
        <w:rPr>
          <w:szCs w:val="21"/>
        </w:rPr>
        <w:t>2016;65(2):355-357</w:t>
      </w:r>
      <w:bookmarkEnd w:id="4"/>
      <w:r>
        <w:rPr>
          <w:szCs w:val="21"/>
        </w:rPr>
        <w:t>.</w:t>
      </w:r>
      <w:bookmarkEnd w:id="5"/>
      <w:bookmarkEnd w:id="6"/>
    </w:p>
    <w:p w14:paraId="589EBFC0" w14:textId="77777777" w:rsidR="000A4449" w:rsidRDefault="00807A6A">
      <w:pPr>
        <w:numPr>
          <w:ilvl w:val="0"/>
          <w:numId w:val="2"/>
        </w:numPr>
        <w:autoSpaceDE w:val="0"/>
        <w:autoSpaceDN w:val="0"/>
        <w:adjustRightInd w:val="0"/>
        <w:snapToGrid w:val="0"/>
        <w:spacing w:line="360" w:lineRule="auto"/>
        <w:ind w:left="709" w:right="23"/>
        <w:rPr>
          <w:szCs w:val="21"/>
        </w:rPr>
      </w:pPr>
      <w:bookmarkStart w:id="7" w:name="OLE_LINK389"/>
      <w:bookmarkStart w:id="8" w:name="OLE_LINK587"/>
      <w:bookmarkStart w:id="9" w:name="OLE_LINK312"/>
      <w:bookmarkStart w:id="10" w:name="OLE_LINK313"/>
      <w:bookmarkStart w:id="11" w:name="OLE_LINK602"/>
      <w:bookmarkStart w:id="12" w:name="OLE_LINK310"/>
      <w:bookmarkStart w:id="13" w:name="OLE_LINK472"/>
      <w:bookmarkStart w:id="14" w:name="OLE_LINK471"/>
      <w:r>
        <w:rPr>
          <w:szCs w:val="21"/>
        </w:rPr>
        <w:t>Quantitative evaluation of human bone mesenchymal stem cells rescuing fulminant hepatic failure in pigs</w:t>
      </w:r>
      <w:bookmarkEnd w:id="7"/>
      <w:bookmarkEnd w:id="8"/>
      <w:bookmarkEnd w:id="9"/>
      <w:bookmarkEnd w:id="10"/>
      <w:r>
        <w:rPr>
          <w:szCs w:val="21"/>
        </w:rPr>
        <w:t xml:space="preserve">. </w:t>
      </w:r>
      <w:bookmarkStart w:id="15" w:name="OLE_LINK283"/>
      <w:bookmarkStart w:id="16" w:name="OLE_LINK386"/>
      <w:bookmarkStart w:id="17" w:name="OLE_LINK284"/>
      <w:bookmarkStart w:id="18" w:name="OLE_LINK388"/>
      <w:bookmarkStart w:id="19" w:name="OLE_LINK379"/>
      <w:bookmarkStart w:id="20" w:name="OLE_LINK378"/>
      <w:bookmarkEnd w:id="11"/>
      <w:bookmarkEnd w:id="12"/>
      <w:r>
        <w:rPr>
          <w:szCs w:val="21"/>
        </w:rPr>
        <w:t xml:space="preserve">Gut. </w:t>
      </w:r>
      <w:bookmarkStart w:id="21" w:name="OLE_LINK172"/>
      <w:bookmarkStart w:id="22" w:name="OLE_LINK171"/>
      <w:bookmarkStart w:id="23" w:name="OLE_LINK468"/>
      <w:bookmarkStart w:id="24" w:name="OLE_LINK467"/>
      <w:bookmarkEnd w:id="15"/>
      <w:bookmarkEnd w:id="16"/>
      <w:bookmarkEnd w:id="17"/>
      <w:bookmarkEnd w:id="18"/>
      <w:bookmarkEnd w:id="19"/>
      <w:bookmarkEnd w:id="20"/>
      <w:r>
        <w:rPr>
          <w:szCs w:val="21"/>
        </w:rPr>
        <w:t>201</w:t>
      </w:r>
      <w:bookmarkEnd w:id="21"/>
      <w:bookmarkEnd w:id="22"/>
      <w:r>
        <w:rPr>
          <w:szCs w:val="21"/>
        </w:rPr>
        <w:t>7;66(5):955-964.</w:t>
      </w:r>
      <w:bookmarkEnd w:id="23"/>
      <w:bookmarkEnd w:id="24"/>
      <w:r>
        <w:rPr>
          <w:szCs w:val="21"/>
        </w:rPr>
        <w:t xml:space="preserve"> </w:t>
      </w:r>
    </w:p>
    <w:p w14:paraId="3F2F8869" w14:textId="77777777" w:rsidR="000A4449" w:rsidRDefault="00807A6A">
      <w:pPr>
        <w:numPr>
          <w:ilvl w:val="0"/>
          <w:numId w:val="2"/>
        </w:numPr>
        <w:autoSpaceDE w:val="0"/>
        <w:autoSpaceDN w:val="0"/>
        <w:adjustRightInd w:val="0"/>
        <w:snapToGrid w:val="0"/>
        <w:spacing w:line="360" w:lineRule="auto"/>
        <w:ind w:left="709" w:right="23"/>
        <w:rPr>
          <w:szCs w:val="21"/>
        </w:rPr>
      </w:pPr>
      <w:r>
        <w:rPr>
          <w:szCs w:val="21"/>
        </w:rPr>
        <w:t>HBV infection-induced liv</w:t>
      </w:r>
      <w:r>
        <w:rPr>
          <w:szCs w:val="21"/>
        </w:rPr>
        <w:t xml:space="preserve">er cirrhosis development in dual-humanised mice with human bone mesenchymal stem cell transplantation. Gut. 2019;68(11): 2044-2056. </w:t>
      </w:r>
    </w:p>
    <w:p w14:paraId="5E3F2DAB" w14:textId="77777777" w:rsidR="000A4449" w:rsidRDefault="00807A6A">
      <w:pPr>
        <w:numPr>
          <w:ilvl w:val="0"/>
          <w:numId w:val="2"/>
        </w:numPr>
        <w:autoSpaceDE w:val="0"/>
        <w:autoSpaceDN w:val="0"/>
        <w:adjustRightInd w:val="0"/>
        <w:snapToGrid w:val="0"/>
        <w:spacing w:line="360" w:lineRule="auto"/>
        <w:ind w:left="709" w:right="23"/>
        <w:rPr>
          <w:szCs w:val="21"/>
        </w:rPr>
      </w:pPr>
      <w:r>
        <w:rPr>
          <w:rFonts w:hint="eastAsia"/>
          <w:szCs w:val="21"/>
        </w:rPr>
        <w:t>Generation and metabolomic characterization of functional ductal organoids with biliary tree networks in decellularized liv</w:t>
      </w:r>
      <w:r>
        <w:rPr>
          <w:rFonts w:hint="eastAsia"/>
          <w:szCs w:val="21"/>
        </w:rPr>
        <w:t>er scaffolds</w:t>
      </w:r>
      <w:r>
        <w:rPr>
          <w:szCs w:val="21"/>
        </w:rPr>
        <w:t xml:space="preserve">. </w:t>
      </w:r>
      <w:r>
        <w:rPr>
          <w:rFonts w:hint="eastAsia"/>
          <w:szCs w:val="21"/>
        </w:rPr>
        <w:t>Bioact Mater</w:t>
      </w:r>
      <w:r>
        <w:rPr>
          <w:szCs w:val="21"/>
        </w:rPr>
        <w:t xml:space="preserve">. </w:t>
      </w:r>
      <w:r>
        <w:rPr>
          <w:rFonts w:hint="eastAsia"/>
          <w:szCs w:val="21"/>
        </w:rPr>
        <w:t>2023;26:452-464</w:t>
      </w:r>
      <w:r>
        <w:rPr>
          <w:szCs w:val="21"/>
        </w:rPr>
        <w:t>.</w:t>
      </w:r>
    </w:p>
    <w:p w14:paraId="270ADA58" w14:textId="77777777" w:rsidR="000A4449" w:rsidRDefault="00807A6A">
      <w:pPr>
        <w:numPr>
          <w:ilvl w:val="0"/>
          <w:numId w:val="2"/>
        </w:numPr>
        <w:autoSpaceDE w:val="0"/>
        <w:autoSpaceDN w:val="0"/>
        <w:adjustRightInd w:val="0"/>
        <w:snapToGrid w:val="0"/>
        <w:spacing w:line="360" w:lineRule="auto"/>
        <w:ind w:left="709" w:right="23"/>
        <w:rPr>
          <w:szCs w:val="21"/>
        </w:rPr>
      </w:pPr>
      <w:bookmarkStart w:id="25" w:name="OLE_LINK545"/>
      <w:bookmarkStart w:id="26" w:name="OLE_LINK546"/>
      <w:bookmarkStart w:id="27" w:name="OLE_LINK611"/>
      <w:bookmarkStart w:id="28" w:name="OLE_LINK613"/>
      <w:bookmarkEnd w:id="13"/>
      <w:bookmarkEnd w:id="14"/>
      <w:r>
        <w:rPr>
          <w:szCs w:val="21"/>
        </w:rPr>
        <w:t>Raf kinase inhibitor protein mediates intestinal epithelial cell apoptosis and promotes IBDs in humans and mice</w:t>
      </w:r>
      <w:bookmarkEnd w:id="25"/>
      <w:bookmarkEnd w:id="26"/>
      <w:bookmarkEnd w:id="27"/>
      <w:bookmarkEnd w:id="28"/>
      <w:r>
        <w:rPr>
          <w:szCs w:val="21"/>
        </w:rPr>
        <w:t xml:space="preserve">. </w:t>
      </w:r>
      <w:bookmarkStart w:id="29" w:name="OLE_LINK578"/>
      <w:bookmarkStart w:id="30" w:name="OLE_LINK577"/>
      <w:r>
        <w:rPr>
          <w:szCs w:val="21"/>
        </w:rPr>
        <w:t>Gut. 2017;66(4):597-610</w:t>
      </w:r>
      <w:bookmarkEnd w:id="29"/>
      <w:bookmarkEnd w:id="30"/>
      <w:r>
        <w:rPr>
          <w:szCs w:val="21"/>
        </w:rPr>
        <w:t>.</w:t>
      </w:r>
    </w:p>
    <w:p w14:paraId="02FC499A" w14:textId="77777777" w:rsidR="000A4449" w:rsidRDefault="00807A6A">
      <w:pPr>
        <w:numPr>
          <w:ilvl w:val="0"/>
          <w:numId w:val="1"/>
        </w:numPr>
        <w:adjustRightInd w:val="0"/>
        <w:snapToGrid w:val="0"/>
        <w:spacing w:beforeLines="50" w:before="156" w:line="360" w:lineRule="auto"/>
        <w:rPr>
          <w:b/>
          <w:bCs/>
          <w:color w:val="000000"/>
          <w:kern w:val="0"/>
          <w:sz w:val="24"/>
          <w:szCs w:val="24"/>
        </w:rPr>
      </w:pPr>
      <w:r>
        <w:rPr>
          <w:b/>
          <w:bCs/>
          <w:color w:val="000000"/>
          <w:kern w:val="0"/>
          <w:sz w:val="24"/>
          <w:szCs w:val="24"/>
        </w:rPr>
        <w:t>主要知识产权和标准规范等目录：</w:t>
      </w:r>
    </w:p>
    <w:p w14:paraId="5C91ABDF" w14:textId="77777777" w:rsidR="000A4449" w:rsidRDefault="00807A6A">
      <w:pPr>
        <w:numPr>
          <w:ilvl w:val="0"/>
          <w:numId w:val="3"/>
        </w:numPr>
        <w:autoSpaceDE w:val="0"/>
        <w:autoSpaceDN w:val="0"/>
        <w:adjustRightInd w:val="0"/>
        <w:snapToGrid w:val="0"/>
        <w:spacing w:line="360" w:lineRule="auto"/>
        <w:ind w:left="709" w:right="23"/>
        <w:rPr>
          <w:szCs w:val="21"/>
        </w:rPr>
      </w:pPr>
      <w:r>
        <w:rPr>
          <w:szCs w:val="21"/>
        </w:rPr>
        <w:t>METHOD OF TREATING FULMINANT HEPATIC FAILURE USING DLL4 C</w:t>
      </w:r>
      <w:r>
        <w:rPr>
          <w:szCs w:val="21"/>
        </w:rPr>
        <w:t>YTOKINE</w:t>
      </w:r>
      <w:r>
        <w:rPr>
          <w:rFonts w:hint="eastAsia"/>
          <w:szCs w:val="21"/>
        </w:rPr>
        <w:t>，美国发明专利号：</w:t>
      </w:r>
      <w:r>
        <w:rPr>
          <w:szCs w:val="21"/>
        </w:rPr>
        <w:t>US10,328,122 B2</w:t>
      </w:r>
      <w:r>
        <w:rPr>
          <w:rFonts w:hint="eastAsia"/>
          <w:szCs w:val="21"/>
        </w:rPr>
        <w:t>，授权日：</w:t>
      </w:r>
      <w:r>
        <w:rPr>
          <w:rFonts w:hint="eastAsia"/>
          <w:szCs w:val="21"/>
        </w:rPr>
        <w:t>2</w:t>
      </w:r>
      <w:r>
        <w:rPr>
          <w:szCs w:val="21"/>
        </w:rPr>
        <w:t>019.06.25</w:t>
      </w:r>
      <w:r>
        <w:rPr>
          <w:rFonts w:hint="eastAsia"/>
          <w:szCs w:val="21"/>
        </w:rPr>
        <w:t>。</w:t>
      </w:r>
    </w:p>
    <w:p w14:paraId="424B319E" w14:textId="77777777" w:rsidR="000A4449" w:rsidRDefault="00807A6A">
      <w:pPr>
        <w:numPr>
          <w:ilvl w:val="0"/>
          <w:numId w:val="3"/>
        </w:numPr>
        <w:autoSpaceDE w:val="0"/>
        <w:autoSpaceDN w:val="0"/>
        <w:adjustRightInd w:val="0"/>
        <w:snapToGrid w:val="0"/>
        <w:spacing w:line="360" w:lineRule="auto"/>
        <w:ind w:left="709" w:right="23"/>
        <w:rPr>
          <w:szCs w:val="21"/>
        </w:rPr>
      </w:pPr>
      <w:r>
        <w:rPr>
          <w:rFonts w:hint="eastAsia"/>
          <w:szCs w:val="21"/>
        </w:rPr>
        <w:t>DLL4</w:t>
      </w:r>
      <w:r>
        <w:rPr>
          <w:rFonts w:hint="eastAsia"/>
          <w:szCs w:val="21"/>
        </w:rPr>
        <w:t>细胞因子在制备治疗暴发性肝功能衰竭药剂中的应用，中国发明专利号：</w:t>
      </w:r>
      <w:r>
        <w:rPr>
          <w:rFonts w:hint="eastAsia"/>
          <w:szCs w:val="21"/>
        </w:rPr>
        <w:t>ZL201510582307.1</w:t>
      </w:r>
      <w:r>
        <w:rPr>
          <w:rFonts w:hint="eastAsia"/>
          <w:szCs w:val="21"/>
        </w:rPr>
        <w:t>，授权日：</w:t>
      </w:r>
      <w:r>
        <w:rPr>
          <w:rFonts w:hint="eastAsia"/>
          <w:szCs w:val="21"/>
        </w:rPr>
        <w:t>2018.08.31</w:t>
      </w:r>
      <w:r>
        <w:rPr>
          <w:rFonts w:hint="eastAsia"/>
          <w:szCs w:val="21"/>
        </w:rPr>
        <w:t>。</w:t>
      </w:r>
    </w:p>
    <w:p w14:paraId="5108F34E" w14:textId="77777777" w:rsidR="000A4449" w:rsidRDefault="00807A6A">
      <w:pPr>
        <w:numPr>
          <w:ilvl w:val="0"/>
          <w:numId w:val="3"/>
        </w:numPr>
        <w:autoSpaceDE w:val="0"/>
        <w:autoSpaceDN w:val="0"/>
        <w:adjustRightInd w:val="0"/>
        <w:snapToGrid w:val="0"/>
        <w:spacing w:line="360" w:lineRule="auto"/>
        <w:ind w:left="709" w:right="23"/>
        <w:rPr>
          <w:b/>
          <w:bCs/>
          <w:color w:val="000000"/>
          <w:kern w:val="0"/>
          <w:sz w:val="24"/>
          <w:szCs w:val="24"/>
        </w:rPr>
      </w:pPr>
      <w:r>
        <w:rPr>
          <w:rFonts w:hint="eastAsia"/>
          <w:szCs w:val="21"/>
        </w:rPr>
        <w:lastRenderedPageBreak/>
        <w:t>一种利用干细胞构建的人源化乙型肝炎鼠模型及应用，中国发明专利号：</w:t>
      </w:r>
      <w:r>
        <w:rPr>
          <w:szCs w:val="21"/>
        </w:rPr>
        <w:t>ZL</w:t>
      </w:r>
      <w:r>
        <w:rPr>
          <w:rFonts w:hint="eastAsia"/>
          <w:szCs w:val="21"/>
        </w:rPr>
        <w:t>201710130633.8</w:t>
      </w:r>
      <w:r>
        <w:rPr>
          <w:rFonts w:hint="eastAsia"/>
          <w:szCs w:val="21"/>
        </w:rPr>
        <w:t>，授权日：</w:t>
      </w:r>
      <w:r>
        <w:rPr>
          <w:rFonts w:hint="eastAsia"/>
          <w:szCs w:val="21"/>
        </w:rPr>
        <w:t>2</w:t>
      </w:r>
      <w:r>
        <w:rPr>
          <w:szCs w:val="21"/>
        </w:rPr>
        <w:t>020.07.07</w:t>
      </w:r>
      <w:r>
        <w:rPr>
          <w:rFonts w:hint="eastAsia"/>
          <w:szCs w:val="21"/>
        </w:rPr>
        <w:t>。</w:t>
      </w:r>
    </w:p>
    <w:p w14:paraId="0DEC6DB4" w14:textId="77777777" w:rsidR="000A4449" w:rsidRDefault="00807A6A">
      <w:pPr>
        <w:numPr>
          <w:ilvl w:val="0"/>
          <w:numId w:val="3"/>
        </w:numPr>
        <w:autoSpaceDE w:val="0"/>
        <w:autoSpaceDN w:val="0"/>
        <w:adjustRightInd w:val="0"/>
        <w:snapToGrid w:val="0"/>
        <w:spacing w:line="360" w:lineRule="auto"/>
        <w:ind w:left="709" w:right="23"/>
        <w:rPr>
          <w:szCs w:val="21"/>
        </w:rPr>
      </w:pPr>
      <w:r>
        <w:rPr>
          <w:rFonts w:hint="eastAsia"/>
          <w:szCs w:val="21"/>
        </w:rPr>
        <w:t>一种利用干细胞构建人源化慢性乙型肝炎鼠模型的方法，中国发明专利号：</w:t>
      </w:r>
      <w:r>
        <w:rPr>
          <w:rFonts w:hint="eastAsia"/>
          <w:szCs w:val="21"/>
        </w:rPr>
        <w:t>ZL201710436092.1</w:t>
      </w:r>
      <w:r>
        <w:rPr>
          <w:rFonts w:hint="eastAsia"/>
          <w:szCs w:val="21"/>
        </w:rPr>
        <w:t>，授权日：</w:t>
      </w:r>
      <w:r>
        <w:rPr>
          <w:rFonts w:hint="eastAsia"/>
          <w:szCs w:val="21"/>
        </w:rPr>
        <w:t>2021.01.01</w:t>
      </w:r>
      <w:r>
        <w:rPr>
          <w:rFonts w:hint="eastAsia"/>
          <w:szCs w:val="21"/>
        </w:rPr>
        <w:t>。</w:t>
      </w:r>
    </w:p>
    <w:p w14:paraId="23D7F183" w14:textId="77777777" w:rsidR="000A4449" w:rsidRDefault="00807A6A">
      <w:pPr>
        <w:numPr>
          <w:ilvl w:val="0"/>
          <w:numId w:val="3"/>
        </w:numPr>
        <w:autoSpaceDE w:val="0"/>
        <w:autoSpaceDN w:val="0"/>
        <w:adjustRightInd w:val="0"/>
        <w:snapToGrid w:val="0"/>
        <w:spacing w:line="360" w:lineRule="auto"/>
        <w:ind w:left="709" w:right="23"/>
        <w:rPr>
          <w:szCs w:val="21"/>
        </w:rPr>
      </w:pPr>
      <w:r>
        <w:rPr>
          <w:rFonts w:hint="eastAsia"/>
          <w:szCs w:val="21"/>
        </w:rPr>
        <w:t>一种可实现三维支架循环灌流的循环灌流生物反应器装置，中国发明专利号：</w:t>
      </w:r>
      <w:r>
        <w:rPr>
          <w:rFonts w:hint="eastAsia"/>
          <w:szCs w:val="21"/>
        </w:rPr>
        <w:t>ZL201610125234.8</w:t>
      </w:r>
      <w:r>
        <w:rPr>
          <w:rFonts w:hint="eastAsia"/>
          <w:szCs w:val="21"/>
        </w:rPr>
        <w:t>，授权日：</w:t>
      </w:r>
      <w:r>
        <w:rPr>
          <w:rFonts w:hint="eastAsia"/>
          <w:szCs w:val="21"/>
        </w:rPr>
        <w:t>2021.04.06</w:t>
      </w:r>
      <w:r>
        <w:rPr>
          <w:rFonts w:hint="eastAsia"/>
          <w:szCs w:val="21"/>
        </w:rPr>
        <w:t>。</w:t>
      </w:r>
    </w:p>
    <w:p w14:paraId="7622F06C" w14:textId="77777777" w:rsidR="000A4449" w:rsidRDefault="00807A6A">
      <w:pPr>
        <w:numPr>
          <w:ilvl w:val="0"/>
          <w:numId w:val="3"/>
        </w:numPr>
        <w:autoSpaceDE w:val="0"/>
        <w:autoSpaceDN w:val="0"/>
        <w:adjustRightInd w:val="0"/>
        <w:snapToGrid w:val="0"/>
        <w:spacing w:line="360" w:lineRule="auto"/>
        <w:ind w:left="709" w:right="23"/>
        <w:rPr>
          <w:szCs w:val="21"/>
        </w:rPr>
      </w:pPr>
      <w:r>
        <w:rPr>
          <w:rFonts w:hint="eastAsia"/>
          <w:szCs w:val="21"/>
        </w:rPr>
        <w:t>一种基于单细胞测序区分嵌合体动物模型中异种杂交样本遗传物质和细胞物种来源的方法，中国发明专利号：</w:t>
      </w:r>
      <w:r>
        <w:rPr>
          <w:rFonts w:hint="eastAsia"/>
          <w:szCs w:val="21"/>
        </w:rPr>
        <w:t>ZL202411081163.7</w:t>
      </w:r>
      <w:r>
        <w:rPr>
          <w:rFonts w:hint="eastAsia"/>
          <w:szCs w:val="21"/>
        </w:rPr>
        <w:t>，授权日：</w:t>
      </w:r>
      <w:r>
        <w:rPr>
          <w:rFonts w:hint="eastAsia"/>
          <w:szCs w:val="21"/>
        </w:rPr>
        <w:t>2025.07.22</w:t>
      </w:r>
      <w:r>
        <w:rPr>
          <w:rFonts w:hint="eastAsia"/>
          <w:szCs w:val="21"/>
        </w:rPr>
        <w:t>。</w:t>
      </w:r>
    </w:p>
    <w:p w14:paraId="619AC4A9" w14:textId="77777777" w:rsidR="000A4449" w:rsidRDefault="00807A6A">
      <w:pPr>
        <w:numPr>
          <w:ilvl w:val="0"/>
          <w:numId w:val="3"/>
        </w:numPr>
        <w:autoSpaceDE w:val="0"/>
        <w:autoSpaceDN w:val="0"/>
        <w:adjustRightInd w:val="0"/>
        <w:snapToGrid w:val="0"/>
        <w:spacing w:line="360" w:lineRule="auto"/>
        <w:ind w:left="709" w:right="23"/>
        <w:rPr>
          <w:sz w:val="20"/>
          <w:szCs w:val="18"/>
        </w:rPr>
      </w:pPr>
      <w:r>
        <w:rPr>
          <w:rFonts w:hint="eastAsia"/>
          <w:szCs w:val="21"/>
        </w:rPr>
        <w:t>COSSH</w:t>
      </w:r>
      <w:r>
        <w:rPr>
          <w:rFonts w:hint="eastAsia"/>
          <w:szCs w:val="21"/>
        </w:rPr>
        <w:t>肝病评分计算软件，软件著作权登记号：</w:t>
      </w:r>
      <w:r>
        <w:rPr>
          <w:rFonts w:hint="eastAsia"/>
          <w:szCs w:val="21"/>
        </w:rPr>
        <w:t>2024SR0103114</w:t>
      </w:r>
      <w:r>
        <w:rPr>
          <w:rFonts w:hint="eastAsia"/>
          <w:szCs w:val="21"/>
        </w:rPr>
        <w:t>，开发完成日：</w:t>
      </w:r>
      <w:r>
        <w:rPr>
          <w:rFonts w:hint="eastAsia"/>
          <w:szCs w:val="21"/>
        </w:rPr>
        <w:t>2023-02-14</w:t>
      </w:r>
      <w:r>
        <w:rPr>
          <w:rFonts w:hint="eastAsia"/>
          <w:szCs w:val="21"/>
        </w:rPr>
        <w:t>，首次发表日：</w:t>
      </w:r>
      <w:r>
        <w:rPr>
          <w:rFonts w:hint="eastAsia"/>
          <w:szCs w:val="21"/>
        </w:rPr>
        <w:t>2023.02.14</w:t>
      </w:r>
      <w:r>
        <w:rPr>
          <w:rFonts w:hint="eastAsia"/>
          <w:szCs w:val="21"/>
        </w:rPr>
        <w:t>。</w:t>
      </w:r>
    </w:p>
    <w:p w14:paraId="12631CB8" w14:textId="77777777" w:rsidR="000A4449" w:rsidRDefault="000A4449">
      <w:pPr>
        <w:adjustRightInd w:val="0"/>
        <w:snapToGrid w:val="0"/>
        <w:spacing w:line="360" w:lineRule="auto"/>
      </w:pPr>
    </w:p>
    <w:sectPr w:rsidR="000A4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CB1A7" w14:textId="77777777" w:rsidR="00807A6A" w:rsidRDefault="00807A6A" w:rsidP="00454871">
      <w:r>
        <w:separator/>
      </w:r>
    </w:p>
  </w:endnote>
  <w:endnote w:type="continuationSeparator" w:id="0">
    <w:p w14:paraId="4726DBD0" w14:textId="77777777" w:rsidR="00807A6A" w:rsidRDefault="00807A6A" w:rsidP="0045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FF878" w14:textId="77777777" w:rsidR="00807A6A" w:rsidRDefault="00807A6A" w:rsidP="00454871">
      <w:r>
        <w:separator/>
      </w:r>
    </w:p>
  </w:footnote>
  <w:footnote w:type="continuationSeparator" w:id="0">
    <w:p w14:paraId="4A76A815" w14:textId="77777777" w:rsidR="00807A6A" w:rsidRDefault="00807A6A" w:rsidP="004548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B9D"/>
    <w:multiLevelType w:val="multilevel"/>
    <w:tmpl w:val="00810B9D"/>
    <w:lvl w:ilvl="0">
      <w:start w:val="1"/>
      <w:numFmt w:val="decimal"/>
      <w:lvlText w:val="%1)"/>
      <w:lvlJc w:val="left"/>
      <w:pPr>
        <w:ind w:left="844" w:hanging="420"/>
      </w:pPr>
      <w:rPr>
        <w:rFonts w:hint="default"/>
        <w:b w:val="0"/>
        <w:bCs w:val="0"/>
        <w:sz w:val="21"/>
        <w:szCs w:val="24"/>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 w15:restartNumberingAfterBreak="0">
    <w:nsid w:val="10C222EF"/>
    <w:multiLevelType w:val="multilevel"/>
    <w:tmpl w:val="10C222EF"/>
    <w:lvl w:ilvl="0">
      <w:start w:val="1"/>
      <w:numFmt w:val="decimal"/>
      <w:lvlText w:val="%1)"/>
      <w:lvlJc w:val="left"/>
      <w:pPr>
        <w:ind w:left="844" w:hanging="420"/>
      </w:pPr>
      <w:rPr>
        <w:rFonts w:hint="default"/>
        <w:b w:val="0"/>
        <w:bCs w:val="0"/>
        <w:sz w:val="21"/>
        <w:szCs w:val="24"/>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 w15:restartNumberingAfterBreak="0">
    <w:nsid w:val="2258A712"/>
    <w:multiLevelType w:val="singleLevel"/>
    <w:tmpl w:val="2258A712"/>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A4449"/>
    <w:rsid w:val="000B0738"/>
    <w:rsid w:val="000B1AB4"/>
    <w:rsid w:val="000C30B6"/>
    <w:rsid w:val="000C35DC"/>
    <w:rsid w:val="000D0004"/>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4871"/>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66051"/>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07A6A"/>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D50C5"/>
    <w:rsid w:val="009E3E34"/>
    <w:rsid w:val="009E7771"/>
    <w:rsid w:val="009F2DC9"/>
    <w:rsid w:val="009F7733"/>
    <w:rsid w:val="00A06994"/>
    <w:rsid w:val="00A25157"/>
    <w:rsid w:val="00A26BCB"/>
    <w:rsid w:val="00A5194B"/>
    <w:rsid w:val="00A520FD"/>
    <w:rsid w:val="00A61776"/>
    <w:rsid w:val="00A833EE"/>
    <w:rsid w:val="00A8341E"/>
    <w:rsid w:val="00A864AA"/>
    <w:rsid w:val="00A93EEE"/>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A1F"/>
    <w:rsid w:val="00BC3D67"/>
    <w:rsid w:val="00BC4019"/>
    <w:rsid w:val="00BC625C"/>
    <w:rsid w:val="00BC73B7"/>
    <w:rsid w:val="00BC7BDA"/>
    <w:rsid w:val="00BE2B23"/>
    <w:rsid w:val="00BE3EFF"/>
    <w:rsid w:val="00BE50CE"/>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587F"/>
    <w:rsid w:val="00EF74F3"/>
    <w:rsid w:val="00F03300"/>
    <w:rsid w:val="00F038F2"/>
    <w:rsid w:val="00F200E2"/>
    <w:rsid w:val="00F463D7"/>
    <w:rsid w:val="00F46CBA"/>
    <w:rsid w:val="00F9670F"/>
    <w:rsid w:val="00FC3EDF"/>
    <w:rsid w:val="00FC79AA"/>
    <w:rsid w:val="00FD660C"/>
    <w:rsid w:val="00FE349A"/>
    <w:rsid w:val="01133753"/>
    <w:rsid w:val="02750329"/>
    <w:rsid w:val="03076F77"/>
    <w:rsid w:val="04A9243E"/>
    <w:rsid w:val="054A66DF"/>
    <w:rsid w:val="05E0304D"/>
    <w:rsid w:val="05FE4FCF"/>
    <w:rsid w:val="06D25D4A"/>
    <w:rsid w:val="0A871AD6"/>
    <w:rsid w:val="0C2F2584"/>
    <w:rsid w:val="0D3F756A"/>
    <w:rsid w:val="0D731909"/>
    <w:rsid w:val="0FB022B6"/>
    <w:rsid w:val="0FD960F6"/>
    <w:rsid w:val="109B43A4"/>
    <w:rsid w:val="11325250"/>
    <w:rsid w:val="11A13517"/>
    <w:rsid w:val="12E038E6"/>
    <w:rsid w:val="13524B66"/>
    <w:rsid w:val="13586494"/>
    <w:rsid w:val="14193DEB"/>
    <w:rsid w:val="14C847CB"/>
    <w:rsid w:val="14C91039"/>
    <w:rsid w:val="15221E3A"/>
    <w:rsid w:val="154638FE"/>
    <w:rsid w:val="156820EC"/>
    <w:rsid w:val="171750B3"/>
    <w:rsid w:val="18DE320F"/>
    <w:rsid w:val="18E71177"/>
    <w:rsid w:val="19F55A14"/>
    <w:rsid w:val="1AB17583"/>
    <w:rsid w:val="1B713D95"/>
    <w:rsid w:val="1C4D015E"/>
    <w:rsid w:val="1CA80D10"/>
    <w:rsid w:val="1EAC4A80"/>
    <w:rsid w:val="207C68FD"/>
    <w:rsid w:val="24F9333A"/>
    <w:rsid w:val="283A17CD"/>
    <w:rsid w:val="2A8F792B"/>
    <w:rsid w:val="2ACE603D"/>
    <w:rsid w:val="2CEA3520"/>
    <w:rsid w:val="2EA576DA"/>
    <w:rsid w:val="30182170"/>
    <w:rsid w:val="33A40324"/>
    <w:rsid w:val="3454129D"/>
    <w:rsid w:val="358C4B7B"/>
    <w:rsid w:val="36BD695E"/>
    <w:rsid w:val="376A14AC"/>
    <w:rsid w:val="391706F7"/>
    <w:rsid w:val="39397253"/>
    <w:rsid w:val="39916AF0"/>
    <w:rsid w:val="3A721D2F"/>
    <w:rsid w:val="3BFA4E20"/>
    <w:rsid w:val="3F95733A"/>
    <w:rsid w:val="40F179B8"/>
    <w:rsid w:val="43CC52F4"/>
    <w:rsid w:val="441647C1"/>
    <w:rsid w:val="442409BF"/>
    <w:rsid w:val="446A00B3"/>
    <w:rsid w:val="44893F23"/>
    <w:rsid w:val="466B289F"/>
    <w:rsid w:val="48345BBB"/>
    <w:rsid w:val="48F5748F"/>
    <w:rsid w:val="491541D7"/>
    <w:rsid w:val="4928477D"/>
    <w:rsid w:val="4B2A63DE"/>
    <w:rsid w:val="4BF4363A"/>
    <w:rsid w:val="4C123AC0"/>
    <w:rsid w:val="4CBD675F"/>
    <w:rsid w:val="4FFC737A"/>
    <w:rsid w:val="50046EE9"/>
    <w:rsid w:val="521319E0"/>
    <w:rsid w:val="53291439"/>
    <w:rsid w:val="56F52014"/>
    <w:rsid w:val="5AC82171"/>
    <w:rsid w:val="5CD66444"/>
    <w:rsid w:val="5DB81151"/>
    <w:rsid w:val="5EBE53E1"/>
    <w:rsid w:val="5F2D3E49"/>
    <w:rsid w:val="5F6E0BB6"/>
    <w:rsid w:val="60D91DBC"/>
    <w:rsid w:val="613A66FA"/>
    <w:rsid w:val="661F2C0A"/>
    <w:rsid w:val="682A374C"/>
    <w:rsid w:val="68CF4BAF"/>
    <w:rsid w:val="6A6B50A6"/>
    <w:rsid w:val="6BE446D9"/>
    <w:rsid w:val="6C891725"/>
    <w:rsid w:val="6CD12C2E"/>
    <w:rsid w:val="6DD90074"/>
    <w:rsid w:val="6EAF088E"/>
    <w:rsid w:val="703134FA"/>
    <w:rsid w:val="711F3B69"/>
    <w:rsid w:val="719A142E"/>
    <w:rsid w:val="72473C14"/>
    <w:rsid w:val="73BE1EE6"/>
    <w:rsid w:val="76294457"/>
    <w:rsid w:val="77ED0DBA"/>
    <w:rsid w:val="783720CB"/>
    <w:rsid w:val="7A0A7DAE"/>
    <w:rsid w:val="7B1E3137"/>
    <w:rsid w:val="7BF344C5"/>
    <w:rsid w:val="7BFD3595"/>
    <w:rsid w:val="7C1048D8"/>
    <w:rsid w:val="7C586AA2"/>
    <w:rsid w:val="7C7B0EF7"/>
    <w:rsid w:val="7EF0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E08F8"/>
  <w15:docId w15:val="{EFF81F0C-E101-462C-BC00-2F06B7F7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title1">
    <w:name w:val="title1"/>
    <w:qFormat/>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Administrator</cp:lastModifiedBy>
  <cp:revision>4</cp:revision>
  <cp:lastPrinted>2026-03-12T03:49:00Z</cp:lastPrinted>
  <dcterms:created xsi:type="dcterms:W3CDTF">2026-03-15T16:40:00Z</dcterms:created>
  <dcterms:modified xsi:type="dcterms:W3CDTF">2026-03-16T00:16:00Z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90FE3F884FD44FC6B36CF4A7B291C9BB_13</vt:lpwstr>
  </property>
  <property fmtid="{D5CDD505-2E9C-101B-9397-08002B2CF9AE}" pid="4" name="KSOTemplateDocerSaveRecord">
    <vt:lpwstr>eyJoZGlkIjoiNThlZTMwOTMzMzM1ZTIyZmM1OWEwNDFiMjk2ZTkxM2IiLCJ1c2VySWQiOiI1NzE4NTU5MDgifQ==</vt:lpwstr>
  </property>
</Properties>
</file>