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FFFB">
      <w:pPr>
        <w:rPr>
          <w:rFonts w:eastAsia="仿宋_GB2312"/>
          <w:sz w:val="24"/>
          <w:szCs w:val="32"/>
        </w:rPr>
      </w:pPr>
    </w:p>
    <w:p w14:paraId="2ACAC0DE">
      <w:pPr>
        <w:jc w:val="center"/>
        <w:rPr>
          <w:rStyle w:val="9"/>
          <w:rFonts w:eastAsia="方正小标宋简体"/>
          <w:bCs w:val="0"/>
          <w:sz w:val="36"/>
          <w:szCs w:val="36"/>
        </w:rPr>
      </w:pPr>
      <w:r>
        <w:rPr>
          <w:rStyle w:val="9"/>
          <w:rFonts w:hint="eastAsia" w:ascii="微软雅黑" w:hAnsi="微软雅黑" w:eastAsia="微软雅黑" w:cs="微软雅黑"/>
          <w:sz w:val="36"/>
          <w:szCs w:val="36"/>
        </w:rPr>
        <w:t>浙江省科学技术奖公示信息表</w:t>
      </w:r>
      <w:r>
        <w:rPr>
          <w:rStyle w:val="9"/>
          <w:rFonts w:eastAsia="仿宋_GB2312"/>
          <w:sz w:val="32"/>
          <w:szCs w:val="32"/>
        </w:rPr>
        <w:t>（单位提名）</w:t>
      </w:r>
    </w:p>
    <w:p w14:paraId="4ACFBD8C">
      <w:pPr>
        <w:spacing w:line="440" w:lineRule="exact"/>
        <w:rPr>
          <w:rFonts w:eastAsia="仿宋_GB2312"/>
          <w:sz w:val="28"/>
          <w:szCs w:val="24"/>
          <w:highlight w:val="none"/>
        </w:rPr>
      </w:pPr>
      <w:r>
        <w:rPr>
          <w:rFonts w:eastAsia="仿宋_GB2312"/>
          <w:sz w:val="28"/>
          <w:szCs w:val="24"/>
        </w:rPr>
        <w:t>提名奖项：科学技术进步奖</w:t>
      </w:r>
      <w:bookmarkStart w:id="0" w:name="_GoBack"/>
    </w:p>
    <w:tbl>
      <w:tblPr>
        <w:tblStyle w:val="5"/>
        <w:tblW w:w="853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6378"/>
      </w:tblGrid>
      <w:tr w14:paraId="4C5FA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2" w:type="dxa"/>
            <w:vAlign w:val="center"/>
          </w:tcPr>
          <w:p w14:paraId="6EFC0310">
            <w:pPr>
              <w:jc w:val="center"/>
              <w:rPr>
                <w:rStyle w:val="9"/>
                <w:rFonts w:eastAsia="仿宋_GB2312"/>
                <w:b w:val="0"/>
                <w:sz w:val="28"/>
                <w:highlight w:val="none"/>
              </w:rPr>
            </w:pPr>
            <w:r>
              <w:rPr>
                <w:rStyle w:val="9"/>
                <w:rFonts w:eastAsia="仿宋_GB2312"/>
                <w:sz w:val="28"/>
                <w:highlight w:val="none"/>
              </w:rPr>
              <w:t>成果名称</w:t>
            </w:r>
          </w:p>
        </w:tc>
        <w:tc>
          <w:tcPr>
            <w:tcW w:w="6378" w:type="dxa"/>
            <w:vAlign w:val="center"/>
          </w:tcPr>
          <w:p w14:paraId="79D86463">
            <w:pPr>
              <w:jc w:val="center"/>
              <w:rPr>
                <w:rStyle w:val="9"/>
                <w:rFonts w:eastAsia="仿宋_GB2312"/>
                <w:b w:val="0"/>
                <w:highlight w:val="none"/>
              </w:rPr>
            </w:pPr>
            <w:r>
              <w:rPr>
                <w:rStyle w:val="9"/>
                <w:rFonts w:hint="eastAsia" w:eastAsia="仿宋_GB2312"/>
                <w:b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急性白血病治疗新方案的临床应用与推广</w:t>
            </w:r>
          </w:p>
        </w:tc>
      </w:tr>
      <w:tr w14:paraId="3E950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2" w:type="dxa"/>
            <w:vAlign w:val="center"/>
          </w:tcPr>
          <w:p w14:paraId="5535671E">
            <w:pPr>
              <w:jc w:val="center"/>
              <w:rPr>
                <w:rStyle w:val="9"/>
                <w:rFonts w:eastAsia="仿宋_GB2312"/>
                <w:b w:val="0"/>
                <w:sz w:val="28"/>
                <w:highlight w:val="none"/>
              </w:rPr>
            </w:pPr>
            <w:r>
              <w:rPr>
                <w:rStyle w:val="9"/>
                <w:rFonts w:eastAsia="仿宋_GB2312"/>
                <w:sz w:val="28"/>
                <w:highlight w:val="none"/>
              </w:rPr>
              <w:t>提名等级</w:t>
            </w:r>
          </w:p>
        </w:tc>
        <w:tc>
          <w:tcPr>
            <w:tcW w:w="6378" w:type="dxa"/>
            <w:vAlign w:val="center"/>
          </w:tcPr>
          <w:p w14:paraId="613C70DA">
            <w:pPr>
              <w:jc w:val="center"/>
              <w:rPr>
                <w:rStyle w:val="9"/>
                <w:rFonts w:eastAsia="仿宋_GB2312"/>
                <w:b w:val="0"/>
                <w:highlight w:val="none"/>
              </w:rPr>
            </w:pPr>
            <w:r>
              <w:rPr>
                <w:rStyle w:val="9"/>
                <w:rFonts w:hint="eastAsia" w:eastAsia="仿宋_GB2312"/>
                <w:b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CBAF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152" w:type="dxa"/>
            <w:vAlign w:val="center"/>
          </w:tcPr>
          <w:p w14:paraId="44D51B9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497C48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378" w:type="dxa"/>
            <w:vAlign w:val="center"/>
          </w:tcPr>
          <w:p w14:paraId="60DF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eastAsia="仿宋_GB2312"/>
                <w:b/>
                <w:bCs/>
                <w:sz w:val="20"/>
              </w:rPr>
            </w:pPr>
          </w:p>
          <w:p w14:paraId="0560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主要知识产权和标准规范目录</w:t>
            </w:r>
            <w:r>
              <w:rPr>
                <w:rFonts w:hint="eastAsia" w:eastAsia="仿宋_GB2312"/>
                <w:b/>
                <w:bCs/>
                <w:sz w:val="20"/>
              </w:rPr>
              <w:t>：</w:t>
            </w:r>
          </w:p>
          <w:p w14:paraId="79A8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eastAsia="仿宋_GB2312"/>
                <w:bCs/>
                <w:sz w:val="20"/>
              </w:rPr>
            </w:pPr>
            <w:r>
              <w:rPr>
                <w:rFonts w:hint="eastAsia" w:eastAsia="仿宋_GB2312"/>
                <w:b w:val="0"/>
                <w:bCs w:val="0"/>
                <w:sz w:val="20"/>
                <w:lang w:val="en-US" w:eastAsia="zh-CN"/>
              </w:rPr>
              <w:t>1</w:t>
            </w:r>
            <w:r>
              <w:rPr>
                <w:rFonts w:eastAsia="仿宋_GB2312"/>
                <w:b w:val="0"/>
                <w:bCs w:val="0"/>
                <w:sz w:val="20"/>
              </w:rPr>
              <w:t xml:space="preserve">. </w:t>
            </w:r>
            <w:r>
              <w:rPr>
                <w:rFonts w:hint="eastAsia" w:eastAsia="仿宋_GB2312"/>
                <w:bCs/>
                <w:sz w:val="20"/>
              </w:rPr>
              <w:t>行业专家共识及指南：中国复发难治性急性髓系白血病诊疗指南（2023年版），中华血液学杂志，金洁。</w:t>
            </w:r>
          </w:p>
          <w:p w14:paraId="163B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eastAsia="仿宋_GB2312"/>
                <w:bCs/>
                <w:sz w:val="20"/>
              </w:rPr>
            </w:pPr>
            <w:r>
              <w:rPr>
                <w:rFonts w:hint="eastAsia" w:eastAsia="仿宋_GB2312"/>
                <w:bCs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sz w:val="20"/>
                <w:highlight w:val="none"/>
              </w:rPr>
              <w:t>. 行业专家共识及指南：中国成人早期前体T细胞急性淋巴细胞白血病诊断与治疗专家共识（2023年版），</w:t>
            </w:r>
            <w:r>
              <w:rPr>
                <w:rFonts w:hint="eastAsia" w:eastAsia="仿宋_GB2312"/>
                <w:bCs/>
                <w:sz w:val="20"/>
              </w:rPr>
              <w:t>中华血液学杂志，</w:t>
            </w:r>
            <w:r>
              <w:rPr>
                <w:rFonts w:hint="eastAsia" w:eastAsia="仿宋_GB2312"/>
                <w:bCs/>
                <w:sz w:val="20"/>
                <w:highlight w:val="none"/>
              </w:rPr>
              <w:t>金洁。</w:t>
            </w:r>
          </w:p>
          <w:p w14:paraId="0C210A80">
            <w:pPr>
              <w:spacing w:line="360" w:lineRule="auto"/>
              <w:jc w:val="left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代表性论文专著目录：</w:t>
            </w:r>
          </w:p>
          <w:p w14:paraId="5CD48C17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hint="eastAsia" w:eastAsia="仿宋_GB2312"/>
                <w:bCs/>
                <w:sz w:val="20"/>
                <w:highlight w:val="none"/>
              </w:rPr>
            </w:pPr>
            <w:r>
              <w:rPr>
                <w:rFonts w:hint="eastAsia" w:eastAsia="仿宋_GB2312"/>
                <w:bCs/>
                <w:sz w:val="20"/>
                <w:highlight w:val="none"/>
              </w:rPr>
              <w:t>Suo S, Zhao D, Li F, et al: Homoharringtonine inhibits the NOTCH/MYC pathway and exhibits antitumor effects in T-cell acute lymphoblastic leukemia. Blood 144:1343-1347, 2024</w:t>
            </w:r>
          </w:p>
          <w:p w14:paraId="791EBB70">
            <w:pPr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eastAsia="仿宋_GB2312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20"/>
                <w:highlight w:val="none"/>
                <w:lang w:val="en-US" w:eastAsia="zh-CN"/>
              </w:rPr>
              <w:t>Wang H, Suo S, Li D, et al: Comparison of subcutaneous injection versus intravenous infusion of cytarabine for induction therapy in adult acute myeloid leukemia. Leukemia 39:976-979, 2025</w:t>
            </w:r>
          </w:p>
          <w:p w14:paraId="7DFD1CA1">
            <w:pPr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eastAsia="仿宋_GB2312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20"/>
                <w:highlight w:val="none"/>
                <w:lang w:val="en-US" w:eastAsia="zh-CN"/>
              </w:rPr>
              <w:t>Zhang Y, Park M, Ghoda LY, et al: IL1RAP-specific T cell engager depletes acute myeloid leukemia stem cells. J Hematol Oncol 17:67, 2024</w:t>
            </w:r>
          </w:p>
          <w:p w14:paraId="47189E38">
            <w:pPr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hint="eastAsia" w:eastAsia="仿宋_GB2312"/>
                <w:bCs/>
                <w:sz w:val="20"/>
              </w:rPr>
              <w:t xml:space="preserve">Su R, Dong L, Li C, et al: R-2HG Exhibits Anti-tumor Activity by Targeting FTO/m(6)A/MYC/CEBPA Signaling. Cell 172:90-105.e23, 2018 </w:t>
            </w:r>
          </w:p>
          <w:p w14:paraId="16942246">
            <w:pPr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eastAsia="仿宋_GB2312"/>
                <w:bCs/>
                <w:sz w:val="20"/>
              </w:rPr>
            </w:pPr>
            <w:r>
              <w:rPr>
                <w:rFonts w:hint="eastAsia" w:eastAsia="仿宋_GB2312"/>
                <w:bCs/>
                <w:sz w:val="20"/>
              </w:rPr>
              <w:t xml:space="preserve">Ye W, Zhao Y, Zhou Y, et al: NSUN2-mediated cytosine-5 methylation of FSP1 protects acute myeloid leukemia cells from ferroptosis. Mol Cancer 24:201, 2025 </w:t>
            </w:r>
          </w:p>
          <w:p w14:paraId="72841508">
            <w:pPr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eastAsia="仿宋_GB2312"/>
                <w:bCs/>
                <w:sz w:val="20"/>
                <w:lang w:val="en-US" w:eastAsia="zh-CN"/>
              </w:rPr>
            </w:pPr>
            <w:r>
              <w:rPr>
                <w:rFonts w:hint="eastAsia" w:eastAsia="仿宋_GB2312"/>
                <w:bCs/>
                <w:sz w:val="20"/>
                <w:lang w:val="en-US" w:eastAsia="zh-CN"/>
              </w:rPr>
              <w:t>Wang H, Zhao D, Nguyen LX, et al: Targeting cell membrane HDM2: A novel therapeutic approach for acute myeloid leukemia. Leukemia 34:75-86, 2020</w:t>
            </w:r>
          </w:p>
          <w:p w14:paraId="5B794DFA">
            <w:pPr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hint="eastAsia" w:eastAsia="仿宋_GB2312"/>
                <w:bCs/>
                <w:sz w:val="20"/>
              </w:rPr>
              <w:t>Jin J, Hou S, Yao Y, et al: Phosphoproteomic Characterization and Kinase Signature Predict Response to Venetoclax Plus 3+7 Chemotherapy in Acute Myeloid Leukemia. Adv Sci (Weinh) 11:e2305885, 2024</w:t>
            </w:r>
          </w:p>
          <w:p w14:paraId="72A38768">
            <w:pPr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0"/>
              </w:rPr>
              <w:t>Suo S, Sun S, Nguyen LXT, et al: Homoharringtonine synergizes with venetoclax in early T cell progenitor acute lymphoblastic leukemia: Bench and bed. Med 5:1510-1524.e4, 2024.</w:t>
            </w:r>
          </w:p>
        </w:tc>
      </w:tr>
      <w:tr w14:paraId="08C3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2152" w:type="dxa"/>
            <w:tcBorders>
              <w:right w:val="single" w:color="auto" w:sz="4" w:space="0"/>
            </w:tcBorders>
            <w:vAlign w:val="center"/>
          </w:tcPr>
          <w:p w14:paraId="2A27201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 w14:paraId="639CBC55">
            <w:pP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金洁，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排名1，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教授/主任医师，浙江大学医学院附属第一医院；</w:t>
            </w:r>
          </w:p>
          <w:p w14:paraId="4654B6AB">
            <w:pPr>
              <w:rPr>
                <w:rStyle w:val="9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王华锋，排名2，副教授/副主任医师，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浙江大学医学院附属第一医院；</w:t>
            </w:r>
          </w:p>
          <w:p w14:paraId="2D9013D5">
            <w:pP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张仪，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主治医师，浙江大学医学院附属第一医院；</w:t>
            </w: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95F706D">
            <w:pP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索珊珊，排名4，副主任医师，浙江大学医学院附属第一医院；   </w:t>
            </w:r>
          </w:p>
          <w:p w14:paraId="63D0B211">
            <w:pP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孙杰，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研究员，浙江大学医学院附属第一医院；</w:t>
            </w:r>
          </w:p>
          <w:p w14:paraId="472CEB61">
            <w:pPr>
              <w:rPr>
                <w:rStyle w:val="9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叶文乐，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医师，浙江大学医学院附属第一医院；</w:t>
            </w: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51D24E0">
            <w:pPr>
              <w:rPr>
                <w:rStyle w:val="9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佟红艳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教授/主任医师，浙江大学医学院附属第一医院；</w:t>
            </w: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1940001">
            <w:pP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李晨莹，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主治医师，浙江大学医学院附属第一医院；</w:t>
            </w:r>
          </w:p>
          <w:p w14:paraId="7A830447">
            <w:pP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周一乐，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主治医师，浙江大学医学院附属第一医院；</w:t>
            </w:r>
          </w:p>
          <w:p w14:paraId="00AD0B01">
            <w:pPr>
              <w:rPr>
                <w:rStyle w:val="9"/>
                <w:rFonts w:hint="default" w:eastAsia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娄引军，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副主任医师，浙江大学医学院附属第一医院；</w:t>
            </w:r>
          </w:p>
          <w:p w14:paraId="78E73288">
            <w:pPr>
              <w:rPr>
                <w:rStyle w:val="9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李枫林，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排名11，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医师，宁波大学附属人民医院；</w:t>
            </w: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D2F213D">
            <w:pPr>
              <w:rPr>
                <w:rStyle w:val="9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赵燕春</w:t>
            </w: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医师，浙江大学医学院附属第一医院；</w:t>
            </w: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D64085E">
            <w:pPr>
              <w:rPr>
                <w:rStyle w:val="9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凌清</w:t>
            </w: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Style w:val="9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医师，浙江大学医学院附属第一医院；</w:t>
            </w:r>
            <w:r>
              <w:rPr>
                <w:rStyle w:val="9"/>
                <w:rFonts w:hint="eastAsia"/>
                <w:b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FA40178">
            <w:pPr>
              <w:rPr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29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2" w:type="dxa"/>
            <w:tcBorders>
              <w:right w:val="single" w:color="auto" w:sz="4" w:space="0"/>
            </w:tcBorders>
            <w:vAlign w:val="center"/>
          </w:tcPr>
          <w:p w14:paraId="5DF1A768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 w14:paraId="6A713476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Style w:val="9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浙江大学医学院附属第一医院</w:t>
            </w:r>
          </w:p>
        </w:tc>
      </w:tr>
      <w:tr w14:paraId="6F1BB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2" w:type="dxa"/>
            <w:vAlign w:val="center"/>
          </w:tcPr>
          <w:p w14:paraId="00FE2BA3">
            <w:pPr>
              <w:jc w:val="center"/>
              <w:rPr>
                <w:rStyle w:val="9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9"/>
                <w:rFonts w:eastAsia="仿宋_GB2312"/>
                <w:sz w:val="28"/>
                <w:szCs w:val="28"/>
              </w:rPr>
              <w:t>提名单位</w:t>
            </w:r>
          </w:p>
        </w:tc>
        <w:tc>
          <w:tcPr>
            <w:tcW w:w="6378" w:type="dxa"/>
            <w:vAlign w:val="center"/>
          </w:tcPr>
          <w:p w14:paraId="010C2F24">
            <w:pPr>
              <w:contextualSpacing/>
              <w:jc w:val="center"/>
              <w:rPr>
                <w:rStyle w:val="9"/>
                <w:b w:val="0"/>
              </w:rPr>
            </w:pPr>
            <w:r>
              <w:rPr>
                <w:rStyle w:val="9"/>
                <w:rFonts w:hint="eastAsia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 w14:paraId="03DA4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2" w:type="dxa"/>
            <w:vAlign w:val="center"/>
          </w:tcPr>
          <w:p w14:paraId="75189C81">
            <w:pPr>
              <w:jc w:val="center"/>
              <w:rPr>
                <w:rStyle w:val="9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9"/>
                <w:rFonts w:eastAsia="仿宋_GB2312"/>
                <w:sz w:val="28"/>
                <w:szCs w:val="28"/>
              </w:rPr>
              <w:t>提名意见</w:t>
            </w:r>
          </w:p>
        </w:tc>
        <w:tc>
          <w:tcPr>
            <w:tcW w:w="6378" w:type="dxa"/>
            <w:vAlign w:val="center"/>
          </w:tcPr>
          <w:p w14:paraId="026F3C64">
            <w:pPr>
              <w:ind w:firstLine="420" w:firstLineChars="200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聚焦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急性白血病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治疗领域，围绕 “治疗新靶点挖掘” 与 “临床新方案转化” 两大核心方向，开展了系统性、深层次的研究工作，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取得了如下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关键性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成果：①创新临床治疗方案，推动指南更新与患者获益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在急性T淋巴细胞白血病领域，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首次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阐明“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高三尖酯碱联合维奈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克拉”方案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的作用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机制，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成功完成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临床转化与推广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应用。该方案有效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延长了患者生存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，并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已被纳入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国内指南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急性髓系白血病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领域，提出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新型治疗方式，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经临床应用验证，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显著改善了患者生活质量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填补了传统治疗方案在患者生存体验提升方面的短板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。②挖掘验证新靶点与标志物，破解难治性疾病诊疗难题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急性髓系白血病，发现并验证了一系列具有临床价值的治疗新靶点与生物标志物，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深入阐明其机制，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并进一步临床转化，为“难治性急性白血病”的诊疗提供了潜在解决方案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③构建精准诊疗体系，揭示疾病新特征与预后规律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通过蛋白组学等多组学分析成功发现了生物标志物用于预测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急性白血病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患者在靶向治疗时代下的疗效，并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提出了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优化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解决方案；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借助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多组学生信分析及机器学习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探索了靶向时代下急性白血病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的全新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生物学特征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明确了影响患者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预后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的关键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因素。</w:t>
            </w:r>
          </w:p>
          <w:p w14:paraId="252204F9">
            <w:pPr>
              <w:ind w:firstLine="420" w:firstLineChars="200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本项目共发表SCI论文100余篇，授权国家发明专利3项，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撰写急性白血病相关国内指南及专家共识4项。目前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关键成果已在全国30余家医疗及科研机构推广应用，显著提升了急性白血病患者的治疗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有效率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，改善了患者预后，在保障人民健康的同时，产生了良好的社会效益与经济效益。</w:t>
            </w:r>
          </w:p>
          <w:p w14:paraId="325A2D2B">
            <w:pPr>
              <w:ind w:firstLine="420" w:firstLineChars="200"/>
              <w:rPr>
                <w:rStyle w:val="9"/>
                <w:b w:val="0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精准聚焦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解决人民健康领域的临床难点问题，在急性白血病新靶点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挖掘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和新方案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研发方面实现了多项原创性突破，成果具备广泛的临床应用价值与推广前景。基于此，我们郑重提名该成果参评省科学技术进步奖一等奖。</w:t>
            </w:r>
          </w:p>
        </w:tc>
      </w:tr>
    </w:tbl>
    <w:p w14:paraId="42D56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9A9E2"/>
    <w:multiLevelType w:val="singleLevel"/>
    <w:tmpl w:val="2F79A9E2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61"/>
    <w:rsid w:val="000B1B4D"/>
    <w:rsid w:val="000E6961"/>
    <w:rsid w:val="001E76DC"/>
    <w:rsid w:val="00292D87"/>
    <w:rsid w:val="003411D5"/>
    <w:rsid w:val="003E6CC0"/>
    <w:rsid w:val="0045737C"/>
    <w:rsid w:val="00457DBA"/>
    <w:rsid w:val="00564B9A"/>
    <w:rsid w:val="005C1677"/>
    <w:rsid w:val="005F293E"/>
    <w:rsid w:val="0066247A"/>
    <w:rsid w:val="00697616"/>
    <w:rsid w:val="006F2EDC"/>
    <w:rsid w:val="008011DB"/>
    <w:rsid w:val="0081039D"/>
    <w:rsid w:val="00823574"/>
    <w:rsid w:val="00830F81"/>
    <w:rsid w:val="00841BF4"/>
    <w:rsid w:val="008A3E68"/>
    <w:rsid w:val="008C4DA8"/>
    <w:rsid w:val="008E1075"/>
    <w:rsid w:val="008F59B7"/>
    <w:rsid w:val="00906CAA"/>
    <w:rsid w:val="009666F9"/>
    <w:rsid w:val="009F4D0A"/>
    <w:rsid w:val="00BB309F"/>
    <w:rsid w:val="00BE1F2B"/>
    <w:rsid w:val="00C15033"/>
    <w:rsid w:val="00C63921"/>
    <w:rsid w:val="00CE2BF6"/>
    <w:rsid w:val="00D94152"/>
    <w:rsid w:val="00E00F49"/>
    <w:rsid w:val="00E15578"/>
    <w:rsid w:val="00F24DD6"/>
    <w:rsid w:val="00F63595"/>
    <w:rsid w:val="00FF6FB5"/>
    <w:rsid w:val="174EA5CC"/>
    <w:rsid w:val="49FA2E6D"/>
    <w:rsid w:val="5FF73185"/>
    <w:rsid w:val="6EFBF7F1"/>
    <w:rsid w:val="73BA2608"/>
    <w:rsid w:val="74E5BB19"/>
    <w:rsid w:val="75B9B290"/>
    <w:rsid w:val="7FEE7B26"/>
    <w:rsid w:val="7FFE88A1"/>
    <w:rsid w:val="BBFA2190"/>
    <w:rsid w:val="BF5F3376"/>
    <w:rsid w:val="DAD7B563"/>
    <w:rsid w:val="DBDB5BA9"/>
    <w:rsid w:val="EE73A3D4"/>
    <w:rsid w:val="FF4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Heading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Header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1287</Words>
  <Characters>2413</Characters>
  <Lines>20</Lines>
  <Paragraphs>5</Paragraphs>
  <TotalTime>49</TotalTime>
  <ScaleCrop>false</ScaleCrop>
  <LinksUpToDate>false</LinksUpToDate>
  <CharactersWithSpaces>2632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2024-08-10T15:25:00Z</dcterms:created>
  <dc:creator>Administrator</dc:creator>
  <cp:lastModifiedBy>张仪</cp:lastModifiedBy>
  <dcterms:modified xsi:type="dcterms:W3CDTF">2025-09-12T02:10:28Z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642FD71B8FEBE7CEA7DBB4663A62425A_43</vt:lpwstr>
  </property>
  <property fmtid="{D5CDD505-2E9C-101B-9397-08002B2CF9AE}" pid="4" name="KSOTemplateDocerSaveRecord">
    <vt:lpwstr>eyJoZGlkIjoiNTMyNWI1YjFkYTkxMDQxOTgwNzVlY2Y5MjI0NWE4YTEiLCJ1c2VySWQiOiIyOTgyNzcyNjUifQ==</vt:lpwstr>
  </property>
</Properties>
</file>