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0E887">
      <w:pPr>
        <w:jc w:val="center"/>
        <w:rPr>
          <w:rStyle w:val="36"/>
          <w:rFonts w:eastAsia="方正小标宋简体"/>
          <w:bCs w:val="0"/>
          <w:color w:val="auto"/>
          <w:sz w:val="36"/>
          <w:szCs w:val="36"/>
        </w:rPr>
      </w:pPr>
      <w:bookmarkStart w:id="4" w:name="_GoBack"/>
      <w:bookmarkEnd w:id="4"/>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5A8C67D3">
      <w:pPr>
        <w:spacing w:line="440" w:lineRule="exact"/>
        <w:rPr>
          <w:rFonts w:hint="eastAsia" w:eastAsia="仿宋_GB2312"/>
          <w:sz w:val="28"/>
          <w:szCs w:val="24"/>
        </w:rPr>
      </w:pPr>
      <w:r>
        <w:rPr>
          <w:rFonts w:eastAsia="仿宋_GB2312"/>
          <w:sz w:val="28"/>
          <w:szCs w:val="24"/>
        </w:rPr>
        <w:t>提名奖项：自然科学奖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6"/>
        <w:gridCol w:w="6350"/>
      </w:tblGrid>
      <w:tr w14:paraId="50D0E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exact"/>
        </w:trPr>
        <w:tc>
          <w:tcPr>
            <w:tcW w:w="2156" w:type="dxa"/>
            <w:vAlign w:val="center"/>
          </w:tcPr>
          <w:p w14:paraId="2767FEC5">
            <w:pPr>
              <w:jc w:val="center"/>
              <w:rPr>
                <w:rStyle w:val="36"/>
                <w:rFonts w:eastAsia="仿宋_GB2312"/>
                <w:b w:val="0"/>
                <w:color w:val="auto"/>
                <w:sz w:val="28"/>
              </w:rPr>
            </w:pPr>
            <w:r>
              <w:rPr>
                <w:rStyle w:val="36"/>
                <w:rFonts w:eastAsia="仿宋_GB2312"/>
                <w:b w:val="0"/>
                <w:bCs w:val="0"/>
                <w:color w:val="auto"/>
                <w:sz w:val="28"/>
              </w:rPr>
              <w:t>成果名称</w:t>
            </w:r>
          </w:p>
        </w:tc>
        <w:tc>
          <w:tcPr>
            <w:tcW w:w="6350" w:type="dxa"/>
            <w:vAlign w:val="center"/>
          </w:tcPr>
          <w:p w14:paraId="13245DCF">
            <w:pPr>
              <w:jc w:val="center"/>
              <w:rPr>
                <w:rStyle w:val="36"/>
                <w:rFonts w:ascii="仿宋" w:hAnsi="仿宋" w:eastAsia="仿宋"/>
                <w:b w:val="0"/>
                <w:color w:val="auto"/>
                <w:sz w:val="28"/>
              </w:rPr>
            </w:pPr>
            <w:r>
              <w:rPr>
                <w:rStyle w:val="36"/>
                <w:rFonts w:hint="eastAsia" w:ascii="仿宋" w:hAnsi="仿宋" w:eastAsia="仿宋" w:cs="微软雅黑"/>
                <w:b w:val="0"/>
                <w:color w:val="auto"/>
                <w:sz w:val="28"/>
              </w:rPr>
              <w:t>肿瘤耐</w:t>
            </w:r>
            <w:r>
              <w:rPr>
                <w:rStyle w:val="36"/>
                <w:rFonts w:hint="eastAsia" w:ascii="仿宋" w:hAnsi="仿宋" w:eastAsia="仿宋" w:cs="___WRD_EMBED_SUB_1315"/>
                <w:b w:val="0"/>
                <w:color w:val="auto"/>
                <w:sz w:val="28"/>
              </w:rPr>
              <w:t>药的非</w:t>
            </w:r>
            <w:r>
              <w:rPr>
                <w:rStyle w:val="36"/>
                <w:rFonts w:hint="eastAsia" w:ascii="仿宋" w:hAnsi="仿宋" w:eastAsia="仿宋" w:cs="微软雅黑"/>
                <w:b w:val="0"/>
                <w:color w:val="auto"/>
                <w:sz w:val="28"/>
              </w:rPr>
              <w:t>遗</w:t>
            </w:r>
            <w:r>
              <w:rPr>
                <w:rStyle w:val="36"/>
                <w:rFonts w:hint="eastAsia" w:ascii="仿宋" w:hAnsi="仿宋" w:eastAsia="仿宋" w:cs="___WRD_EMBED_SUB_1315"/>
                <w:b w:val="0"/>
                <w:color w:val="auto"/>
                <w:sz w:val="28"/>
              </w:rPr>
              <w:t>传动态调</w:t>
            </w:r>
            <w:r>
              <w:rPr>
                <w:rStyle w:val="36"/>
                <w:rFonts w:hint="eastAsia" w:ascii="仿宋" w:hAnsi="仿宋" w:eastAsia="仿宋" w:cs="微软雅黑"/>
                <w:b w:val="0"/>
                <w:color w:val="auto"/>
                <w:sz w:val="28"/>
              </w:rPr>
              <w:t>控</w:t>
            </w:r>
            <w:r>
              <w:rPr>
                <w:rStyle w:val="36"/>
                <w:rFonts w:hint="eastAsia" w:ascii="仿宋" w:hAnsi="仿宋" w:eastAsia="仿宋" w:cs="___WRD_EMBED_SUB_1315"/>
                <w:b w:val="0"/>
                <w:color w:val="auto"/>
                <w:sz w:val="28"/>
              </w:rPr>
              <w:t>机制及对策</w:t>
            </w:r>
          </w:p>
        </w:tc>
      </w:tr>
      <w:tr w14:paraId="0CF01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exact"/>
        </w:trPr>
        <w:tc>
          <w:tcPr>
            <w:tcW w:w="2156" w:type="dxa"/>
            <w:vAlign w:val="center"/>
          </w:tcPr>
          <w:p w14:paraId="1152EF71">
            <w:pPr>
              <w:jc w:val="center"/>
              <w:rPr>
                <w:rStyle w:val="36"/>
                <w:rFonts w:eastAsia="仿宋_GB2312"/>
                <w:b w:val="0"/>
                <w:color w:val="auto"/>
                <w:sz w:val="28"/>
              </w:rPr>
            </w:pPr>
            <w:r>
              <w:rPr>
                <w:rStyle w:val="36"/>
                <w:rFonts w:eastAsia="仿宋_GB2312"/>
                <w:b w:val="0"/>
                <w:bCs w:val="0"/>
                <w:color w:val="auto"/>
                <w:sz w:val="28"/>
              </w:rPr>
              <w:t>提名等级</w:t>
            </w:r>
          </w:p>
        </w:tc>
        <w:tc>
          <w:tcPr>
            <w:tcW w:w="6350" w:type="dxa"/>
            <w:vAlign w:val="center"/>
          </w:tcPr>
          <w:p w14:paraId="33FEC3DD">
            <w:pPr>
              <w:jc w:val="center"/>
              <w:rPr>
                <w:rStyle w:val="36"/>
                <w:rFonts w:eastAsia="仿宋_GB2312"/>
                <w:b w:val="0"/>
                <w:color w:val="auto"/>
                <w:sz w:val="28"/>
              </w:rPr>
            </w:pPr>
            <w:r>
              <w:rPr>
                <w:rStyle w:val="36"/>
                <w:rFonts w:hint="eastAsia" w:eastAsia="仿宋_GB2312"/>
                <w:b w:val="0"/>
                <w:color w:val="auto"/>
                <w:sz w:val="28"/>
              </w:rPr>
              <w:t>二等奖</w:t>
            </w:r>
          </w:p>
        </w:tc>
      </w:tr>
      <w:tr w14:paraId="62F96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4" w:hRule="atLeast"/>
        </w:trPr>
        <w:tc>
          <w:tcPr>
            <w:tcW w:w="2156" w:type="dxa"/>
            <w:vAlign w:val="center"/>
          </w:tcPr>
          <w:p w14:paraId="230F40D5">
            <w:pPr>
              <w:spacing w:line="440" w:lineRule="exact"/>
              <w:jc w:val="center"/>
              <w:rPr>
                <w:rFonts w:eastAsia="仿宋_GB2312"/>
                <w:bCs/>
                <w:sz w:val="28"/>
                <w:szCs w:val="24"/>
              </w:rPr>
            </w:pPr>
            <w:r>
              <w:rPr>
                <w:rFonts w:eastAsia="仿宋_GB2312"/>
                <w:bCs/>
                <w:sz w:val="28"/>
                <w:szCs w:val="24"/>
              </w:rPr>
              <w:t>提名书</w:t>
            </w:r>
          </w:p>
          <w:p w14:paraId="2C683481">
            <w:pPr>
              <w:spacing w:line="440" w:lineRule="exact"/>
              <w:jc w:val="center"/>
              <w:rPr>
                <w:rFonts w:eastAsia="仿宋_GB2312"/>
                <w:bCs/>
                <w:sz w:val="28"/>
                <w:szCs w:val="24"/>
              </w:rPr>
            </w:pPr>
            <w:r>
              <w:rPr>
                <w:rFonts w:eastAsia="仿宋_GB2312"/>
                <w:bCs/>
                <w:sz w:val="28"/>
                <w:szCs w:val="24"/>
              </w:rPr>
              <w:t>相关内容</w:t>
            </w:r>
          </w:p>
        </w:tc>
        <w:tc>
          <w:tcPr>
            <w:tcW w:w="6350" w:type="dxa"/>
            <w:vAlign w:val="center"/>
          </w:tcPr>
          <w:p w14:paraId="07171631">
            <w:pPr>
              <w:spacing w:line="440" w:lineRule="exact"/>
              <w:jc w:val="left"/>
              <w:rPr>
                <w:rFonts w:hint="eastAsia" w:eastAsia="仿宋_GB2312"/>
                <w:bCs/>
                <w:color w:val="0000FF"/>
                <w:sz w:val="24"/>
                <w:szCs w:val="24"/>
              </w:rPr>
            </w:pPr>
            <w:r>
              <w:rPr>
                <w:rFonts w:eastAsia="仿宋_GB2312"/>
                <w:bCs/>
                <w:sz w:val="24"/>
                <w:szCs w:val="24"/>
              </w:rPr>
              <w:t>自然科学奖：提名书的代表性论文专著目录、主要知识产权和标准规范目录；</w:t>
            </w:r>
            <w:r>
              <w:rPr>
                <w:rFonts w:eastAsia="仿宋_GB2312"/>
                <w:bCs/>
                <w:color w:val="0000FF"/>
                <w:sz w:val="24"/>
                <w:szCs w:val="24"/>
              </w:rPr>
              <w:t xml:space="preserve"> </w:t>
            </w:r>
          </w:p>
        </w:tc>
      </w:tr>
      <w:tr w14:paraId="5FA14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2" w:hRule="atLeast"/>
        </w:trPr>
        <w:tc>
          <w:tcPr>
            <w:tcW w:w="2156" w:type="dxa"/>
            <w:tcBorders>
              <w:right w:val="single" w:color="auto" w:sz="4" w:space="0"/>
            </w:tcBorders>
            <w:vAlign w:val="center"/>
          </w:tcPr>
          <w:p w14:paraId="3064500A">
            <w:pPr>
              <w:spacing w:line="440" w:lineRule="exact"/>
              <w:jc w:val="center"/>
              <w:rPr>
                <w:rFonts w:eastAsia="仿宋_GB2312"/>
                <w:bCs/>
                <w:sz w:val="28"/>
                <w:szCs w:val="24"/>
              </w:rPr>
            </w:pPr>
            <w:r>
              <w:rPr>
                <w:rFonts w:eastAsia="仿宋_GB2312"/>
                <w:bCs/>
                <w:sz w:val="28"/>
                <w:szCs w:val="24"/>
              </w:rPr>
              <w:t>主要完成人</w:t>
            </w:r>
          </w:p>
        </w:tc>
        <w:tc>
          <w:tcPr>
            <w:tcW w:w="6350" w:type="dxa"/>
            <w:tcBorders>
              <w:left w:val="single" w:color="auto" w:sz="4" w:space="0"/>
            </w:tcBorders>
            <w:vAlign w:val="center"/>
          </w:tcPr>
          <w:p w14:paraId="77FD8E01">
            <w:pPr>
              <w:spacing w:line="320" w:lineRule="exact"/>
              <w:rPr>
                <w:rFonts w:hint="eastAsia" w:ascii="仿宋" w:hAnsi="仿宋" w:eastAsia="仿宋"/>
                <w:bCs/>
                <w:sz w:val="24"/>
                <w:szCs w:val="24"/>
              </w:rPr>
            </w:pPr>
            <w:r>
              <w:rPr>
                <w:rFonts w:hint="eastAsia" w:ascii="仿宋" w:hAnsi="仿宋" w:eastAsia="仿宋"/>
                <w:bCs/>
                <w:sz w:val="24"/>
                <w:szCs w:val="24"/>
              </w:rPr>
              <w:t>金</w:t>
            </w:r>
            <w:r>
              <w:rPr>
                <w:rFonts w:hint="eastAsia" w:ascii="仿宋" w:hAnsi="仿宋" w:eastAsia="仿宋" w:cs="微软雅黑"/>
                <w:bCs/>
                <w:sz w:val="24"/>
                <w:szCs w:val="24"/>
              </w:rPr>
              <w:t>洪</w:t>
            </w:r>
            <w:r>
              <w:rPr>
                <w:rFonts w:hint="eastAsia" w:ascii="仿宋" w:hAnsi="仿宋" w:eastAsia="仿宋" w:cs="___WRD_EMBED_SUB_1315"/>
                <w:bCs/>
                <w:sz w:val="24"/>
                <w:szCs w:val="24"/>
              </w:rPr>
              <w:t>传，排名</w:t>
            </w:r>
            <w:r>
              <w:rPr>
                <w:rFonts w:hint="eastAsia" w:ascii="仿宋" w:hAnsi="仿宋" w:eastAsia="仿宋"/>
                <w:bCs/>
                <w:sz w:val="24"/>
                <w:szCs w:val="24"/>
              </w:rPr>
              <w:t>1，教授，浙江大学医学院附属</w:t>
            </w:r>
            <w:r>
              <w:rPr>
                <w:rFonts w:hint="eastAsia" w:ascii="仿宋" w:hAnsi="仿宋" w:eastAsia="仿宋" w:cs="微软雅黑"/>
                <w:bCs/>
                <w:sz w:val="24"/>
                <w:szCs w:val="24"/>
              </w:rPr>
              <w:t>邵逸夫</w:t>
            </w:r>
            <w:r>
              <w:rPr>
                <w:rFonts w:hint="eastAsia" w:ascii="仿宋" w:hAnsi="仿宋" w:eastAsia="仿宋" w:cs="___WRD_EMBED_SUB_1315"/>
                <w:bCs/>
                <w:sz w:val="24"/>
                <w:szCs w:val="24"/>
              </w:rPr>
              <w:t>医院；</w:t>
            </w:r>
          </w:p>
          <w:p w14:paraId="553DAC3B">
            <w:pPr>
              <w:spacing w:line="320" w:lineRule="exact"/>
              <w:rPr>
                <w:rFonts w:hint="eastAsia" w:ascii="仿宋" w:hAnsi="仿宋" w:eastAsia="仿宋"/>
                <w:bCs/>
                <w:sz w:val="24"/>
                <w:szCs w:val="24"/>
              </w:rPr>
            </w:pPr>
            <w:r>
              <w:rPr>
                <w:rFonts w:hint="eastAsia" w:ascii="仿宋" w:hAnsi="仿宋" w:eastAsia="仿宋" w:cs="微软雅黑"/>
                <w:bCs/>
                <w:sz w:val="24"/>
                <w:szCs w:val="24"/>
              </w:rPr>
              <w:t>冯</w:t>
            </w:r>
            <w:r>
              <w:rPr>
                <w:rFonts w:hint="eastAsia" w:ascii="仿宋" w:hAnsi="仿宋" w:eastAsia="仿宋" w:cs="___WRD_EMBED_SUB_1315"/>
                <w:bCs/>
                <w:sz w:val="24"/>
                <w:szCs w:val="24"/>
              </w:rPr>
              <w:t>利</w:t>
            </w:r>
            <w:r>
              <w:rPr>
                <w:rFonts w:hint="eastAsia" w:ascii="仿宋" w:hAnsi="仿宋" w:eastAsia="仿宋" w:cs="微软雅黑"/>
                <w:bCs/>
                <w:sz w:val="24"/>
                <w:szCs w:val="24"/>
              </w:rPr>
              <w:t>锋</w:t>
            </w:r>
            <w:r>
              <w:rPr>
                <w:rFonts w:hint="eastAsia" w:ascii="仿宋" w:hAnsi="仿宋" w:eastAsia="仿宋" w:cs="___WRD_EMBED_SUB_1315"/>
                <w:bCs/>
                <w:sz w:val="24"/>
                <w:szCs w:val="24"/>
              </w:rPr>
              <w:t>，排名</w:t>
            </w:r>
            <w:r>
              <w:rPr>
                <w:rFonts w:hint="eastAsia" w:ascii="仿宋" w:hAnsi="仿宋" w:eastAsia="仿宋"/>
                <w:bCs/>
                <w:sz w:val="24"/>
                <w:szCs w:val="24"/>
              </w:rPr>
              <w:t>2，研究员，浙江大学医学院附属</w:t>
            </w:r>
            <w:r>
              <w:rPr>
                <w:rFonts w:hint="eastAsia" w:ascii="仿宋" w:hAnsi="仿宋" w:eastAsia="仿宋" w:cs="微软雅黑"/>
                <w:bCs/>
                <w:sz w:val="24"/>
                <w:szCs w:val="24"/>
              </w:rPr>
              <w:t>邵逸夫</w:t>
            </w:r>
            <w:r>
              <w:rPr>
                <w:rFonts w:hint="eastAsia" w:ascii="仿宋" w:hAnsi="仿宋" w:eastAsia="仿宋" w:cs="___WRD_EMBED_SUB_1315"/>
                <w:bCs/>
                <w:sz w:val="24"/>
                <w:szCs w:val="24"/>
              </w:rPr>
              <w:t>医院；</w:t>
            </w:r>
          </w:p>
          <w:p w14:paraId="3A05349E">
            <w:pPr>
              <w:spacing w:line="320" w:lineRule="exact"/>
              <w:rPr>
                <w:rFonts w:hint="eastAsia" w:ascii="仿宋" w:hAnsi="仿宋" w:eastAsia="仿宋"/>
                <w:bCs/>
                <w:sz w:val="24"/>
                <w:szCs w:val="24"/>
              </w:rPr>
            </w:pPr>
            <w:r>
              <w:rPr>
                <w:rFonts w:hint="eastAsia" w:ascii="仿宋" w:hAnsi="仿宋" w:eastAsia="仿宋" w:cs="微软雅黑"/>
                <w:bCs/>
                <w:sz w:val="24"/>
                <w:szCs w:val="24"/>
              </w:rPr>
              <w:t>朱丽媛</w:t>
            </w:r>
            <w:r>
              <w:rPr>
                <w:rFonts w:hint="eastAsia" w:ascii="仿宋" w:hAnsi="仿宋" w:eastAsia="仿宋" w:cs="___WRD_EMBED_SUB_1315"/>
                <w:bCs/>
                <w:sz w:val="24"/>
                <w:szCs w:val="24"/>
              </w:rPr>
              <w:t>，排名</w:t>
            </w:r>
            <w:r>
              <w:rPr>
                <w:rFonts w:hint="eastAsia" w:ascii="仿宋" w:hAnsi="仿宋" w:eastAsia="仿宋"/>
                <w:bCs/>
                <w:sz w:val="24"/>
                <w:szCs w:val="24"/>
              </w:rPr>
              <w:t>3，助研，浙江大学医学院附属</w:t>
            </w:r>
            <w:r>
              <w:rPr>
                <w:rFonts w:hint="eastAsia" w:ascii="仿宋" w:hAnsi="仿宋" w:eastAsia="仿宋" w:cs="微软雅黑"/>
                <w:bCs/>
                <w:sz w:val="24"/>
                <w:szCs w:val="24"/>
              </w:rPr>
              <w:t>邵逸夫</w:t>
            </w:r>
            <w:r>
              <w:rPr>
                <w:rFonts w:hint="eastAsia" w:ascii="仿宋" w:hAnsi="仿宋" w:eastAsia="仿宋" w:cs="___WRD_EMBED_SUB_1315"/>
                <w:bCs/>
                <w:sz w:val="24"/>
                <w:szCs w:val="24"/>
              </w:rPr>
              <w:t>医院；</w:t>
            </w:r>
          </w:p>
          <w:p w14:paraId="74C05B6D">
            <w:pPr>
              <w:spacing w:line="320" w:lineRule="exact"/>
              <w:rPr>
                <w:rFonts w:hint="eastAsia" w:ascii="仿宋" w:hAnsi="仿宋" w:eastAsia="仿宋"/>
                <w:bCs/>
                <w:sz w:val="24"/>
                <w:szCs w:val="24"/>
              </w:rPr>
            </w:pPr>
            <w:r>
              <w:rPr>
                <w:rFonts w:hint="eastAsia" w:ascii="仿宋" w:hAnsi="仿宋" w:eastAsia="仿宋" w:cs="微软雅黑"/>
                <w:bCs/>
                <w:sz w:val="24"/>
                <w:szCs w:val="24"/>
              </w:rPr>
              <w:t>王娴</w:t>
            </w:r>
            <w:r>
              <w:rPr>
                <w:rFonts w:hint="eastAsia" w:ascii="仿宋" w:hAnsi="仿宋" w:eastAsia="仿宋" w:cs="___WRD_EMBED_SUB_1315"/>
                <w:bCs/>
                <w:sz w:val="24"/>
                <w:szCs w:val="24"/>
              </w:rPr>
              <w:t>，排名</w:t>
            </w:r>
            <w:r>
              <w:rPr>
                <w:rFonts w:hint="eastAsia" w:ascii="仿宋" w:hAnsi="仿宋" w:eastAsia="仿宋"/>
                <w:bCs/>
                <w:sz w:val="24"/>
                <w:szCs w:val="24"/>
              </w:rPr>
              <w:t>4，主任医</w:t>
            </w:r>
            <w:r>
              <w:rPr>
                <w:rFonts w:hint="eastAsia" w:ascii="仿宋" w:hAnsi="仿宋" w:eastAsia="仿宋" w:cs="微软雅黑"/>
                <w:bCs/>
                <w:sz w:val="24"/>
                <w:szCs w:val="24"/>
              </w:rPr>
              <w:t>师</w:t>
            </w:r>
            <w:r>
              <w:rPr>
                <w:rFonts w:hint="eastAsia" w:ascii="仿宋" w:hAnsi="仿宋" w:eastAsia="仿宋" w:cs="___WRD_EMBED_SUB_1315"/>
                <w:bCs/>
                <w:sz w:val="24"/>
                <w:szCs w:val="24"/>
              </w:rPr>
              <w:t>，浙江大学医学院附属</w:t>
            </w:r>
            <w:r>
              <w:rPr>
                <w:rFonts w:hint="eastAsia" w:ascii="仿宋" w:hAnsi="仿宋" w:eastAsia="仿宋" w:cs="微软雅黑"/>
                <w:bCs/>
                <w:sz w:val="24"/>
                <w:szCs w:val="24"/>
              </w:rPr>
              <w:t>邵逸夫</w:t>
            </w:r>
            <w:r>
              <w:rPr>
                <w:rFonts w:hint="eastAsia" w:ascii="仿宋" w:hAnsi="仿宋" w:eastAsia="仿宋" w:cs="___WRD_EMBED_SUB_1315"/>
                <w:bCs/>
                <w:sz w:val="24"/>
                <w:szCs w:val="24"/>
              </w:rPr>
              <w:t>医院；</w:t>
            </w:r>
          </w:p>
          <w:p w14:paraId="657275F6">
            <w:pPr>
              <w:spacing w:line="320" w:lineRule="exact"/>
              <w:rPr>
                <w:rFonts w:ascii="仿宋" w:hAnsi="仿宋" w:eastAsia="仿宋"/>
                <w:bCs/>
                <w:sz w:val="24"/>
                <w:szCs w:val="24"/>
              </w:rPr>
            </w:pPr>
            <w:r>
              <w:rPr>
                <w:rFonts w:hint="eastAsia" w:ascii="仿宋" w:hAnsi="仿宋" w:eastAsia="仿宋"/>
                <w:bCs/>
                <w:sz w:val="24"/>
                <w:szCs w:val="24"/>
              </w:rPr>
              <w:t>许文</w:t>
            </w:r>
            <w:r>
              <w:rPr>
                <w:rFonts w:hint="eastAsia" w:ascii="仿宋" w:hAnsi="仿宋" w:eastAsia="仿宋" w:cs="微软雅黑"/>
                <w:bCs/>
                <w:sz w:val="24"/>
                <w:szCs w:val="24"/>
              </w:rPr>
              <w:t>侠</w:t>
            </w:r>
            <w:r>
              <w:rPr>
                <w:rFonts w:hint="eastAsia" w:ascii="仿宋" w:hAnsi="仿宋" w:eastAsia="仿宋" w:cs="___WRD_EMBED_SUB_1315"/>
                <w:bCs/>
                <w:sz w:val="24"/>
                <w:szCs w:val="24"/>
              </w:rPr>
              <w:t>，排名</w:t>
            </w:r>
            <w:r>
              <w:rPr>
                <w:rFonts w:hint="eastAsia" w:ascii="仿宋" w:hAnsi="仿宋" w:eastAsia="仿宋"/>
                <w:bCs/>
                <w:sz w:val="24"/>
                <w:szCs w:val="24"/>
              </w:rPr>
              <w:t>5，副研究员，金华市中心医院；</w:t>
            </w:r>
          </w:p>
        </w:tc>
      </w:tr>
      <w:tr w14:paraId="46489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2156" w:type="dxa"/>
            <w:tcBorders>
              <w:right w:val="single" w:color="auto" w:sz="4" w:space="0"/>
            </w:tcBorders>
            <w:vAlign w:val="center"/>
          </w:tcPr>
          <w:p w14:paraId="2D1625BB">
            <w:pPr>
              <w:spacing w:line="440" w:lineRule="exact"/>
              <w:jc w:val="center"/>
              <w:rPr>
                <w:rFonts w:eastAsia="仿宋"/>
                <w:bCs/>
                <w:sz w:val="24"/>
                <w:szCs w:val="24"/>
              </w:rPr>
            </w:pPr>
            <w:r>
              <w:rPr>
                <w:rFonts w:eastAsia="仿宋"/>
                <w:bCs/>
                <w:sz w:val="28"/>
                <w:szCs w:val="24"/>
              </w:rPr>
              <w:t>主要完成单位</w:t>
            </w:r>
          </w:p>
        </w:tc>
        <w:tc>
          <w:tcPr>
            <w:tcW w:w="6350" w:type="dxa"/>
            <w:tcBorders>
              <w:left w:val="single" w:color="auto" w:sz="4" w:space="0"/>
            </w:tcBorders>
            <w:vAlign w:val="center"/>
          </w:tcPr>
          <w:p w14:paraId="37530F02">
            <w:pPr>
              <w:spacing w:line="440" w:lineRule="exact"/>
              <w:jc w:val="center"/>
              <w:rPr>
                <w:rFonts w:ascii="仿宋" w:hAnsi="仿宋" w:eastAsia="仿宋"/>
                <w:bCs/>
                <w:sz w:val="24"/>
                <w:szCs w:val="24"/>
              </w:rPr>
            </w:pPr>
            <w:r>
              <w:rPr>
                <w:rFonts w:hint="eastAsia" w:ascii="仿宋" w:hAnsi="仿宋" w:eastAsia="仿宋"/>
                <w:bCs/>
                <w:sz w:val="24"/>
                <w:szCs w:val="24"/>
              </w:rPr>
              <w:t>浙江大学医学院附属</w:t>
            </w:r>
            <w:r>
              <w:rPr>
                <w:rFonts w:hint="eastAsia" w:ascii="仿宋" w:hAnsi="仿宋" w:eastAsia="仿宋" w:cs="微软雅黑"/>
                <w:bCs/>
                <w:sz w:val="24"/>
                <w:szCs w:val="24"/>
              </w:rPr>
              <w:t>邵逸夫医院</w:t>
            </w:r>
          </w:p>
        </w:tc>
      </w:tr>
      <w:tr w14:paraId="3F55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2156" w:type="dxa"/>
            <w:vAlign w:val="center"/>
          </w:tcPr>
          <w:p w14:paraId="531643AD">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350" w:type="dxa"/>
            <w:vAlign w:val="center"/>
          </w:tcPr>
          <w:p w14:paraId="5A744871">
            <w:pPr>
              <w:contextualSpacing/>
              <w:jc w:val="center"/>
              <w:rPr>
                <w:rStyle w:val="36"/>
                <w:rFonts w:ascii="仿宋" w:hAnsi="仿宋" w:eastAsia="仿宋"/>
                <w:b w:val="0"/>
                <w:color w:val="auto"/>
              </w:rPr>
            </w:pPr>
            <w:r>
              <w:rPr>
                <w:rStyle w:val="36"/>
                <w:rFonts w:hint="eastAsia" w:ascii="仿宋" w:hAnsi="仿宋" w:eastAsia="仿宋"/>
                <w:b w:val="0"/>
                <w:color w:val="auto"/>
              </w:rPr>
              <w:t>浙江大学</w:t>
            </w:r>
          </w:p>
        </w:tc>
      </w:tr>
      <w:tr w14:paraId="3BF44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2156" w:type="dxa"/>
            <w:vAlign w:val="center"/>
          </w:tcPr>
          <w:p w14:paraId="6F5F94D3">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350" w:type="dxa"/>
            <w:vAlign w:val="center"/>
          </w:tcPr>
          <w:p w14:paraId="20C5E640">
            <w:pPr>
              <w:spacing w:line="320" w:lineRule="exact"/>
              <w:contextualSpacing/>
              <w:jc w:val="left"/>
              <w:rPr>
                <w:rStyle w:val="36"/>
                <w:rFonts w:hint="eastAsia" w:ascii="仿宋" w:hAnsi="仿宋" w:eastAsia="仿宋"/>
                <w:b w:val="0"/>
                <w:color w:val="auto"/>
              </w:rPr>
            </w:pPr>
            <w:r>
              <w:rPr>
                <w:rStyle w:val="36"/>
                <w:rFonts w:hint="eastAsia" w:ascii="仿宋" w:hAnsi="仿宋" w:eastAsia="仿宋"/>
                <w:b w:val="0"/>
                <w:color w:val="auto"/>
              </w:rPr>
              <w:t>恶性肿瘤已然成为严重威胁人类生命健康和社会发展的重大疾病，也是社会关注的焦点；我国人口老龄化进程加快，使得癌症发病仍处于逐年上升态势，攻克肿瘤始终是难题。化学药物、分子靶向及免疫治疗使肿瘤细胞较易产生耐药性而导致治疗失败；故亟待研究其耐药性产生机制及如何逆转细胞对药物的耐受。单独的遗传序列密码并不足以解释生命的复杂性。生物医学进入了后基因组时代，研究重点也逐渐转向基因动态表达的转录和转录后调控机制，基于表观遗传密码解读之升级版精准医学也会在不久的将来更好地服务人类。基于此背景，本项目组聚焦不同类型肿瘤细胞因药物或营养物质缺乏而产生的耐药性，深入探讨其中的</w:t>
            </w:r>
            <w:r>
              <w:rPr>
                <w:rStyle w:val="36"/>
                <w:rFonts w:hint="eastAsia" w:ascii="微软雅黑" w:hAnsi="微软雅黑" w:eastAsia="微软雅黑" w:cs="微软雅黑"/>
                <w:b w:val="0"/>
                <w:color w:val="auto"/>
              </w:rPr>
              <w:t>⾮</w:t>
            </w:r>
            <w:r>
              <w:rPr>
                <w:rStyle w:val="36"/>
                <w:rFonts w:hint="eastAsia" w:ascii="仿宋" w:hAnsi="仿宋" w:eastAsia="仿宋" w:cs="宋体"/>
                <w:b w:val="0"/>
                <w:color w:val="auto"/>
              </w:rPr>
              <w:t>遗传动态调控机制，其中包括蛋白翻译后修饰谱变化、糖代谢异常及非编码</w:t>
            </w:r>
            <w:r>
              <w:rPr>
                <w:rStyle w:val="36"/>
                <w:rFonts w:ascii="仿宋" w:hAnsi="仿宋" w:eastAsia="仿宋"/>
                <w:b w:val="0"/>
                <w:color w:val="auto"/>
              </w:rPr>
              <w:t>RNA</w:t>
            </w:r>
            <w:r>
              <w:rPr>
                <w:rStyle w:val="36"/>
                <w:rFonts w:hint="eastAsia" w:ascii="仿宋" w:hAnsi="仿宋" w:eastAsia="仿宋"/>
                <w:b w:val="0"/>
                <w:color w:val="auto"/>
              </w:rPr>
              <w:t>介导胃癌细胞多药耐药的分子机制；去乙酰转移酶</w:t>
            </w:r>
            <w:r>
              <w:rPr>
                <w:rStyle w:val="36"/>
                <w:rFonts w:ascii="仿宋" w:hAnsi="仿宋" w:eastAsia="仿宋"/>
                <w:b w:val="0"/>
                <w:color w:val="auto"/>
              </w:rPr>
              <w:t>SIRT1</w:t>
            </w:r>
            <w:r>
              <w:rPr>
                <w:rStyle w:val="36"/>
                <w:rFonts w:hint="eastAsia" w:ascii="仿宋" w:hAnsi="仿宋" w:eastAsia="仿宋"/>
                <w:b w:val="0"/>
                <w:color w:val="auto"/>
              </w:rPr>
              <w:t>介导的肝癌、肺癌耐药机理；联合干预</w:t>
            </w:r>
            <w:r>
              <w:rPr>
                <w:rStyle w:val="36"/>
                <w:rFonts w:ascii="仿宋" w:hAnsi="仿宋" w:eastAsia="仿宋"/>
                <w:b w:val="0"/>
                <w:color w:val="auto"/>
              </w:rPr>
              <w:t xml:space="preserve"> ATF4</w:t>
            </w:r>
            <w:r>
              <w:rPr>
                <w:rStyle w:val="36"/>
                <w:rFonts w:hint="eastAsia" w:ascii="仿宋" w:hAnsi="仿宋" w:eastAsia="仿宋"/>
                <w:b w:val="0"/>
                <w:color w:val="auto"/>
              </w:rPr>
              <w:t>表达依赖的保护性细胞自噬逆转靶向谷氨酰胺代谢治疗抵抗等等。围绕以上内容，该团队在2019年至2022年期间总共发表项目相关论文27篇，授权国家发明专利3件。因此，该成果从非遗传动态调控层面解析了肿瘤细胞耐药产生机制及可能的逆转策略，为今后的肿瘤防治及化疗、靶向/免疫治疗效果理想化提供强有力的依据和科学理论支撑，具备重大的科学意义和良好的临床转化前景。团队主要完成人主持多项国家及省部级项目，并多人次入选各级别人才计划。经慎重考量，同意提名该成果为省自然科学奖二等奖。</w:t>
            </w:r>
          </w:p>
        </w:tc>
      </w:tr>
    </w:tbl>
    <w:p w14:paraId="1353538B">
      <w:pPr>
        <w:adjustRightInd w:val="0"/>
        <w:snapToGrid w:val="0"/>
        <w:spacing w:line="560" w:lineRule="exact"/>
        <w:rPr>
          <w:rFonts w:eastAsia="仿宋_GB2312"/>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14:paraId="5C7AD973">
      <w:pPr>
        <w:jc w:val="center"/>
        <w:rPr>
          <w:rFonts w:eastAsia="方正黑体简体"/>
          <w:sz w:val="32"/>
          <w:szCs w:val="22"/>
        </w:rPr>
      </w:pPr>
      <w:r>
        <w:rPr>
          <w:rFonts w:eastAsia="方正黑体简体"/>
          <w:sz w:val="32"/>
          <w:szCs w:val="22"/>
        </w:rPr>
        <w:t>六、代表性论文专著目录（不超过8篇）</w:t>
      </w:r>
    </w:p>
    <w:tbl>
      <w:tblPr>
        <w:tblStyle w:val="16"/>
        <w:tblW w:w="1414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27"/>
        <w:gridCol w:w="1520"/>
        <w:gridCol w:w="1530"/>
        <w:gridCol w:w="950"/>
        <w:gridCol w:w="940"/>
        <w:gridCol w:w="2410"/>
        <w:gridCol w:w="600"/>
        <w:gridCol w:w="1029"/>
      </w:tblGrid>
      <w:tr w14:paraId="1B302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14:paraId="6FF4F135">
            <w:pPr>
              <w:jc w:val="center"/>
              <w:rPr>
                <w:rFonts w:eastAsia="仿宋_GB2312"/>
                <w:sz w:val="24"/>
                <w:szCs w:val="24"/>
              </w:rPr>
            </w:pPr>
            <w:r>
              <w:rPr>
                <w:rFonts w:eastAsia="仿宋_GB2312"/>
                <w:sz w:val="24"/>
                <w:szCs w:val="24"/>
              </w:rPr>
              <w:t>序号</w:t>
            </w:r>
          </w:p>
        </w:tc>
        <w:tc>
          <w:tcPr>
            <w:tcW w:w="452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2D675B1">
            <w:pPr>
              <w:jc w:val="center"/>
              <w:rPr>
                <w:rFonts w:eastAsia="仿宋_GB2312"/>
                <w:sz w:val="24"/>
                <w:szCs w:val="24"/>
              </w:rPr>
            </w:pPr>
            <w:r>
              <w:rPr>
                <w:rFonts w:eastAsia="仿宋_GB2312"/>
                <w:sz w:val="24"/>
                <w:szCs w:val="24"/>
              </w:rPr>
              <w:t>论文专著名称/刊名</w:t>
            </w:r>
          </w:p>
        </w:tc>
        <w:tc>
          <w:tcPr>
            <w:tcW w:w="152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186DCF76">
            <w:pPr>
              <w:jc w:val="center"/>
              <w:rPr>
                <w:rFonts w:eastAsia="仿宋_GB2312"/>
                <w:sz w:val="24"/>
                <w:szCs w:val="24"/>
              </w:rPr>
            </w:pPr>
            <w:r>
              <w:rPr>
                <w:rFonts w:eastAsia="仿宋_GB2312"/>
                <w:sz w:val="24"/>
                <w:szCs w:val="24"/>
              </w:rPr>
              <w:t>年卷页码（xx年xx卷xx页）</w:t>
            </w:r>
          </w:p>
        </w:tc>
        <w:tc>
          <w:tcPr>
            <w:tcW w:w="153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47BC9245">
            <w:pPr>
              <w:jc w:val="center"/>
              <w:rPr>
                <w:rFonts w:eastAsia="仿宋_GB2312"/>
                <w:sz w:val="24"/>
                <w:szCs w:val="24"/>
              </w:rPr>
            </w:pPr>
            <w:r>
              <w:rPr>
                <w:rFonts w:eastAsia="仿宋_GB2312"/>
                <w:sz w:val="24"/>
                <w:szCs w:val="24"/>
              </w:rPr>
              <w:t>发表</w:t>
            </w:r>
          </w:p>
          <w:p w14:paraId="284447F2">
            <w:pPr>
              <w:jc w:val="center"/>
              <w:rPr>
                <w:rFonts w:eastAsia="仿宋_GB2312"/>
                <w:sz w:val="24"/>
                <w:szCs w:val="24"/>
              </w:rPr>
            </w:pPr>
            <w:r>
              <w:rPr>
                <w:rFonts w:eastAsia="仿宋_GB2312"/>
                <w:sz w:val="24"/>
                <w:szCs w:val="24"/>
              </w:rPr>
              <w:t>时间</w:t>
            </w:r>
          </w:p>
          <w:p w14:paraId="5E88D173">
            <w:pPr>
              <w:jc w:val="center"/>
              <w:rPr>
                <w:rFonts w:eastAsia="仿宋_GB2312"/>
                <w:sz w:val="24"/>
                <w:szCs w:val="24"/>
              </w:rPr>
            </w:pPr>
            <w:r>
              <w:rPr>
                <w:rFonts w:eastAsia="仿宋_GB2312"/>
                <w:sz w:val="24"/>
                <w:szCs w:val="24"/>
              </w:rPr>
              <w:t>（年、月）</w:t>
            </w:r>
          </w:p>
        </w:tc>
        <w:tc>
          <w:tcPr>
            <w:tcW w:w="9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41D80E01">
            <w:pPr>
              <w:jc w:val="center"/>
              <w:rPr>
                <w:rFonts w:eastAsia="仿宋_GB2312"/>
                <w:sz w:val="24"/>
                <w:szCs w:val="24"/>
              </w:rPr>
            </w:pPr>
            <w:r>
              <w:rPr>
                <w:rFonts w:eastAsia="仿宋_GB2312"/>
                <w:sz w:val="24"/>
                <w:szCs w:val="24"/>
              </w:rPr>
              <w:t>通讯</w:t>
            </w:r>
          </w:p>
          <w:p w14:paraId="189E256A">
            <w:pPr>
              <w:jc w:val="center"/>
              <w:rPr>
                <w:rFonts w:eastAsia="仿宋_GB2312"/>
                <w:sz w:val="24"/>
                <w:szCs w:val="24"/>
              </w:rPr>
            </w:pPr>
            <w:r>
              <w:rPr>
                <w:rFonts w:eastAsia="仿宋_GB2312"/>
                <w:sz w:val="24"/>
                <w:szCs w:val="24"/>
              </w:rPr>
              <w:t>作者</w:t>
            </w:r>
          </w:p>
        </w:tc>
        <w:tc>
          <w:tcPr>
            <w:tcW w:w="94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060E2050">
            <w:pPr>
              <w:jc w:val="center"/>
              <w:rPr>
                <w:rFonts w:eastAsia="仿宋_GB2312"/>
                <w:sz w:val="24"/>
                <w:szCs w:val="24"/>
              </w:rPr>
            </w:pPr>
            <w:r>
              <w:rPr>
                <w:rFonts w:eastAsia="仿宋_GB2312"/>
                <w:sz w:val="24"/>
                <w:szCs w:val="24"/>
              </w:rPr>
              <w:t>第一</w:t>
            </w:r>
          </w:p>
          <w:p w14:paraId="66FA5781">
            <w:pPr>
              <w:jc w:val="center"/>
              <w:rPr>
                <w:rFonts w:eastAsia="仿宋_GB2312"/>
                <w:sz w:val="24"/>
                <w:szCs w:val="24"/>
              </w:rPr>
            </w:pPr>
            <w:r>
              <w:rPr>
                <w:rFonts w:eastAsia="仿宋_GB2312"/>
                <w:sz w:val="24"/>
                <w:szCs w:val="24"/>
              </w:rPr>
              <w:t>作者</w:t>
            </w:r>
          </w:p>
        </w:tc>
        <w:tc>
          <w:tcPr>
            <w:tcW w:w="241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2CFBE3C7">
            <w:pPr>
              <w:jc w:val="center"/>
              <w:rPr>
                <w:rFonts w:eastAsia="仿宋_GB2312"/>
                <w:sz w:val="24"/>
                <w:szCs w:val="24"/>
              </w:rPr>
            </w:pPr>
            <w:r>
              <w:rPr>
                <w:rFonts w:eastAsia="仿宋_GB2312"/>
                <w:sz w:val="24"/>
                <w:szCs w:val="24"/>
              </w:rPr>
              <w:t>所有作者（按排序）</w:t>
            </w:r>
          </w:p>
        </w:tc>
        <w:tc>
          <w:tcPr>
            <w:tcW w:w="60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565E230E">
            <w:pPr>
              <w:jc w:val="center"/>
              <w:rPr>
                <w:rFonts w:eastAsia="仿宋_GB2312"/>
                <w:sz w:val="24"/>
                <w:szCs w:val="24"/>
              </w:rPr>
            </w:pPr>
            <w:r>
              <w:rPr>
                <w:rFonts w:eastAsia="仿宋_GB2312"/>
                <w:sz w:val="24"/>
                <w:szCs w:val="24"/>
              </w:rPr>
              <w:t>他引</w:t>
            </w:r>
          </w:p>
          <w:p w14:paraId="7473C126">
            <w:pPr>
              <w:jc w:val="center"/>
              <w:rPr>
                <w:rFonts w:eastAsia="仿宋_GB2312"/>
                <w:sz w:val="24"/>
                <w:szCs w:val="24"/>
              </w:rPr>
            </w:pPr>
            <w:r>
              <w:rPr>
                <w:rFonts w:eastAsia="仿宋_GB2312"/>
                <w:sz w:val="24"/>
                <w:szCs w:val="24"/>
              </w:rPr>
              <w:t>总次数</w:t>
            </w:r>
          </w:p>
        </w:tc>
        <w:tc>
          <w:tcPr>
            <w:tcW w:w="1029"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14:paraId="17C5D2AE">
            <w:pPr>
              <w:jc w:val="center"/>
              <w:rPr>
                <w:rFonts w:eastAsia="仿宋_GB2312"/>
                <w:sz w:val="24"/>
                <w:szCs w:val="24"/>
              </w:rPr>
            </w:pPr>
            <w:r>
              <w:rPr>
                <w:rFonts w:eastAsia="仿宋_GB2312"/>
                <w:sz w:val="24"/>
                <w:szCs w:val="24"/>
              </w:rPr>
              <w:t>检索数据库</w:t>
            </w:r>
          </w:p>
        </w:tc>
      </w:tr>
      <w:tr w14:paraId="390B99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2" w:hRule="exact"/>
        </w:trPr>
        <w:tc>
          <w:tcPr>
            <w:tcW w:w="638" w:type="dxa"/>
            <w:tcBorders>
              <w:top w:val="single" w:color="auto" w:sz="4" w:space="0"/>
              <w:left w:val="single" w:color="auto" w:sz="8" w:space="0"/>
              <w:bottom w:val="single" w:color="auto" w:sz="4" w:space="0"/>
              <w:right w:val="single" w:color="auto" w:sz="4" w:space="0"/>
            </w:tcBorders>
            <w:vAlign w:val="center"/>
          </w:tcPr>
          <w:p w14:paraId="21F0D417">
            <w:pPr>
              <w:jc w:val="center"/>
              <w:rPr>
                <w:rFonts w:eastAsia="仿宋_GB2312"/>
                <w:sz w:val="24"/>
                <w:szCs w:val="24"/>
              </w:rPr>
            </w:pPr>
            <w:r>
              <w:rPr>
                <w:rFonts w:hint="eastAsia" w:eastAsia="仿宋_GB2312"/>
                <w:sz w:val="24"/>
                <w:szCs w:val="24"/>
              </w:rPr>
              <w:t>1</w:t>
            </w:r>
          </w:p>
        </w:tc>
        <w:tc>
          <w:tcPr>
            <w:tcW w:w="4527" w:type="dxa"/>
            <w:tcBorders>
              <w:top w:val="single" w:color="auto" w:sz="4" w:space="0"/>
              <w:left w:val="single" w:color="auto" w:sz="4" w:space="0"/>
              <w:bottom w:val="single" w:color="auto" w:sz="4" w:space="0"/>
              <w:right w:val="single" w:color="auto" w:sz="4" w:space="0"/>
            </w:tcBorders>
            <w:vAlign w:val="center"/>
          </w:tcPr>
          <w:p w14:paraId="2F053093">
            <w:pPr>
              <w:jc w:val="left"/>
              <w:rPr>
                <w:rFonts w:eastAsia="仿宋_GB2312"/>
                <w:sz w:val="24"/>
                <w:szCs w:val="24"/>
              </w:rPr>
            </w:pPr>
            <w:bookmarkStart w:id="0" w:name="OLE_LINK9"/>
            <w:r>
              <w:rPr>
                <w:rFonts w:hint="eastAsia" w:eastAsia="仿宋_GB2312"/>
                <w:sz w:val="24"/>
                <w:szCs w:val="24"/>
              </w:rPr>
              <w:t>Targeting ATF4-dependent pro-survival autophagy to synergize glutaminolysis inhibition.</w:t>
            </w:r>
          </w:p>
          <w:bookmarkEnd w:id="0"/>
          <w:p w14:paraId="75255669">
            <w:pPr>
              <w:jc w:val="left"/>
              <w:rPr>
                <w:rFonts w:eastAsia="仿宋_GB2312"/>
                <w:sz w:val="24"/>
                <w:szCs w:val="24"/>
              </w:rPr>
            </w:pPr>
            <w:r>
              <w:rPr>
                <w:rFonts w:hint="eastAsia" w:eastAsia="仿宋_GB2312"/>
                <w:b/>
                <w:bCs/>
                <w:sz w:val="24"/>
                <w:szCs w:val="24"/>
              </w:rPr>
              <w:t>Theranostics</w:t>
            </w:r>
          </w:p>
        </w:tc>
        <w:tc>
          <w:tcPr>
            <w:tcW w:w="1520" w:type="dxa"/>
            <w:tcBorders>
              <w:top w:val="single" w:color="auto" w:sz="4" w:space="0"/>
              <w:left w:val="single" w:color="auto" w:sz="4" w:space="0"/>
              <w:bottom w:val="single" w:color="auto" w:sz="4" w:space="0"/>
              <w:right w:val="single" w:color="auto" w:sz="4" w:space="0"/>
            </w:tcBorders>
            <w:vAlign w:val="center"/>
          </w:tcPr>
          <w:p w14:paraId="3470E046">
            <w:pPr>
              <w:jc w:val="left"/>
              <w:rPr>
                <w:rFonts w:eastAsia="仿宋_GB2312"/>
                <w:sz w:val="24"/>
                <w:szCs w:val="24"/>
              </w:rPr>
            </w:pPr>
            <w:r>
              <w:rPr>
                <w:rFonts w:hint="eastAsia" w:eastAsia="仿宋_GB2312"/>
                <w:sz w:val="24"/>
                <w:szCs w:val="24"/>
              </w:rPr>
              <w:t>2021年11卷17期8464页</w:t>
            </w:r>
          </w:p>
        </w:tc>
        <w:tc>
          <w:tcPr>
            <w:tcW w:w="1530" w:type="dxa"/>
            <w:tcBorders>
              <w:top w:val="single" w:color="auto" w:sz="4" w:space="0"/>
              <w:left w:val="single" w:color="auto" w:sz="4" w:space="0"/>
              <w:bottom w:val="single" w:color="auto" w:sz="4" w:space="0"/>
              <w:right w:val="single" w:color="auto" w:sz="4" w:space="0"/>
            </w:tcBorders>
            <w:vAlign w:val="center"/>
          </w:tcPr>
          <w:p w14:paraId="6958A715">
            <w:pPr>
              <w:jc w:val="left"/>
              <w:rPr>
                <w:rFonts w:eastAsia="仿宋_GB2312"/>
                <w:sz w:val="24"/>
                <w:szCs w:val="24"/>
              </w:rPr>
            </w:pPr>
            <w:r>
              <w:rPr>
                <w:rFonts w:hint="eastAsia" w:eastAsia="仿宋_GB2312"/>
                <w:sz w:val="24"/>
                <w:szCs w:val="24"/>
              </w:rPr>
              <w:t>2021年7月</w:t>
            </w:r>
          </w:p>
        </w:tc>
        <w:tc>
          <w:tcPr>
            <w:tcW w:w="950" w:type="dxa"/>
            <w:tcBorders>
              <w:top w:val="single" w:color="auto" w:sz="4" w:space="0"/>
              <w:left w:val="single" w:color="auto" w:sz="4" w:space="0"/>
              <w:bottom w:val="single" w:color="auto" w:sz="4" w:space="0"/>
              <w:right w:val="single" w:color="auto" w:sz="4" w:space="0"/>
            </w:tcBorders>
            <w:vAlign w:val="center"/>
          </w:tcPr>
          <w:p w14:paraId="090EBFAD">
            <w:pPr>
              <w:jc w:val="left"/>
              <w:rPr>
                <w:rFonts w:eastAsia="仿宋_GB2312"/>
                <w:sz w:val="24"/>
                <w:szCs w:val="24"/>
              </w:rPr>
            </w:pPr>
            <w:r>
              <w:rPr>
                <w:rFonts w:hint="eastAsia" w:eastAsia="仿宋_GB2312"/>
                <w:sz w:val="24"/>
                <w:szCs w:val="24"/>
              </w:rPr>
              <w:t>王娴</w:t>
            </w:r>
          </w:p>
          <w:p w14:paraId="15DC0AAB">
            <w:pPr>
              <w:jc w:val="left"/>
              <w:rPr>
                <w:rFonts w:eastAsia="仿宋_GB2312"/>
                <w:sz w:val="24"/>
                <w:szCs w:val="24"/>
              </w:rPr>
            </w:pPr>
            <w:r>
              <w:rPr>
                <w:rFonts w:hint="eastAsia" w:eastAsia="仿宋_GB2312"/>
                <w:sz w:val="24"/>
                <w:szCs w:val="24"/>
              </w:rPr>
              <w:t>金洪传</w:t>
            </w:r>
          </w:p>
        </w:tc>
        <w:tc>
          <w:tcPr>
            <w:tcW w:w="940" w:type="dxa"/>
            <w:tcBorders>
              <w:top w:val="single" w:color="auto" w:sz="4" w:space="0"/>
              <w:left w:val="single" w:color="auto" w:sz="4" w:space="0"/>
              <w:bottom w:val="single" w:color="auto" w:sz="4" w:space="0"/>
              <w:right w:val="single" w:color="auto" w:sz="4" w:space="0"/>
            </w:tcBorders>
            <w:vAlign w:val="center"/>
          </w:tcPr>
          <w:p w14:paraId="35920C27">
            <w:pPr>
              <w:jc w:val="left"/>
              <w:rPr>
                <w:rFonts w:eastAsia="仿宋_GB2312"/>
                <w:sz w:val="24"/>
                <w:szCs w:val="24"/>
              </w:rPr>
            </w:pPr>
            <w:r>
              <w:rPr>
                <w:rFonts w:hint="eastAsia" w:eastAsia="仿宋_GB2312"/>
                <w:sz w:val="24"/>
                <w:szCs w:val="24"/>
              </w:rPr>
              <w:t>韩舒婷</w:t>
            </w:r>
          </w:p>
        </w:tc>
        <w:tc>
          <w:tcPr>
            <w:tcW w:w="2410" w:type="dxa"/>
            <w:tcBorders>
              <w:top w:val="single" w:color="auto" w:sz="4" w:space="0"/>
              <w:left w:val="single" w:color="auto" w:sz="4" w:space="0"/>
              <w:bottom w:val="single" w:color="auto" w:sz="4" w:space="0"/>
              <w:right w:val="single" w:color="auto" w:sz="4" w:space="0"/>
            </w:tcBorders>
            <w:vAlign w:val="center"/>
          </w:tcPr>
          <w:p w14:paraId="3EE8F954">
            <w:pPr>
              <w:spacing w:line="240" w:lineRule="exact"/>
              <w:jc w:val="left"/>
              <w:rPr>
                <w:rFonts w:eastAsia="仿宋_GB2312"/>
                <w:sz w:val="18"/>
                <w:szCs w:val="18"/>
              </w:rPr>
            </w:pPr>
            <w:r>
              <w:rPr>
                <w:rFonts w:hint="eastAsia" w:eastAsia="仿宋_GB2312"/>
                <w:sz w:val="18"/>
                <w:szCs w:val="18"/>
              </w:rPr>
              <w:t>Shuting Han, Liyuan Zhu, Yiran Zhu, Yuan Meng, Jiaqiu Li, Ping Song, Neelum Aziz Yousafzai, Lifeng Feng, Miaoqin Chen, Yanmei Wang, Hongchuan Jin, Xian Wang</w:t>
            </w:r>
          </w:p>
        </w:tc>
        <w:tc>
          <w:tcPr>
            <w:tcW w:w="600" w:type="dxa"/>
            <w:tcBorders>
              <w:top w:val="single" w:color="auto" w:sz="4" w:space="0"/>
              <w:left w:val="single" w:color="auto" w:sz="4" w:space="0"/>
              <w:bottom w:val="single" w:color="auto" w:sz="4" w:space="0"/>
              <w:right w:val="single" w:color="auto" w:sz="4" w:space="0"/>
            </w:tcBorders>
            <w:vAlign w:val="center"/>
          </w:tcPr>
          <w:p w14:paraId="0AB1D819">
            <w:pPr>
              <w:jc w:val="left"/>
              <w:rPr>
                <w:rFonts w:eastAsia="仿宋_GB2312"/>
                <w:sz w:val="24"/>
                <w:szCs w:val="24"/>
              </w:rPr>
            </w:pPr>
            <w:r>
              <w:rPr>
                <w:rFonts w:hint="eastAsia" w:eastAsia="仿宋_GB2312"/>
                <w:sz w:val="24"/>
                <w:szCs w:val="24"/>
              </w:rPr>
              <w:t>64</w:t>
            </w:r>
          </w:p>
        </w:tc>
        <w:tc>
          <w:tcPr>
            <w:tcW w:w="1029" w:type="dxa"/>
            <w:tcBorders>
              <w:top w:val="single" w:color="auto" w:sz="4" w:space="0"/>
              <w:left w:val="single" w:color="auto" w:sz="4" w:space="0"/>
              <w:bottom w:val="single" w:color="auto" w:sz="4" w:space="0"/>
              <w:right w:val="single" w:color="auto" w:sz="4" w:space="0"/>
            </w:tcBorders>
            <w:vAlign w:val="center"/>
          </w:tcPr>
          <w:p w14:paraId="63BBDC9F">
            <w:pPr>
              <w:jc w:val="left"/>
              <w:rPr>
                <w:rFonts w:eastAsia="仿宋_GB2312"/>
                <w:sz w:val="24"/>
                <w:szCs w:val="24"/>
              </w:rPr>
            </w:pPr>
            <w:r>
              <w:rPr>
                <w:rFonts w:hint="eastAsia" w:eastAsia="仿宋_GB2312"/>
                <w:sz w:val="24"/>
                <w:szCs w:val="24"/>
              </w:rPr>
              <w:t>Web of Science</w:t>
            </w:r>
          </w:p>
        </w:tc>
      </w:tr>
      <w:tr w14:paraId="40AD9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7" w:hRule="exact"/>
        </w:trPr>
        <w:tc>
          <w:tcPr>
            <w:tcW w:w="638" w:type="dxa"/>
            <w:tcBorders>
              <w:top w:val="single" w:color="auto" w:sz="4" w:space="0"/>
              <w:left w:val="single" w:color="auto" w:sz="8" w:space="0"/>
              <w:bottom w:val="single" w:color="auto" w:sz="4" w:space="0"/>
              <w:right w:val="single" w:color="auto" w:sz="4" w:space="0"/>
            </w:tcBorders>
            <w:vAlign w:val="center"/>
          </w:tcPr>
          <w:p w14:paraId="0D135A7E">
            <w:pPr>
              <w:jc w:val="center"/>
              <w:rPr>
                <w:rFonts w:eastAsia="仿宋_GB2312"/>
                <w:sz w:val="24"/>
                <w:szCs w:val="24"/>
              </w:rPr>
            </w:pPr>
            <w:r>
              <w:rPr>
                <w:rFonts w:hint="eastAsia" w:eastAsia="仿宋_GB2312"/>
                <w:sz w:val="24"/>
                <w:szCs w:val="24"/>
              </w:rPr>
              <w:t>2</w:t>
            </w:r>
          </w:p>
        </w:tc>
        <w:tc>
          <w:tcPr>
            <w:tcW w:w="4527" w:type="dxa"/>
            <w:tcBorders>
              <w:top w:val="single" w:color="auto" w:sz="4" w:space="0"/>
              <w:left w:val="single" w:color="auto" w:sz="4" w:space="0"/>
              <w:bottom w:val="single" w:color="auto" w:sz="4" w:space="0"/>
              <w:right w:val="single" w:color="auto" w:sz="4" w:space="0"/>
            </w:tcBorders>
            <w:vAlign w:val="center"/>
          </w:tcPr>
          <w:p w14:paraId="3A8342AE">
            <w:pPr>
              <w:jc w:val="left"/>
              <w:rPr>
                <w:rFonts w:eastAsia="仿宋_GB2312"/>
                <w:sz w:val="24"/>
                <w:szCs w:val="24"/>
              </w:rPr>
            </w:pPr>
            <w:bookmarkStart w:id="1" w:name="OLE_LINK10"/>
            <w:r>
              <w:rPr>
                <w:rFonts w:hint="eastAsia" w:eastAsia="仿宋_GB2312"/>
                <w:sz w:val="24"/>
                <w:szCs w:val="24"/>
              </w:rPr>
              <w:t>β-catenin represses miR455-3p to stimulate m6A modification of HSF1 mRNA and promote its translation in colorectal cancer</w:t>
            </w:r>
            <w:bookmarkEnd w:id="1"/>
            <w:r>
              <w:rPr>
                <w:rFonts w:hint="eastAsia" w:eastAsia="仿宋_GB2312"/>
                <w:sz w:val="24"/>
                <w:szCs w:val="24"/>
              </w:rPr>
              <w:t xml:space="preserve">. </w:t>
            </w:r>
          </w:p>
          <w:p w14:paraId="58A1DBCF">
            <w:pPr>
              <w:jc w:val="left"/>
              <w:rPr>
                <w:rFonts w:eastAsia="仿宋_GB2312"/>
                <w:sz w:val="24"/>
                <w:szCs w:val="24"/>
              </w:rPr>
            </w:pPr>
            <w:r>
              <w:rPr>
                <w:rFonts w:hint="eastAsia" w:eastAsia="仿宋_GB2312"/>
                <w:b/>
                <w:bCs/>
                <w:sz w:val="24"/>
                <w:szCs w:val="24"/>
              </w:rPr>
              <w:t>Molecular Cancer</w:t>
            </w:r>
          </w:p>
        </w:tc>
        <w:tc>
          <w:tcPr>
            <w:tcW w:w="1520" w:type="dxa"/>
            <w:tcBorders>
              <w:top w:val="single" w:color="auto" w:sz="4" w:space="0"/>
              <w:left w:val="single" w:color="auto" w:sz="4" w:space="0"/>
              <w:bottom w:val="single" w:color="auto" w:sz="4" w:space="0"/>
              <w:right w:val="single" w:color="auto" w:sz="4" w:space="0"/>
            </w:tcBorders>
            <w:vAlign w:val="center"/>
          </w:tcPr>
          <w:p w14:paraId="547A82CB">
            <w:pPr>
              <w:jc w:val="left"/>
              <w:rPr>
                <w:rFonts w:eastAsia="仿宋_GB2312"/>
                <w:sz w:val="24"/>
                <w:szCs w:val="24"/>
              </w:rPr>
            </w:pPr>
            <w:r>
              <w:rPr>
                <w:rFonts w:hint="eastAsia" w:eastAsia="仿宋_GB2312"/>
                <w:sz w:val="24"/>
                <w:szCs w:val="24"/>
              </w:rPr>
              <w:t>2020年19卷1期129页</w:t>
            </w:r>
          </w:p>
        </w:tc>
        <w:tc>
          <w:tcPr>
            <w:tcW w:w="1530" w:type="dxa"/>
            <w:tcBorders>
              <w:top w:val="single" w:color="auto" w:sz="4" w:space="0"/>
              <w:left w:val="single" w:color="auto" w:sz="4" w:space="0"/>
              <w:bottom w:val="single" w:color="auto" w:sz="4" w:space="0"/>
              <w:right w:val="single" w:color="auto" w:sz="4" w:space="0"/>
            </w:tcBorders>
            <w:vAlign w:val="center"/>
          </w:tcPr>
          <w:p w14:paraId="7AF8837A">
            <w:pPr>
              <w:jc w:val="left"/>
              <w:rPr>
                <w:rFonts w:eastAsia="仿宋_GB2312"/>
                <w:sz w:val="24"/>
                <w:szCs w:val="24"/>
              </w:rPr>
            </w:pPr>
            <w:r>
              <w:rPr>
                <w:rFonts w:hint="eastAsia" w:eastAsia="仿宋_GB2312"/>
                <w:sz w:val="24"/>
                <w:szCs w:val="24"/>
              </w:rPr>
              <w:t>2020年8月</w:t>
            </w:r>
          </w:p>
        </w:tc>
        <w:tc>
          <w:tcPr>
            <w:tcW w:w="950" w:type="dxa"/>
            <w:tcBorders>
              <w:top w:val="single" w:color="auto" w:sz="4" w:space="0"/>
              <w:left w:val="single" w:color="auto" w:sz="4" w:space="0"/>
              <w:bottom w:val="single" w:color="auto" w:sz="4" w:space="0"/>
              <w:right w:val="single" w:color="auto" w:sz="4" w:space="0"/>
            </w:tcBorders>
            <w:vAlign w:val="center"/>
          </w:tcPr>
          <w:p w14:paraId="2AD8E871">
            <w:pPr>
              <w:jc w:val="left"/>
              <w:rPr>
                <w:rFonts w:eastAsia="仿宋_GB2312"/>
                <w:sz w:val="24"/>
                <w:szCs w:val="24"/>
              </w:rPr>
            </w:pPr>
            <w:r>
              <w:rPr>
                <w:rFonts w:hint="eastAsia" w:eastAsia="仿宋_GB2312"/>
                <w:sz w:val="24"/>
                <w:szCs w:val="24"/>
              </w:rPr>
              <w:t>金洪传</w:t>
            </w:r>
          </w:p>
          <w:p w14:paraId="5E59FA1C">
            <w:pPr>
              <w:jc w:val="left"/>
              <w:rPr>
                <w:rFonts w:eastAsia="仿宋_GB2312"/>
                <w:sz w:val="24"/>
                <w:szCs w:val="24"/>
              </w:rPr>
            </w:pPr>
            <w:r>
              <w:rPr>
                <w:rFonts w:hint="eastAsia" w:eastAsia="仿宋_GB2312"/>
                <w:sz w:val="24"/>
                <w:szCs w:val="24"/>
              </w:rPr>
              <w:t>王娴</w:t>
            </w:r>
          </w:p>
        </w:tc>
        <w:tc>
          <w:tcPr>
            <w:tcW w:w="940" w:type="dxa"/>
            <w:tcBorders>
              <w:top w:val="single" w:color="auto" w:sz="4" w:space="0"/>
              <w:left w:val="single" w:color="auto" w:sz="4" w:space="0"/>
              <w:bottom w:val="single" w:color="auto" w:sz="4" w:space="0"/>
              <w:right w:val="single" w:color="auto" w:sz="4" w:space="0"/>
            </w:tcBorders>
            <w:vAlign w:val="center"/>
          </w:tcPr>
          <w:p w14:paraId="3CDCF3D1">
            <w:pPr>
              <w:jc w:val="left"/>
              <w:rPr>
                <w:rFonts w:eastAsia="仿宋_GB2312"/>
                <w:sz w:val="24"/>
                <w:szCs w:val="24"/>
              </w:rPr>
            </w:pPr>
            <w:r>
              <w:rPr>
                <w:rFonts w:hint="eastAsia" w:eastAsia="仿宋_GB2312"/>
                <w:sz w:val="24"/>
                <w:szCs w:val="24"/>
              </w:rPr>
              <w:t>宋萍</w:t>
            </w:r>
          </w:p>
        </w:tc>
        <w:tc>
          <w:tcPr>
            <w:tcW w:w="2410" w:type="dxa"/>
            <w:tcBorders>
              <w:top w:val="single" w:color="auto" w:sz="4" w:space="0"/>
              <w:left w:val="single" w:color="auto" w:sz="4" w:space="0"/>
              <w:bottom w:val="single" w:color="auto" w:sz="4" w:space="0"/>
              <w:right w:val="single" w:color="auto" w:sz="4" w:space="0"/>
            </w:tcBorders>
            <w:vAlign w:val="center"/>
          </w:tcPr>
          <w:p w14:paraId="03826522">
            <w:pPr>
              <w:spacing w:line="240" w:lineRule="exact"/>
              <w:jc w:val="left"/>
              <w:rPr>
                <w:rFonts w:eastAsia="仿宋_GB2312"/>
                <w:sz w:val="18"/>
                <w:szCs w:val="18"/>
              </w:rPr>
            </w:pPr>
            <w:r>
              <w:rPr>
                <w:rFonts w:hint="eastAsia" w:eastAsia="仿宋_GB2312"/>
                <w:sz w:val="18"/>
                <w:szCs w:val="18"/>
              </w:rPr>
              <w:t>Ping Song, Lifeng Feng, Jiaqiu Li, Dongjun Dai, Liyuan Zhu, Chaoqun Wang, Jingyi Li, Ling Li, Qiyin Zhou, Rongkai Shi, Xian Wang, Hongchuan Jin</w:t>
            </w:r>
          </w:p>
        </w:tc>
        <w:tc>
          <w:tcPr>
            <w:tcW w:w="600" w:type="dxa"/>
            <w:tcBorders>
              <w:top w:val="single" w:color="auto" w:sz="4" w:space="0"/>
              <w:left w:val="single" w:color="auto" w:sz="4" w:space="0"/>
              <w:bottom w:val="single" w:color="auto" w:sz="4" w:space="0"/>
              <w:right w:val="single" w:color="auto" w:sz="4" w:space="0"/>
            </w:tcBorders>
            <w:vAlign w:val="center"/>
          </w:tcPr>
          <w:p w14:paraId="3C6E726A">
            <w:pPr>
              <w:jc w:val="left"/>
              <w:rPr>
                <w:rFonts w:eastAsia="仿宋_GB2312"/>
                <w:sz w:val="24"/>
                <w:szCs w:val="24"/>
              </w:rPr>
            </w:pPr>
            <w:r>
              <w:rPr>
                <w:rFonts w:hint="eastAsia" w:eastAsia="仿宋_GB2312"/>
                <w:sz w:val="24"/>
                <w:szCs w:val="24"/>
              </w:rPr>
              <w:t>75</w:t>
            </w:r>
          </w:p>
        </w:tc>
        <w:tc>
          <w:tcPr>
            <w:tcW w:w="1029" w:type="dxa"/>
            <w:tcBorders>
              <w:top w:val="single" w:color="auto" w:sz="4" w:space="0"/>
              <w:left w:val="single" w:color="auto" w:sz="4" w:space="0"/>
              <w:bottom w:val="single" w:color="auto" w:sz="4" w:space="0"/>
              <w:right w:val="single" w:color="auto" w:sz="4" w:space="0"/>
            </w:tcBorders>
            <w:vAlign w:val="center"/>
          </w:tcPr>
          <w:p w14:paraId="742814A9">
            <w:pPr>
              <w:jc w:val="left"/>
              <w:rPr>
                <w:rFonts w:eastAsia="仿宋_GB2312"/>
                <w:sz w:val="24"/>
                <w:szCs w:val="24"/>
              </w:rPr>
            </w:pPr>
            <w:r>
              <w:rPr>
                <w:rFonts w:hint="eastAsia" w:eastAsia="仿宋_GB2312"/>
                <w:sz w:val="24"/>
                <w:szCs w:val="24"/>
              </w:rPr>
              <w:t>Web of Science</w:t>
            </w:r>
          </w:p>
        </w:tc>
      </w:tr>
      <w:tr w14:paraId="2EA7D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0" w:hRule="exact"/>
        </w:trPr>
        <w:tc>
          <w:tcPr>
            <w:tcW w:w="638" w:type="dxa"/>
            <w:tcBorders>
              <w:top w:val="single" w:color="auto" w:sz="4" w:space="0"/>
              <w:left w:val="single" w:color="auto" w:sz="8" w:space="0"/>
              <w:bottom w:val="single" w:color="auto" w:sz="4" w:space="0"/>
              <w:right w:val="single" w:color="auto" w:sz="4" w:space="0"/>
            </w:tcBorders>
            <w:vAlign w:val="center"/>
          </w:tcPr>
          <w:p w14:paraId="5E27BFB4">
            <w:pPr>
              <w:jc w:val="center"/>
              <w:rPr>
                <w:rFonts w:eastAsia="仿宋_GB2312"/>
                <w:sz w:val="24"/>
                <w:szCs w:val="24"/>
              </w:rPr>
            </w:pPr>
            <w:r>
              <w:rPr>
                <w:rFonts w:hint="eastAsia" w:eastAsia="仿宋_GB2312"/>
                <w:sz w:val="24"/>
                <w:szCs w:val="24"/>
              </w:rPr>
              <w:t>3</w:t>
            </w:r>
          </w:p>
        </w:tc>
        <w:tc>
          <w:tcPr>
            <w:tcW w:w="4527" w:type="dxa"/>
            <w:tcBorders>
              <w:top w:val="single" w:color="auto" w:sz="4" w:space="0"/>
              <w:left w:val="single" w:color="auto" w:sz="4" w:space="0"/>
              <w:bottom w:val="single" w:color="auto" w:sz="4" w:space="0"/>
              <w:right w:val="single" w:color="auto" w:sz="4" w:space="0"/>
            </w:tcBorders>
            <w:vAlign w:val="center"/>
          </w:tcPr>
          <w:p w14:paraId="35F2533A">
            <w:pPr>
              <w:jc w:val="left"/>
              <w:rPr>
                <w:rFonts w:eastAsia="仿宋_GB2312"/>
                <w:sz w:val="24"/>
                <w:szCs w:val="24"/>
              </w:rPr>
            </w:pPr>
            <w:bookmarkStart w:id="2" w:name="OLE_LINK11"/>
            <w:r>
              <w:rPr>
                <w:rFonts w:hint="eastAsia" w:eastAsia="仿宋_GB2312"/>
                <w:sz w:val="24"/>
                <w:szCs w:val="24"/>
              </w:rPr>
              <w:t>Impaired autophagic degradation of lncRNA ARHGAP5-AS1 promotes chemoresistance in gastric cancer</w:t>
            </w:r>
            <w:bookmarkEnd w:id="2"/>
            <w:r>
              <w:rPr>
                <w:rFonts w:hint="eastAsia" w:eastAsia="仿宋_GB2312"/>
                <w:sz w:val="24"/>
                <w:szCs w:val="24"/>
              </w:rPr>
              <w:t>.</w:t>
            </w:r>
          </w:p>
          <w:p w14:paraId="2C6FB50F">
            <w:pPr>
              <w:jc w:val="left"/>
              <w:rPr>
                <w:rFonts w:eastAsia="仿宋_GB2312"/>
                <w:sz w:val="24"/>
                <w:szCs w:val="24"/>
              </w:rPr>
            </w:pPr>
            <w:r>
              <w:rPr>
                <w:rFonts w:hint="eastAsia" w:eastAsia="仿宋_GB2312"/>
                <w:b/>
                <w:bCs/>
                <w:sz w:val="24"/>
                <w:szCs w:val="24"/>
              </w:rPr>
              <w:t>Cell death &amp; disease</w:t>
            </w:r>
          </w:p>
        </w:tc>
        <w:tc>
          <w:tcPr>
            <w:tcW w:w="1520" w:type="dxa"/>
            <w:tcBorders>
              <w:top w:val="single" w:color="auto" w:sz="4" w:space="0"/>
              <w:left w:val="single" w:color="auto" w:sz="4" w:space="0"/>
              <w:bottom w:val="single" w:color="auto" w:sz="4" w:space="0"/>
              <w:right w:val="single" w:color="auto" w:sz="4" w:space="0"/>
            </w:tcBorders>
            <w:vAlign w:val="center"/>
          </w:tcPr>
          <w:p w14:paraId="5481C3E2">
            <w:pPr>
              <w:jc w:val="left"/>
              <w:rPr>
                <w:rFonts w:eastAsia="仿宋_GB2312"/>
                <w:sz w:val="24"/>
                <w:szCs w:val="24"/>
              </w:rPr>
            </w:pPr>
            <w:r>
              <w:rPr>
                <w:rFonts w:hint="eastAsia" w:eastAsia="仿宋_GB2312"/>
                <w:sz w:val="24"/>
                <w:szCs w:val="24"/>
              </w:rPr>
              <w:t>2019年10卷6期383页</w:t>
            </w:r>
          </w:p>
        </w:tc>
        <w:tc>
          <w:tcPr>
            <w:tcW w:w="1530" w:type="dxa"/>
            <w:tcBorders>
              <w:top w:val="single" w:color="auto" w:sz="4" w:space="0"/>
              <w:left w:val="single" w:color="auto" w:sz="4" w:space="0"/>
              <w:bottom w:val="single" w:color="auto" w:sz="4" w:space="0"/>
              <w:right w:val="single" w:color="auto" w:sz="4" w:space="0"/>
            </w:tcBorders>
            <w:vAlign w:val="center"/>
          </w:tcPr>
          <w:p w14:paraId="1144A13A">
            <w:pPr>
              <w:jc w:val="left"/>
              <w:rPr>
                <w:rFonts w:eastAsia="仿宋_GB2312"/>
                <w:sz w:val="24"/>
                <w:szCs w:val="24"/>
              </w:rPr>
            </w:pPr>
            <w:r>
              <w:rPr>
                <w:rFonts w:hint="eastAsia" w:eastAsia="仿宋_GB2312"/>
                <w:sz w:val="24"/>
                <w:szCs w:val="24"/>
              </w:rPr>
              <w:t>2019年5月</w:t>
            </w:r>
          </w:p>
        </w:tc>
        <w:tc>
          <w:tcPr>
            <w:tcW w:w="950" w:type="dxa"/>
            <w:tcBorders>
              <w:top w:val="single" w:color="auto" w:sz="4" w:space="0"/>
              <w:left w:val="single" w:color="auto" w:sz="4" w:space="0"/>
              <w:bottom w:val="single" w:color="auto" w:sz="4" w:space="0"/>
              <w:right w:val="single" w:color="auto" w:sz="4" w:space="0"/>
            </w:tcBorders>
            <w:vAlign w:val="center"/>
          </w:tcPr>
          <w:p w14:paraId="10E9E5AC">
            <w:pPr>
              <w:jc w:val="left"/>
              <w:rPr>
                <w:rFonts w:eastAsia="仿宋_GB2312"/>
                <w:sz w:val="24"/>
                <w:szCs w:val="24"/>
              </w:rPr>
            </w:pPr>
            <w:r>
              <w:rPr>
                <w:rFonts w:hint="eastAsia" w:eastAsia="仿宋_GB2312"/>
                <w:sz w:val="24"/>
                <w:szCs w:val="24"/>
              </w:rPr>
              <w:t>金洪传</w:t>
            </w:r>
          </w:p>
        </w:tc>
        <w:tc>
          <w:tcPr>
            <w:tcW w:w="940" w:type="dxa"/>
            <w:tcBorders>
              <w:top w:val="single" w:color="auto" w:sz="4" w:space="0"/>
              <w:left w:val="single" w:color="auto" w:sz="4" w:space="0"/>
              <w:bottom w:val="single" w:color="auto" w:sz="4" w:space="0"/>
              <w:right w:val="single" w:color="auto" w:sz="4" w:space="0"/>
            </w:tcBorders>
            <w:vAlign w:val="center"/>
          </w:tcPr>
          <w:p w14:paraId="781CA26A">
            <w:pPr>
              <w:jc w:val="left"/>
              <w:rPr>
                <w:rFonts w:eastAsia="仿宋_GB2312"/>
                <w:sz w:val="24"/>
                <w:szCs w:val="24"/>
              </w:rPr>
            </w:pPr>
            <w:r>
              <w:rPr>
                <w:rFonts w:hint="eastAsia" w:eastAsia="仿宋_GB2312"/>
                <w:sz w:val="24"/>
                <w:szCs w:val="24"/>
              </w:rPr>
              <w:t>朱丽媛</w:t>
            </w:r>
          </w:p>
        </w:tc>
        <w:tc>
          <w:tcPr>
            <w:tcW w:w="2410" w:type="dxa"/>
            <w:tcBorders>
              <w:top w:val="single" w:color="auto" w:sz="4" w:space="0"/>
              <w:left w:val="single" w:color="auto" w:sz="4" w:space="0"/>
              <w:bottom w:val="single" w:color="auto" w:sz="4" w:space="0"/>
              <w:right w:val="single" w:color="auto" w:sz="4" w:space="0"/>
            </w:tcBorders>
            <w:vAlign w:val="center"/>
          </w:tcPr>
          <w:p w14:paraId="7D8FBFC7">
            <w:pPr>
              <w:spacing w:line="240" w:lineRule="exact"/>
              <w:jc w:val="left"/>
              <w:rPr>
                <w:rFonts w:eastAsia="仿宋_GB2312"/>
                <w:sz w:val="18"/>
                <w:szCs w:val="18"/>
              </w:rPr>
            </w:pPr>
            <w:r>
              <w:rPr>
                <w:rFonts w:hint="eastAsia" w:eastAsia="仿宋_GB2312"/>
                <w:sz w:val="18"/>
                <w:szCs w:val="18"/>
              </w:rPr>
              <w:t>Liyuan Zhu, Yiran Zhu, Shuting Han, Miaoqin Chen, Ping Song, Dongjun Dai, Wenxia Xu, Tingting Jiang, Lifeng Feng, Vivian Y Shin, Xian Wang, Hongchuan Jin</w:t>
            </w:r>
          </w:p>
        </w:tc>
        <w:tc>
          <w:tcPr>
            <w:tcW w:w="600" w:type="dxa"/>
            <w:tcBorders>
              <w:top w:val="single" w:color="auto" w:sz="4" w:space="0"/>
              <w:left w:val="single" w:color="auto" w:sz="4" w:space="0"/>
              <w:bottom w:val="single" w:color="auto" w:sz="4" w:space="0"/>
              <w:right w:val="single" w:color="auto" w:sz="4" w:space="0"/>
            </w:tcBorders>
            <w:vAlign w:val="center"/>
          </w:tcPr>
          <w:p w14:paraId="0EBD3E7D">
            <w:pPr>
              <w:jc w:val="left"/>
              <w:rPr>
                <w:rFonts w:eastAsia="仿宋_GB2312"/>
                <w:sz w:val="24"/>
                <w:szCs w:val="24"/>
              </w:rPr>
            </w:pPr>
            <w:r>
              <w:rPr>
                <w:rFonts w:hint="eastAsia" w:eastAsia="仿宋_GB2312"/>
                <w:sz w:val="24"/>
                <w:szCs w:val="24"/>
              </w:rPr>
              <w:t>150</w:t>
            </w:r>
          </w:p>
        </w:tc>
        <w:tc>
          <w:tcPr>
            <w:tcW w:w="1029" w:type="dxa"/>
            <w:tcBorders>
              <w:top w:val="single" w:color="auto" w:sz="4" w:space="0"/>
              <w:left w:val="single" w:color="auto" w:sz="4" w:space="0"/>
              <w:bottom w:val="single" w:color="auto" w:sz="4" w:space="0"/>
              <w:right w:val="single" w:color="auto" w:sz="4" w:space="0"/>
            </w:tcBorders>
            <w:vAlign w:val="center"/>
          </w:tcPr>
          <w:p w14:paraId="0D130B5E">
            <w:pPr>
              <w:jc w:val="left"/>
              <w:rPr>
                <w:rFonts w:eastAsia="仿宋_GB2312"/>
                <w:sz w:val="24"/>
                <w:szCs w:val="24"/>
              </w:rPr>
            </w:pPr>
            <w:r>
              <w:rPr>
                <w:rFonts w:hint="eastAsia" w:eastAsia="仿宋_GB2312"/>
                <w:sz w:val="24"/>
                <w:szCs w:val="24"/>
              </w:rPr>
              <w:t>Web of Science</w:t>
            </w:r>
          </w:p>
        </w:tc>
      </w:tr>
      <w:tr w14:paraId="382DD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1" w:hRule="exact"/>
        </w:trPr>
        <w:tc>
          <w:tcPr>
            <w:tcW w:w="638" w:type="dxa"/>
            <w:tcBorders>
              <w:top w:val="single" w:color="auto" w:sz="4" w:space="0"/>
              <w:left w:val="single" w:color="auto" w:sz="8" w:space="0"/>
              <w:bottom w:val="single" w:color="auto" w:sz="4" w:space="0"/>
              <w:right w:val="single" w:color="auto" w:sz="4" w:space="0"/>
            </w:tcBorders>
            <w:vAlign w:val="center"/>
          </w:tcPr>
          <w:p w14:paraId="7763814D">
            <w:pPr>
              <w:jc w:val="center"/>
              <w:rPr>
                <w:rFonts w:eastAsia="仿宋_GB2312"/>
                <w:sz w:val="24"/>
                <w:szCs w:val="24"/>
              </w:rPr>
            </w:pPr>
            <w:r>
              <w:rPr>
                <w:rFonts w:hint="eastAsia" w:eastAsia="仿宋_GB2312"/>
                <w:sz w:val="24"/>
                <w:szCs w:val="24"/>
              </w:rPr>
              <w:t>4</w:t>
            </w:r>
          </w:p>
        </w:tc>
        <w:tc>
          <w:tcPr>
            <w:tcW w:w="4527" w:type="dxa"/>
            <w:tcBorders>
              <w:top w:val="single" w:color="auto" w:sz="4" w:space="0"/>
              <w:left w:val="single" w:color="auto" w:sz="4" w:space="0"/>
              <w:bottom w:val="single" w:color="auto" w:sz="4" w:space="0"/>
              <w:right w:val="single" w:color="auto" w:sz="4" w:space="0"/>
            </w:tcBorders>
            <w:vAlign w:val="center"/>
          </w:tcPr>
          <w:p w14:paraId="3F6458DD">
            <w:pPr>
              <w:jc w:val="left"/>
              <w:rPr>
                <w:rFonts w:eastAsia="仿宋_GB2312"/>
                <w:sz w:val="24"/>
                <w:szCs w:val="24"/>
              </w:rPr>
            </w:pPr>
            <w:r>
              <w:rPr>
                <w:rFonts w:hint="eastAsia" w:eastAsia="仿宋_GB2312"/>
                <w:sz w:val="24"/>
                <w:szCs w:val="24"/>
              </w:rPr>
              <w:t>EGFR TKIs impair lysosome-dependent degradation of SQSTM1 to compromise the effectiveness in lung cancer.</w:t>
            </w:r>
          </w:p>
          <w:p w14:paraId="07B1F3B9">
            <w:pPr>
              <w:jc w:val="left"/>
              <w:rPr>
                <w:rFonts w:eastAsia="仿宋_GB2312"/>
                <w:sz w:val="24"/>
                <w:szCs w:val="24"/>
              </w:rPr>
            </w:pPr>
            <w:r>
              <w:rPr>
                <w:rFonts w:hint="eastAsia" w:eastAsia="仿宋_GB2312"/>
                <w:b/>
                <w:bCs/>
                <w:sz w:val="24"/>
                <w:szCs w:val="24"/>
              </w:rPr>
              <w:t>Signal Transduction and Targeted Therapy</w:t>
            </w:r>
          </w:p>
        </w:tc>
        <w:tc>
          <w:tcPr>
            <w:tcW w:w="1520" w:type="dxa"/>
            <w:tcBorders>
              <w:top w:val="single" w:color="auto" w:sz="4" w:space="0"/>
              <w:left w:val="single" w:color="auto" w:sz="4" w:space="0"/>
              <w:bottom w:val="single" w:color="auto" w:sz="4" w:space="0"/>
              <w:right w:val="single" w:color="auto" w:sz="4" w:space="0"/>
            </w:tcBorders>
            <w:vAlign w:val="center"/>
          </w:tcPr>
          <w:p w14:paraId="50DFC717">
            <w:pPr>
              <w:jc w:val="left"/>
              <w:rPr>
                <w:rFonts w:eastAsia="仿宋_GB2312"/>
                <w:sz w:val="24"/>
                <w:szCs w:val="24"/>
              </w:rPr>
            </w:pPr>
            <w:r>
              <w:rPr>
                <w:rFonts w:hint="eastAsia" w:eastAsia="仿宋_GB2312"/>
                <w:sz w:val="24"/>
                <w:szCs w:val="24"/>
              </w:rPr>
              <w:t>2019年4卷25页</w:t>
            </w:r>
          </w:p>
        </w:tc>
        <w:tc>
          <w:tcPr>
            <w:tcW w:w="1530" w:type="dxa"/>
            <w:tcBorders>
              <w:top w:val="single" w:color="auto" w:sz="4" w:space="0"/>
              <w:left w:val="single" w:color="auto" w:sz="4" w:space="0"/>
              <w:bottom w:val="single" w:color="auto" w:sz="4" w:space="0"/>
              <w:right w:val="single" w:color="auto" w:sz="4" w:space="0"/>
            </w:tcBorders>
            <w:vAlign w:val="center"/>
          </w:tcPr>
          <w:p w14:paraId="33E590C0">
            <w:pPr>
              <w:jc w:val="left"/>
              <w:rPr>
                <w:rFonts w:eastAsia="仿宋_GB2312"/>
                <w:sz w:val="24"/>
                <w:szCs w:val="24"/>
              </w:rPr>
            </w:pPr>
            <w:r>
              <w:rPr>
                <w:rFonts w:hint="eastAsia" w:eastAsia="仿宋_GB2312"/>
                <w:sz w:val="24"/>
                <w:szCs w:val="24"/>
              </w:rPr>
              <w:t>2019年7月</w:t>
            </w:r>
          </w:p>
        </w:tc>
        <w:tc>
          <w:tcPr>
            <w:tcW w:w="950" w:type="dxa"/>
            <w:tcBorders>
              <w:top w:val="single" w:color="auto" w:sz="4" w:space="0"/>
              <w:left w:val="single" w:color="auto" w:sz="4" w:space="0"/>
              <w:bottom w:val="single" w:color="auto" w:sz="4" w:space="0"/>
              <w:right w:val="single" w:color="auto" w:sz="4" w:space="0"/>
            </w:tcBorders>
            <w:vAlign w:val="center"/>
          </w:tcPr>
          <w:p w14:paraId="08EEF5F6">
            <w:pPr>
              <w:jc w:val="left"/>
              <w:rPr>
                <w:rFonts w:eastAsia="仿宋_GB2312"/>
                <w:sz w:val="24"/>
                <w:szCs w:val="24"/>
              </w:rPr>
            </w:pPr>
            <w:r>
              <w:rPr>
                <w:rFonts w:hint="eastAsia" w:eastAsia="仿宋_GB2312"/>
                <w:sz w:val="24"/>
                <w:szCs w:val="24"/>
              </w:rPr>
              <w:t>金洪传</w:t>
            </w:r>
          </w:p>
          <w:p w14:paraId="525E9A89">
            <w:pPr>
              <w:jc w:val="left"/>
              <w:rPr>
                <w:rFonts w:eastAsia="仿宋_GB2312"/>
                <w:sz w:val="24"/>
                <w:szCs w:val="24"/>
              </w:rPr>
            </w:pPr>
            <w:r>
              <w:rPr>
                <w:rFonts w:hint="eastAsia" w:eastAsia="仿宋_GB2312"/>
                <w:sz w:val="24"/>
                <w:szCs w:val="24"/>
              </w:rPr>
              <w:t>冯利锋</w:t>
            </w:r>
          </w:p>
        </w:tc>
        <w:tc>
          <w:tcPr>
            <w:tcW w:w="940" w:type="dxa"/>
            <w:tcBorders>
              <w:top w:val="single" w:color="auto" w:sz="4" w:space="0"/>
              <w:left w:val="single" w:color="auto" w:sz="4" w:space="0"/>
              <w:bottom w:val="single" w:color="auto" w:sz="4" w:space="0"/>
              <w:right w:val="single" w:color="auto" w:sz="4" w:space="0"/>
            </w:tcBorders>
            <w:vAlign w:val="center"/>
          </w:tcPr>
          <w:p w14:paraId="125B4E24">
            <w:pPr>
              <w:jc w:val="left"/>
              <w:rPr>
                <w:rFonts w:eastAsia="仿宋_GB2312"/>
                <w:sz w:val="24"/>
                <w:szCs w:val="24"/>
              </w:rPr>
            </w:pPr>
            <w:r>
              <w:rPr>
                <w:rFonts w:hint="eastAsia" w:eastAsia="仿宋_GB2312"/>
                <w:sz w:val="24"/>
                <w:szCs w:val="24"/>
              </w:rPr>
              <w:t>杨丽贤</w:t>
            </w:r>
          </w:p>
          <w:p w14:paraId="53D182C9">
            <w:pPr>
              <w:jc w:val="left"/>
              <w:rPr>
                <w:rFonts w:eastAsia="仿宋_GB2312"/>
                <w:sz w:val="24"/>
                <w:szCs w:val="24"/>
              </w:rPr>
            </w:pPr>
            <w:r>
              <w:rPr>
                <w:rFonts w:hint="eastAsia" w:eastAsia="仿宋_GB2312"/>
                <w:sz w:val="24"/>
                <w:szCs w:val="24"/>
              </w:rPr>
              <w:t>应士龙</w:t>
            </w:r>
          </w:p>
        </w:tc>
        <w:tc>
          <w:tcPr>
            <w:tcW w:w="2410" w:type="dxa"/>
            <w:tcBorders>
              <w:top w:val="single" w:color="auto" w:sz="4" w:space="0"/>
              <w:left w:val="single" w:color="auto" w:sz="4" w:space="0"/>
              <w:bottom w:val="single" w:color="auto" w:sz="4" w:space="0"/>
              <w:right w:val="single" w:color="auto" w:sz="4" w:space="0"/>
            </w:tcBorders>
            <w:vAlign w:val="center"/>
          </w:tcPr>
          <w:p w14:paraId="27932C57">
            <w:pPr>
              <w:spacing w:line="240" w:lineRule="exact"/>
              <w:jc w:val="left"/>
              <w:rPr>
                <w:rFonts w:eastAsia="仿宋_GB2312"/>
                <w:sz w:val="18"/>
                <w:szCs w:val="18"/>
              </w:rPr>
            </w:pPr>
            <w:r>
              <w:rPr>
                <w:rFonts w:hint="eastAsia" w:eastAsia="仿宋_GB2312"/>
                <w:sz w:val="18"/>
                <w:szCs w:val="18"/>
              </w:rPr>
              <w:t xml:space="preserve">Lixian Yang , Shilong Ying, Shiman Hu, Xiangtong Zhao, Muchun Li, Miaoqin Chen, Yiran Zhu, Ping Song, Liyuan Zhu, Tingting Jiang, Huimin An, Neelum Aziz Yousafzai, Wenxia Xu, Zhiguo Zhang, Xian Wang, Lifeng Feng, Hongchuan Jin </w:t>
            </w:r>
          </w:p>
        </w:tc>
        <w:tc>
          <w:tcPr>
            <w:tcW w:w="600" w:type="dxa"/>
            <w:tcBorders>
              <w:top w:val="single" w:color="auto" w:sz="4" w:space="0"/>
              <w:left w:val="single" w:color="auto" w:sz="4" w:space="0"/>
              <w:bottom w:val="single" w:color="auto" w:sz="4" w:space="0"/>
              <w:right w:val="single" w:color="auto" w:sz="4" w:space="0"/>
            </w:tcBorders>
            <w:vAlign w:val="center"/>
          </w:tcPr>
          <w:p w14:paraId="5418DED8">
            <w:pPr>
              <w:jc w:val="left"/>
              <w:rPr>
                <w:rFonts w:eastAsia="仿宋_GB2312"/>
                <w:sz w:val="24"/>
                <w:szCs w:val="24"/>
              </w:rPr>
            </w:pPr>
            <w:r>
              <w:rPr>
                <w:rFonts w:hint="eastAsia" w:eastAsia="仿宋_GB2312"/>
                <w:sz w:val="24"/>
                <w:szCs w:val="24"/>
              </w:rPr>
              <w:t>23</w:t>
            </w:r>
          </w:p>
        </w:tc>
        <w:tc>
          <w:tcPr>
            <w:tcW w:w="1029" w:type="dxa"/>
            <w:tcBorders>
              <w:top w:val="single" w:color="auto" w:sz="4" w:space="0"/>
              <w:left w:val="single" w:color="auto" w:sz="4" w:space="0"/>
              <w:bottom w:val="single" w:color="auto" w:sz="4" w:space="0"/>
              <w:right w:val="single" w:color="auto" w:sz="4" w:space="0"/>
            </w:tcBorders>
            <w:vAlign w:val="center"/>
          </w:tcPr>
          <w:p w14:paraId="5929EB1F">
            <w:pPr>
              <w:jc w:val="left"/>
              <w:rPr>
                <w:rFonts w:eastAsia="仿宋_GB2312"/>
                <w:sz w:val="24"/>
                <w:szCs w:val="24"/>
              </w:rPr>
            </w:pPr>
            <w:r>
              <w:rPr>
                <w:rFonts w:hint="eastAsia" w:eastAsia="仿宋_GB2312"/>
                <w:sz w:val="24"/>
                <w:szCs w:val="24"/>
              </w:rPr>
              <w:t>Web of Science</w:t>
            </w:r>
          </w:p>
        </w:tc>
      </w:tr>
      <w:tr w14:paraId="2AB09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45" w:hRule="exact"/>
        </w:trPr>
        <w:tc>
          <w:tcPr>
            <w:tcW w:w="638" w:type="dxa"/>
            <w:tcBorders>
              <w:top w:val="single" w:color="auto" w:sz="4" w:space="0"/>
              <w:left w:val="single" w:color="auto" w:sz="8" w:space="0"/>
              <w:bottom w:val="single" w:color="auto" w:sz="4" w:space="0"/>
              <w:right w:val="single" w:color="auto" w:sz="4" w:space="0"/>
            </w:tcBorders>
            <w:vAlign w:val="center"/>
          </w:tcPr>
          <w:p w14:paraId="51CE2734">
            <w:pPr>
              <w:jc w:val="center"/>
              <w:rPr>
                <w:rFonts w:eastAsia="仿宋_GB2312"/>
                <w:sz w:val="24"/>
                <w:szCs w:val="24"/>
              </w:rPr>
            </w:pPr>
            <w:r>
              <w:rPr>
                <w:rFonts w:hint="eastAsia" w:eastAsia="仿宋_GB2312"/>
                <w:sz w:val="24"/>
                <w:szCs w:val="24"/>
              </w:rPr>
              <w:t>5</w:t>
            </w:r>
          </w:p>
        </w:tc>
        <w:tc>
          <w:tcPr>
            <w:tcW w:w="4527" w:type="dxa"/>
            <w:tcBorders>
              <w:top w:val="single" w:color="auto" w:sz="4" w:space="0"/>
              <w:left w:val="single" w:color="auto" w:sz="4" w:space="0"/>
              <w:bottom w:val="single" w:color="auto" w:sz="4" w:space="0"/>
              <w:right w:val="single" w:color="auto" w:sz="4" w:space="0"/>
            </w:tcBorders>
            <w:vAlign w:val="center"/>
          </w:tcPr>
          <w:p w14:paraId="6CC2DDD0">
            <w:pPr>
              <w:jc w:val="left"/>
              <w:rPr>
                <w:rFonts w:eastAsia="仿宋_GB2312"/>
                <w:sz w:val="24"/>
                <w:szCs w:val="24"/>
              </w:rPr>
            </w:pPr>
            <w:r>
              <w:rPr>
                <w:rFonts w:hint="eastAsia" w:eastAsia="仿宋_GB2312"/>
                <w:sz w:val="24"/>
                <w:szCs w:val="24"/>
              </w:rPr>
              <w:t>Metabolic enzyme PDK3 forms a positive feedback loop with transcription factor HSF1 to drive chemoresistance.</w:t>
            </w:r>
          </w:p>
          <w:p w14:paraId="0AC4724C">
            <w:pPr>
              <w:jc w:val="left"/>
              <w:rPr>
                <w:rFonts w:eastAsia="仿宋_GB2312"/>
                <w:sz w:val="24"/>
                <w:szCs w:val="24"/>
              </w:rPr>
            </w:pPr>
            <w:r>
              <w:rPr>
                <w:rFonts w:hint="eastAsia" w:eastAsia="仿宋_GB2312"/>
                <w:b/>
                <w:bCs/>
                <w:sz w:val="24"/>
                <w:szCs w:val="24"/>
              </w:rPr>
              <w:t>Theranostics</w:t>
            </w:r>
          </w:p>
        </w:tc>
        <w:tc>
          <w:tcPr>
            <w:tcW w:w="1520" w:type="dxa"/>
            <w:tcBorders>
              <w:top w:val="single" w:color="auto" w:sz="4" w:space="0"/>
              <w:left w:val="single" w:color="auto" w:sz="4" w:space="0"/>
              <w:bottom w:val="single" w:color="auto" w:sz="4" w:space="0"/>
              <w:right w:val="single" w:color="auto" w:sz="4" w:space="0"/>
            </w:tcBorders>
            <w:vAlign w:val="center"/>
          </w:tcPr>
          <w:p w14:paraId="2D61794B">
            <w:pPr>
              <w:jc w:val="left"/>
              <w:rPr>
                <w:rFonts w:eastAsia="仿宋_GB2312"/>
                <w:sz w:val="24"/>
                <w:szCs w:val="24"/>
              </w:rPr>
            </w:pPr>
            <w:r>
              <w:rPr>
                <w:rFonts w:hint="eastAsia" w:eastAsia="仿宋_GB2312"/>
                <w:sz w:val="24"/>
                <w:szCs w:val="24"/>
              </w:rPr>
              <w:t>2019年9卷10期2999页</w:t>
            </w:r>
          </w:p>
        </w:tc>
        <w:tc>
          <w:tcPr>
            <w:tcW w:w="1530" w:type="dxa"/>
            <w:tcBorders>
              <w:top w:val="single" w:color="auto" w:sz="4" w:space="0"/>
              <w:left w:val="single" w:color="auto" w:sz="4" w:space="0"/>
              <w:bottom w:val="single" w:color="auto" w:sz="4" w:space="0"/>
              <w:right w:val="single" w:color="auto" w:sz="4" w:space="0"/>
            </w:tcBorders>
            <w:vAlign w:val="center"/>
          </w:tcPr>
          <w:p w14:paraId="0F77081E">
            <w:pPr>
              <w:jc w:val="left"/>
              <w:rPr>
                <w:rFonts w:eastAsia="仿宋_GB2312"/>
                <w:sz w:val="24"/>
                <w:szCs w:val="24"/>
              </w:rPr>
            </w:pPr>
            <w:r>
              <w:rPr>
                <w:rFonts w:hint="eastAsia" w:eastAsia="仿宋_GB2312"/>
                <w:sz w:val="24"/>
                <w:szCs w:val="24"/>
              </w:rPr>
              <w:t>2019年5月</w:t>
            </w:r>
          </w:p>
        </w:tc>
        <w:tc>
          <w:tcPr>
            <w:tcW w:w="950" w:type="dxa"/>
            <w:tcBorders>
              <w:top w:val="single" w:color="auto" w:sz="4" w:space="0"/>
              <w:left w:val="single" w:color="auto" w:sz="4" w:space="0"/>
              <w:bottom w:val="single" w:color="auto" w:sz="4" w:space="0"/>
              <w:right w:val="single" w:color="auto" w:sz="4" w:space="0"/>
            </w:tcBorders>
            <w:vAlign w:val="center"/>
          </w:tcPr>
          <w:p w14:paraId="647F2084">
            <w:pPr>
              <w:jc w:val="left"/>
              <w:rPr>
                <w:rFonts w:eastAsia="仿宋_GB2312"/>
                <w:sz w:val="24"/>
                <w:szCs w:val="24"/>
              </w:rPr>
            </w:pPr>
            <w:r>
              <w:rPr>
                <w:rFonts w:hint="eastAsia" w:eastAsia="仿宋_GB2312"/>
                <w:sz w:val="24"/>
                <w:szCs w:val="24"/>
              </w:rPr>
              <w:t>金洪传</w:t>
            </w:r>
          </w:p>
        </w:tc>
        <w:tc>
          <w:tcPr>
            <w:tcW w:w="940" w:type="dxa"/>
            <w:tcBorders>
              <w:top w:val="single" w:color="auto" w:sz="4" w:space="0"/>
              <w:left w:val="single" w:color="auto" w:sz="4" w:space="0"/>
              <w:bottom w:val="single" w:color="auto" w:sz="4" w:space="0"/>
              <w:right w:val="single" w:color="auto" w:sz="4" w:space="0"/>
            </w:tcBorders>
            <w:vAlign w:val="center"/>
          </w:tcPr>
          <w:p w14:paraId="7C0F5BF0">
            <w:pPr>
              <w:jc w:val="left"/>
              <w:rPr>
                <w:rFonts w:eastAsia="仿宋_GB2312"/>
                <w:sz w:val="24"/>
                <w:szCs w:val="24"/>
              </w:rPr>
            </w:pPr>
            <w:r>
              <w:rPr>
                <w:rFonts w:hint="eastAsia" w:eastAsia="仿宋_GB2312"/>
                <w:sz w:val="24"/>
                <w:szCs w:val="24"/>
              </w:rPr>
              <w:t>徐锦叶</w:t>
            </w:r>
          </w:p>
        </w:tc>
        <w:tc>
          <w:tcPr>
            <w:tcW w:w="2410" w:type="dxa"/>
            <w:tcBorders>
              <w:top w:val="single" w:color="auto" w:sz="4" w:space="0"/>
              <w:left w:val="single" w:color="auto" w:sz="4" w:space="0"/>
              <w:bottom w:val="single" w:color="auto" w:sz="4" w:space="0"/>
              <w:right w:val="single" w:color="auto" w:sz="4" w:space="0"/>
            </w:tcBorders>
            <w:vAlign w:val="center"/>
          </w:tcPr>
          <w:p w14:paraId="74470D48">
            <w:pPr>
              <w:spacing w:line="240" w:lineRule="exact"/>
              <w:jc w:val="left"/>
              <w:rPr>
                <w:rFonts w:eastAsia="仿宋_GB2312"/>
                <w:sz w:val="18"/>
                <w:szCs w:val="18"/>
              </w:rPr>
            </w:pPr>
            <w:r>
              <w:rPr>
                <w:rFonts w:hint="eastAsia" w:eastAsia="仿宋_GB2312"/>
                <w:sz w:val="18"/>
                <w:szCs w:val="18"/>
              </w:rPr>
              <w:t>Jinye Xu, Qiqi Shi, Wenxia Xu, Qiyin Zhou, Rongkai Shi, Yanning Ma, Dingwei Chen, Liyuan Zhu, Lifeng Feng, Alfred Sze-Lok Cheng, Helen Morrison, Xian Wang, Hongchuan Jin</w:t>
            </w:r>
          </w:p>
        </w:tc>
        <w:tc>
          <w:tcPr>
            <w:tcW w:w="600" w:type="dxa"/>
            <w:tcBorders>
              <w:top w:val="single" w:color="auto" w:sz="4" w:space="0"/>
              <w:left w:val="single" w:color="auto" w:sz="4" w:space="0"/>
              <w:bottom w:val="single" w:color="auto" w:sz="4" w:space="0"/>
              <w:right w:val="single" w:color="auto" w:sz="4" w:space="0"/>
            </w:tcBorders>
            <w:vAlign w:val="center"/>
          </w:tcPr>
          <w:p w14:paraId="64D5702D">
            <w:pPr>
              <w:jc w:val="left"/>
              <w:rPr>
                <w:rFonts w:eastAsia="仿宋_GB2312"/>
                <w:sz w:val="24"/>
                <w:szCs w:val="24"/>
              </w:rPr>
            </w:pPr>
            <w:r>
              <w:rPr>
                <w:rFonts w:hint="eastAsia" w:eastAsia="仿宋_GB2312"/>
                <w:sz w:val="24"/>
                <w:szCs w:val="24"/>
              </w:rPr>
              <w:t>40</w:t>
            </w:r>
          </w:p>
        </w:tc>
        <w:tc>
          <w:tcPr>
            <w:tcW w:w="1029" w:type="dxa"/>
            <w:tcBorders>
              <w:top w:val="single" w:color="auto" w:sz="4" w:space="0"/>
              <w:left w:val="single" w:color="auto" w:sz="4" w:space="0"/>
              <w:bottom w:val="single" w:color="auto" w:sz="4" w:space="0"/>
              <w:right w:val="single" w:color="auto" w:sz="4" w:space="0"/>
            </w:tcBorders>
            <w:vAlign w:val="center"/>
          </w:tcPr>
          <w:p w14:paraId="6B3D5346">
            <w:pPr>
              <w:jc w:val="left"/>
              <w:rPr>
                <w:rFonts w:eastAsia="仿宋_GB2312"/>
                <w:sz w:val="24"/>
                <w:szCs w:val="24"/>
              </w:rPr>
            </w:pPr>
            <w:r>
              <w:rPr>
                <w:rFonts w:hint="eastAsia" w:eastAsia="仿宋_GB2312"/>
                <w:sz w:val="24"/>
                <w:szCs w:val="24"/>
              </w:rPr>
              <w:t>Web of Science</w:t>
            </w:r>
          </w:p>
        </w:tc>
      </w:tr>
      <w:tr w14:paraId="2157F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7" w:hRule="exact"/>
        </w:trPr>
        <w:tc>
          <w:tcPr>
            <w:tcW w:w="638" w:type="dxa"/>
            <w:tcBorders>
              <w:top w:val="single" w:color="auto" w:sz="4" w:space="0"/>
              <w:left w:val="single" w:color="auto" w:sz="8" w:space="0"/>
              <w:bottom w:val="single" w:color="auto" w:sz="4" w:space="0"/>
              <w:right w:val="single" w:color="auto" w:sz="4" w:space="0"/>
            </w:tcBorders>
            <w:vAlign w:val="center"/>
          </w:tcPr>
          <w:p w14:paraId="53C2E287">
            <w:pPr>
              <w:jc w:val="center"/>
              <w:rPr>
                <w:rFonts w:eastAsia="仿宋_GB2312"/>
                <w:sz w:val="24"/>
                <w:szCs w:val="24"/>
              </w:rPr>
            </w:pPr>
            <w:r>
              <w:rPr>
                <w:rFonts w:hint="eastAsia" w:eastAsia="仿宋_GB2312"/>
                <w:sz w:val="24"/>
                <w:szCs w:val="24"/>
              </w:rPr>
              <w:t>6</w:t>
            </w:r>
          </w:p>
        </w:tc>
        <w:tc>
          <w:tcPr>
            <w:tcW w:w="4527" w:type="dxa"/>
            <w:tcBorders>
              <w:top w:val="single" w:color="auto" w:sz="4" w:space="0"/>
              <w:left w:val="single" w:color="auto" w:sz="4" w:space="0"/>
              <w:bottom w:val="single" w:color="auto" w:sz="4" w:space="0"/>
              <w:right w:val="single" w:color="auto" w:sz="4" w:space="0"/>
            </w:tcBorders>
            <w:vAlign w:val="center"/>
          </w:tcPr>
          <w:p w14:paraId="76794249">
            <w:pPr>
              <w:jc w:val="left"/>
              <w:rPr>
                <w:rFonts w:eastAsia="仿宋_GB2312"/>
                <w:sz w:val="24"/>
                <w:szCs w:val="24"/>
              </w:rPr>
            </w:pPr>
            <w:r>
              <w:rPr>
                <w:rFonts w:hint="eastAsia" w:eastAsia="仿宋_GB2312"/>
                <w:sz w:val="24"/>
                <w:szCs w:val="24"/>
              </w:rPr>
              <w:t>SIRT1 deacetylated and stabilized XRCC1 to promote chemoresistance in lung cancer.</w:t>
            </w:r>
          </w:p>
          <w:p w14:paraId="24F0E448">
            <w:pPr>
              <w:jc w:val="left"/>
              <w:rPr>
                <w:rFonts w:eastAsia="仿宋_GB2312"/>
                <w:sz w:val="24"/>
                <w:szCs w:val="24"/>
              </w:rPr>
            </w:pPr>
            <w:r>
              <w:rPr>
                <w:rFonts w:hint="eastAsia" w:eastAsia="仿宋_GB2312"/>
                <w:b/>
                <w:bCs/>
                <w:sz w:val="24"/>
                <w:szCs w:val="24"/>
              </w:rPr>
              <w:t>Cell death &amp; disease</w:t>
            </w:r>
          </w:p>
        </w:tc>
        <w:tc>
          <w:tcPr>
            <w:tcW w:w="1520" w:type="dxa"/>
            <w:tcBorders>
              <w:top w:val="single" w:color="auto" w:sz="4" w:space="0"/>
              <w:left w:val="single" w:color="auto" w:sz="4" w:space="0"/>
              <w:bottom w:val="single" w:color="auto" w:sz="4" w:space="0"/>
              <w:right w:val="single" w:color="auto" w:sz="4" w:space="0"/>
            </w:tcBorders>
            <w:vAlign w:val="center"/>
          </w:tcPr>
          <w:p w14:paraId="48725813">
            <w:pPr>
              <w:jc w:val="left"/>
              <w:rPr>
                <w:rFonts w:eastAsia="仿宋_GB2312"/>
                <w:sz w:val="24"/>
                <w:szCs w:val="24"/>
              </w:rPr>
            </w:pPr>
            <w:r>
              <w:rPr>
                <w:rFonts w:hint="eastAsia" w:eastAsia="仿宋_GB2312"/>
                <w:sz w:val="24"/>
                <w:szCs w:val="24"/>
              </w:rPr>
              <w:t>2019年10卷5期363页</w:t>
            </w:r>
          </w:p>
        </w:tc>
        <w:tc>
          <w:tcPr>
            <w:tcW w:w="1530" w:type="dxa"/>
            <w:tcBorders>
              <w:top w:val="single" w:color="auto" w:sz="4" w:space="0"/>
              <w:left w:val="single" w:color="auto" w:sz="4" w:space="0"/>
              <w:bottom w:val="single" w:color="auto" w:sz="4" w:space="0"/>
              <w:right w:val="single" w:color="auto" w:sz="4" w:space="0"/>
            </w:tcBorders>
            <w:vAlign w:val="center"/>
          </w:tcPr>
          <w:p w14:paraId="65A9BA66">
            <w:pPr>
              <w:jc w:val="left"/>
              <w:rPr>
                <w:rFonts w:eastAsia="仿宋_GB2312"/>
                <w:sz w:val="24"/>
                <w:szCs w:val="24"/>
              </w:rPr>
            </w:pPr>
            <w:r>
              <w:rPr>
                <w:rFonts w:hint="eastAsia" w:eastAsia="仿宋_GB2312"/>
                <w:sz w:val="24"/>
                <w:szCs w:val="24"/>
              </w:rPr>
              <w:t>2019年5月</w:t>
            </w:r>
          </w:p>
        </w:tc>
        <w:tc>
          <w:tcPr>
            <w:tcW w:w="950" w:type="dxa"/>
            <w:tcBorders>
              <w:top w:val="single" w:color="auto" w:sz="4" w:space="0"/>
              <w:left w:val="single" w:color="auto" w:sz="4" w:space="0"/>
              <w:bottom w:val="single" w:color="auto" w:sz="4" w:space="0"/>
              <w:right w:val="single" w:color="auto" w:sz="4" w:space="0"/>
            </w:tcBorders>
            <w:vAlign w:val="center"/>
          </w:tcPr>
          <w:p w14:paraId="3B60D1AB">
            <w:pPr>
              <w:jc w:val="left"/>
              <w:rPr>
                <w:rFonts w:eastAsia="仿宋_GB2312"/>
                <w:sz w:val="24"/>
                <w:szCs w:val="24"/>
              </w:rPr>
            </w:pPr>
            <w:r>
              <w:rPr>
                <w:rFonts w:hint="eastAsia" w:eastAsia="仿宋_GB2312"/>
                <w:sz w:val="24"/>
                <w:szCs w:val="24"/>
              </w:rPr>
              <w:t>王娴</w:t>
            </w:r>
          </w:p>
          <w:p w14:paraId="0C585535">
            <w:pPr>
              <w:jc w:val="left"/>
              <w:rPr>
                <w:rFonts w:eastAsia="仿宋_GB2312"/>
                <w:sz w:val="24"/>
                <w:szCs w:val="24"/>
              </w:rPr>
            </w:pPr>
            <w:r>
              <w:rPr>
                <w:rFonts w:hint="eastAsia" w:eastAsia="仿宋_GB2312"/>
                <w:sz w:val="24"/>
                <w:szCs w:val="24"/>
              </w:rPr>
              <w:t>金洪传</w:t>
            </w:r>
          </w:p>
        </w:tc>
        <w:tc>
          <w:tcPr>
            <w:tcW w:w="940" w:type="dxa"/>
            <w:tcBorders>
              <w:top w:val="single" w:color="auto" w:sz="4" w:space="0"/>
              <w:left w:val="single" w:color="auto" w:sz="4" w:space="0"/>
              <w:bottom w:val="single" w:color="auto" w:sz="4" w:space="0"/>
              <w:right w:val="single" w:color="auto" w:sz="4" w:space="0"/>
            </w:tcBorders>
            <w:vAlign w:val="center"/>
          </w:tcPr>
          <w:p w14:paraId="33C97BB1">
            <w:pPr>
              <w:jc w:val="left"/>
              <w:rPr>
                <w:rFonts w:eastAsia="仿宋_GB2312"/>
                <w:sz w:val="24"/>
                <w:szCs w:val="24"/>
              </w:rPr>
            </w:pPr>
            <w:r>
              <w:rPr>
                <w:rFonts w:hint="eastAsia" w:eastAsia="仿宋_GB2312"/>
                <w:sz w:val="18"/>
                <w:szCs w:val="18"/>
              </w:rPr>
              <w:t>Neelum Aziz Yousafzai</w:t>
            </w:r>
          </w:p>
        </w:tc>
        <w:tc>
          <w:tcPr>
            <w:tcW w:w="2410" w:type="dxa"/>
            <w:tcBorders>
              <w:top w:val="single" w:color="auto" w:sz="4" w:space="0"/>
              <w:left w:val="single" w:color="auto" w:sz="4" w:space="0"/>
              <w:bottom w:val="single" w:color="auto" w:sz="4" w:space="0"/>
              <w:right w:val="single" w:color="auto" w:sz="4" w:space="0"/>
            </w:tcBorders>
            <w:vAlign w:val="center"/>
          </w:tcPr>
          <w:p w14:paraId="539AF9EF">
            <w:pPr>
              <w:spacing w:line="240" w:lineRule="exact"/>
              <w:jc w:val="left"/>
              <w:rPr>
                <w:rFonts w:eastAsia="仿宋_GB2312"/>
                <w:sz w:val="18"/>
                <w:szCs w:val="18"/>
              </w:rPr>
            </w:pPr>
            <w:r>
              <w:rPr>
                <w:rFonts w:hint="eastAsia" w:eastAsia="仿宋_GB2312"/>
                <w:sz w:val="18"/>
                <w:szCs w:val="18"/>
              </w:rPr>
              <w:t>Neelum Aziz Yousafzai, Qiyin Zhou, Wenxia Xu, Qiqi Shi, Jinye Xu, Lifeng Feng, Hui Chen, Vivian Yvonne Shin, Hongchuan Jin, Xian Wang</w:t>
            </w:r>
          </w:p>
        </w:tc>
        <w:tc>
          <w:tcPr>
            <w:tcW w:w="600" w:type="dxa"/>
            <w:tcBorders>
              <w:top w:val="single" w:color="auto" w:sz="4" w:space="0"/>
              <w:left w:val="single" w:color="auto" w:sz="4" w:space="0"/>
              <w:bottom w:val="single" w:color="auto" w:sz="4" w:space="0"/>
              <w:right w:val="single" w:color="auto" w:sz="4" w:space="0"/>
            </w:tcBorders>
            <w:vAlign w:val="center"/>
          </w:tcPr>
          <w:p w14:paraId="7B732E59">
            <w:pPr>
              <w:jc w:val="left"/>
              <w:rPr>
                <w:rFonts w:eastAsia="仿宋_GB2312"/>
                <w:sz w:val="24"/>
                <w:szCs w:val="24"/>
              </w:rPr>
            </w:pPr>
            <w:r>
              <w:rPr>
                <w:rFonts w:hint="eastAsia" w:eastAsia="仿宋_GB2312"/>
                <w:sz w:val="24"/>
                <w:szCs w:val="24"/>
              </w:rPr>
              <w:t>52</w:t>
            </w:r>
          </w:p>
        </w:tc>
        <w:tc>
          <w:tcPr>
            <w:tcW w:w="1029" w:type="dxa"/>
            <w:tcBorders>
              <w:top w:val="single" w:color="auto" w:sz="4" w:space="0"/>
              <w:left w:val="single" w:color="auto" w:sz="4" w:space="0"/>
              <w:bottom w:val="single" w:color="auto" w:sz="4" w:space="0"/>
              <w:right w:val="single" w:color="auto" w:sz="4" w:space="0"/>
            </w:tcBorders>
            <w:vAlign w:val="center"/>
          </w:tcPr>
          <w:p w14:paraId="0CC5F516">
            <w:pPr>
              <w:jc w:val="left"/>
              <w:rPr>
                <w:rFonts w:eastAsia="仿宋_GB2312"/>
                <w:sz w:val="24"/>
                <w:szCs w:val="24"/>
              </w:rPr>
            </w:pPr>
            <w:r>
              <w:rPr>
                <w:rFonts w:hint="eastAsia" w:eastAsia="仿宋_GB2312"/>
                <w:sz w:val="24"/>
                <w:szCs w:val="24"/>
              </w:rPr>
              <w:t>Web of Science</w:t>
            </w:r>
          </w:p>
        </w:tc>
      </w:tr>
      <w:tr w14:paraId="3A4D7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7" w:hRule="exact"/>
        </w:trPr>
        <w:tc>
          <w:tcPr>
            <w:tcW w:w="638" w:type="dxa"/>
            <w:tcBorders>
              <w:top w:val="single" w:color="auto" w:sz="4" w:space="0"/>
              <w:left w:val="single" w:color="auto" w:sz="8" w:space="0"/>
              <w:bottom w:val="single" w:color="auto" w:sz="4" w:space="0"/>
              <w:right w:val="single" w:color="auto" w:sz="4" w:space="0"/>
            </w:tcBorders>
            <w:vAlign w:val="center"/>
          </w:tcPr>
          <w:p w14:paraId="47BAD167">
            <w:pPr>
              <w:jc w:val="center"/>
              <w:rPr>
                <w:rFonts w:eastAsia="仿宋_GB2312"/>
                <w:sz w:val="24"/>
                <w:szCs w:val="24"/>
              </w:rPr>
            </w:pPr>
            <w:r>
              <w:rPr>
                <w:rFonts w:hint="eastAsia" w:eastAsia="仿宋_GB2312"/>
                <w:sz w:val="24"/>
                <w:szCs w:val="24"/>
              </w:rPr>
              <w:t>7</w:t>
            </w:r>
          </w:p>
        </w:tc>
        <w:tc>
          <w:tcPr>
            <w:tcW w:w="4527" w:type="dxa"/>
            <w:tcBorders>
              <w:top w:val="single" w:color="auto" w:sz="4" w:space="0"/>
              <w:left w:val="single" w:color="auto" w:sz="4" w:space="0"/>
              <w:bottom w:val="single" w:color="auto" w:sz="4" w:space="0"/>
              <w:right w:val="single" w:color="auto" w:sz="4" w:space="0"/>
            </w:tcBorders>
            <w:vAlign w:val="center"/>
          </w:tcPr>
          <w:p w14:paraId="65004697">
            <w:pPr>
              <w:jc w:val="left"/>
              <w:rPr>
                <w:rFonts w:eastAsia="仿宋_GB2312"/>
                <w:sz w:val="24"/>
                <w:szCs w:val="24"/>
              </w:rPr>
            </w:pPr>
            <w:r>
              <w:rPr>
                <w:rFonts w:hint="eastAsia" w:eastAsia="仿宋_GB2312"/>
                <w:sz w:val="24"/>
                <w:szCs w:val="24"/>
              </w:rPr>
              <w:t xml:space="preserve">Disruption of dNTP homeostasis by ribonucleotide reductase hyperactivation overcomes AML differentiation blockade </w:t>
            </w:r>
          </w:p>
          <w:p w14:paraId="56A0F774">
            <w:pPr>
              <w:jc w:val="left"/>
              <w:rPr>
                <w:rFonts w:eastAsia="仿宋_GB2312"/>
                <w:sz w:val="24"/>
                <w:szCs w:val="24"/>
              </w:rPr>
            </w:pPr>
            <w:r>
              <w:rPr>
                <w:rFonts w:hint="eastAsia" w:eastAsia="仿宋_GB2312"/>
                <w:b/>
                <w:bCs/>
                <w:sz w:val="24"/>
                <w:szCs w:val="24"/>
              </w:rPr>
              <w:t>Blood</w:t>
            </w:r>
          </w:p>
        </w:tc>
        <w:tc>
          <w:tcPr>
            <w:tcW w:w="1520" w:type="dxa"/>
            <w:tcBorders>
              <w:top w:val="single" w:color="auto" w:sz="4" w:space="0"/>
              <w:left w:val="single" w:color="auto" w:sz="4" w:space="0"/>
              <w:bottom w:val="single" w:color="auto" w:sz="4" w:space="0"/>
              <w:right w:val="single" w:color="auto" w:sz="4" w:space="0"/>
            </w:tcBorders>
            <w:vAlign w:val="center"/>
          </w:tcPr>
          <w:p w14:paraId="78420CDB">
            <w:pPr>
              <w:jc w:val="left"/>
              <w:rPr>
                <w:rFonts w:eastAsia="仿宋_GB2312"/>
                <w:sz w:val="24"/>
                <w:szCs w:val="24"/>
              </w:rPr>
            </w:pPr>
            <w:r>
              <w:rPr>
                <w:rFonts w:hint="eastAsia" w:eastAsia="仿宋_GB2312"/>
                <w:sz w:val="24"/>
                <w:szCs w:val="24"/>
              </w:rPr>
              <w:t>2022年139卷26期3752页</w:t>
            </w:r>
          </w:p>
        </w:tc>
        <w:tc>
          <w:tcPr>
            <w:tcW w:w="1530" w:type="dxa"/>
            <w:tcBorders>
              <w:top w:val="single" w:color="auto" w:sz="4" w:space="0"/>
              <w:left w:val="single" w:color="auto" w:sz="4" w:space="0"/>
              <w:bottom w:val="single" w:color="auto" w:sz="4" w:space="0"/>
              <w:right w:val="single" w:color="auto" w:sz="4" w:space="0"/>
            </w:tcBorders>
            <w:vAlign w:val="center"/>
          </w:tcPr>
          <w:p w14:paraId="18F42718">
            <w:pPr>
              <w:jc w:val="left"/>
              <w:rPr>
                <w:rFonts w:eastAsia="仿宋_GB2312"/>
                <w:sz w:val="24"/>
                <w:szCs w:val="24"/>
              </w:rPr>
            </w:pPr>
            <w:r>
              <w:rPr>
                <w:rFonts w:hint="eastAsia" w:eastAsia="仿宋_GB2312"/>
                <w:sz w:val="24"/>
                <w:szCs w:val="24"/>
              </w:rPr>
              <w:t>2022年6月</w:t>
            </w:r>
          </w:p>
        </w:tc>
        <w:tc>
          <w:tcPr>
            <w:tcW w:w="950" w:type="dxa"/>
            <w:tcBorders>
              <w:top w:val="single" w:color="auto" w:sz="4" w:space="0"/>
              <w:left w:val="single" w:color="auto" w:sz="4" w:space="0"/>
              <w:bottom w:val="single" w:color="auto" w:sz="4" w:space="0"/>
              <w:right w:val="single" w:color="auto" w:sz="4" w:space="0"/>
            </w:tcBorders>
            <w:vAlign w:val="center"/>
          </w:tcPr>
          <w:p w14:paraId="698C8F2B">
            <w:pPr>
              <w:jc w:val="left"/>
              <w:rPr>
                <w:rFonts w:eastAsia="仿宋_GB2312"/>
                <w:sz w:val="24"/>
                <w:szCs w:val="24"/>
              </w:rPr>
            </w:pPr>
            <w:r>
              <w:rPr>
                <w:rFonts w:hint="eastAsia" w:eastAsia="仿宋_GB2312"/>
                <w:sz w:val="24"/>
                <w:szCs w:val="24"/>
              </w:rPr>
              <w:t>李凌</w:t>
            </w:r>
          </w:p>
          <w:p w14:paraId="505D6173">
            <w:pPr>
              <w:jc w:val="left"/>
              <w:rPr>
                <w:rFonts w:eastAsia="仿宋_GB2312"/>
                <w:sz w:val="24"/>
                <w:szCs w:val="24"/>
              </w:rPr>
            </w:pPr>
            <w:r>
              <w:rPr>
                <w:rFonts w:hint="eastAsia" w:eastAsia="仿宋_GB2312"/>
                <w:sz w:val="24"/>
                <w:szCs w:val="24"/>
              </w:rPr>
              <w:t>金洪传</w:t>
            </w:r>
          </w:p>
        </w:tc>
        <w:tc>
          <w:tcPr>
            <w:tcW w:w="940" w:type="dxa"/>
            <w:tcBorders>
              <w:top w:val="single" w:color="auto" w:sz="4" w:space="0"/>
              <w:left w:val="single" w:color="auto" w:sz="4" w:space="0"/>
              <w:bottom w:val="single" w:color="auto" w:sz="4" w:space="0"/>
              <w:right w:val="single" w:color="auto" w:sz="4" w:space="0"/>
            </w:tcBorders>
            <w:vAlign w:val="center"/>
          </w:tcPr>
          <w:p w14:paraId="29706A25">
            <w:pPr>
              <w:jc w:val="left"/>
              <w:rPr>
                <w:rFonts w:eastAsia="仿宋_GB2312"/>
                <w:sz w:val="24"/>
                <w:szCs w:val="24"/>
              </w:rPr>
            </w:pPr>
            <w:r>
              <w:rPr>
                <w:rFonts w:hint="eastAsia" w:eastAsia="仿宋_GB2312"/>
                <w:sz w:val="24"/>
                <w:szCs w:val="24"/>
              </w:rPr>
              <w:t>王罕盈</w:t>
            </w:r>
          </w:p>
        </w:tc>
        <w:tc>
          <w:tcPr>
            <w:tcW w:w="2410" w:type="dxa"/>
            <w:tcBorders>
              <w:top w:val="single" w:color="auto" w:sz="4" w:space="0"/>
              <w:left w:val="single" w:color="auto" w:sz="4" w:space="0"/>
              <w:bottom w:val="single" w:color="auto" w:sz="4" w:space="0"/>
              <w:right w:val="single" w:color="auto" w:sz="4" w:space="0"/>
            </w:tcBorders>
            <w:vAlign w:val="center"/>
          </w:tcPr>
          <w:p w14:paraId="58A4E076">
            <w:pPr>
              <w:spacing w:line="240" w:lineRule="exact"/>
              <w:jc w:val="left"/>
              <w:rPr>
                <w:rFonts w:eastAsia="仿宋_GB2312"/>
                <w:sz w:val="24"/>
                <w:szCs w:val="24"/>
              </w:rPr>
            </w:pPr>
            <w:r>
              <w:rPr>
                <w:rFonts w:hint="eastAsia" w:eastAsia="仿宋_GB2312"/>
                <w:sz w:val="18"/>
                <w:szCs w:val="18"/>
              </w:rPr>
              <w:t>Wang H, He X, Zhang L, Dong H, Huang F, Xian J, Li M, Chen W, Lu X, Pathak KV, Huang W, Li Z, Zhang L, Nguyen LXT, Yang L, Feng L, Gordon DJ, Zhang J, Pirrotte P, Chen CW, Salhotra A, Kuo YH, Horne D, Marcucci G, Sykes DB, Tiziani S, Jin H, Wang X, Li L</w:t>
            </w:r>
          </w:p>
        </w:tc>
        <w:tc>
          <w:tcPr>
            <w:tcW w:w="600" w:type="dxa"/>
            <w:tcBorders>
              <w:top w:val="single" w:color="auto" w:sz="4" w:space="0"/>
              <w:left w:val="single" w:color="auto" w:sz="4" w:space="0"/>
              <w:bottom w:val="single" w:color="auto" w:sz="4" w:space="0"/>
              <w:right w:val="single" w:color="auto" w:sz="4" w:space="0"/>
            </w:tcBorders>
            <w:vAlign w:val="center"/>
          </w:tcPr>
          <w:p w14:paraId="4843F299">
            <w:pPr>
              <w:jc w:val="left"/>
              <w:rPr>
                <w:rFonts w:eastAsia="仿宋_GB2312"/>
                <w:sz w:val="24"/>
                <w:szCs w:val="24"/>
              </w:rPr>
            </w:pPr>
            <w:r>
              <w:rPr>
                <w:rFonts w:hint="eastAsia" w:eastAsia="仿宋_GB2312"/>
                <w:sz w:val="24"/>
                <w:szCs w:val="24"/>
              </w:rPr>
              <w:t>18</w:t>
            </w:r>
          </w:p>
        </w:tc>
        <w:tc>
          <w:tcPr>
            <w:tcW w:w="1029" w:type="dxa"/>
            <w:tcBorders>
              <w:top w:val="single" w:color="auto" w:sz="4" w:space="0"/>
              <w:left w:val="single" w:color="auto" w:sz="4" w:space="0"/>
              <w:bottom w:val="single" w:color="auto" w:sz="4" w:space="0"/>
              <w:right w:val="single" w:color="auto" w:sz="4" w:space="0"/>
            </w:tcBorders>
            <w:vAlign w:val="center"/>
          </w:tcPr>
          <w:p w14:paraId="71BEA85A">
            <w:pPr>
              <w:jc w:val="left"/>
              <w:rPr>
                <w:rFonts w:eastAsia="仿宋_GB2312"/>
                <w:sz w:val="24"/>
                <w:szCs w:val="24"/>
              </w:rPr>
            </w:pPr>
            <w:r>
              <w:rPr>
                <w:rFonts w:hint="eastAsia" w:eastAsia="仿宋_GB2312"/>
                <w:sz w:val="24"/>
                <w:szCs w:val="24"/>
              </w:rPr>
              <w:t>Web of Science</w:t>
            </w:r>
          </w:p>
        </w:tc>
      </w:tr>
      <w:tr w14:paraId="2FB4B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7" w:hRule="exact"/>
        </w:trPr>
        <w:tc>
          <w:tcPr>
            <w:tcW w:w="638" w:type="dxa"/>
            <w:tcBorders>
              <w:top w:val="single" w:color="auto" w:sz="4" w:space="0"/>
              <w:left w:val="single" w:color="auto" w:sz="8" w:space="0"/>
              <w:bottom w:val="single" w:color="auto" w:sz="4" w:space="0"/>
              <w:right w:val="single" w:color="auto" w:sz="4" w:space="0"/>
            </w:tcBorders>
            <w:vAlign w:val="center"/>
          </w:tcPr>
          <w:p w14:paraId="49D689FA">
            <w:pPr>
              <w:jc w:val="center"/>
              <w:rPr>
                <w:rFonts w:eastAsia="仿宋_GB2312"/>
                <w:sz w:val="24"/>
                <w:szCs w:val="24"/>
              </w:rPr>
            </w:pPr>
            <w:r>
              <w:rPr>
                <w:rFonts w:hint="eastAsia" w:eastAsia="仿宋_GB2312"/>
                <w:sz w:val="24"/>
                <w:szCs w:val="24"/>
              </w:rPr>
              <w:t>8</w:t>
            </w:r>
          </w:p>
        </w:tc>
        <w:tc>
          <w:tcPr>
            <w:tcW w:w="4527" w:type="dxa"/>
            <w:tcBorders>
              <w:top w:val="single" w:color="auto" w:sz="4" w:space="0"/>
              <w:left w:val="single" w:color="auto" w:sz="4" w:space="0"/>
              <w:bottom w:val="single" w:color="auto" w:sz="4" w:space="0"/>
              <w:right w:val="single" w:color="auto" w:sz="4" w:space="0"/>
            </w:tcBorders>
            <w:vAlign w:val="center"/>
          </w:tcPr>
          <w:p w14:paraId="46780A0C">
            <w:pPr>
              <w:jc w:val="left"/>
              <w:rPr>
                <w:rFonts w:eastAsia="仿宋_GB2312"/>
                <w:sz w:val="24"/>
                <w:szCs w:val="24"/>
              </w:rPr>
            </w:pPr>
            <w:bookmarkStart w:id="3" w:name="OLE_LINK12"/>
            <w:r>
              <w:rPr>
                <w:rFonts w:hint="eastAsia" w:eastAsia="仿宋_GB2312"/>
                <w:sz w:val="24"/>
                <w:szCs w:val="24"/>
              </w:rPr>
              <w:t>LncRNA LINC00942 promotes chemoresistance in gastric cancer by suppressing MSI2 degradation to enhance c-Myc mRNA stability</w:t>
            </w:r>
          </w:p>
          <w:bookmarkEnd w:id="3"/>
          <w:p w14:paraId="06263A1E">
            <w:pPr>
              <w:jc w:val="left"/>
              <w:rPr>
                <w:rFonts w:eastAsia="仿宋_GB2312"/>
                <w:sz w:val="24"/>
                <w:szCs w:val="24"/>
              </w:rPr>
            </w:pPr>
            <w:r>
              <w:rPr>
                <w:rFonts w:hint="eastAsia" w:eastAsia="仿宋_GB2312"/>
                <w:b/>
                <w:bCs/>
                <w:sz w:val="24"/>
                <w:szCs w:val="24"/>
              </w:rPr>
              <w:t>Clinical and Tranlational Medicine</w:t>
            </w:r>
          </w:p>
        </w:tc>
        <w:tc>
          <w:tcPr>
            <w:tcW w:w="1520" w:type="dxa"/>
            <w:tcBorders>
              <w:top w:val="single" w:color="auto" w:sz="4" w:space="0"/>
              <w:left w:val="single" w:color="auto" w:sz="4" w:space="0"/>
              <w:bottom w:val="single" w:color="auto" w:sz="4" w:space="0"/>
              <w:right w:val="single" w:color="auto" w:sz="4" w:space="0"/>
            </w:tcBorders>
            <w:vAlign w:val="center"/>
          </w:tcPr>
          <w:p w14:paraId="03903684">
            <w:pPr>
              <w:jc w:val="left"/>
              <w:rPr>
                <w:rFonts w:eastAsia="仿宋_GB2312"/>
                <w:sz w:val="24"/>
                <w:szCs w:val="24"/>
              </w:rPr>
            </w:pPr>
            <w:r>
              <w:rPr>
                <w:rFonts w:hint="eastAsia" w:eastAsia="仿宋_GB2312"/>
                <w:sz w:val="24"/>
                <w:szCs w:val="24"/>
              </w:rPr>
              <w:t>2022年12卷1期e703页</w:t>
            </w:r>
          </w:p>
        </w:tc>
        <w:tc>
          <w:tcPr>
            <w:tcW w:w="1530" w:type="dxa"/>
            <w:tcBorders>
              <w:top w:val="single" w:color="auto" w:sz="4" w:space="0"/>
              <w:left w:val="single" w:color="auto" w:sz="4" w:space="0"/>
              <w:bottom w:val="single" w:color="auto" w:sz="4" w:space="0"/>
              <w:right w:val="single" w:color="auto" w:sz="4" w:space="0"/>
            </w:tcBorders>
            <w:vAlign w:val="center"/>
          </w:tcPr>
          <w:p w14:paraId="4E882079">
            <w:pPr>
              <w:jc w:val="left"/>
              <w:rPr>
                <w:rFonts w:eastAsia="仿宋_GB2312"/>
                <w:sz w:val="24"/>
                <w:szCs w:val="24"/>
              </w:rPr>
            </w:pPr>
            <w:r>
              <w:rPr>
                <w:rFonts w:hint="eastAsia" w:eastAsia="仿宋_GB2312"/>
                <w:sz w:val="24"/>
                <w:szCs w:val="24"/>
              </w:rPr>
              <w:t>2022年1月</w:t>
            </w:r>
          </w:p>
        </w:tc>
        <w:tc>
          <w:tcPr>
            <w:tcW w:w="950" w:type="dxa"/>
            <w:tcBorders>
              <w:top w:val="single" w:color="auto" w:sz="4" w:space="0"/>
              <w:left w:val="single" w:color="auto" w:sz="4" w:space="0"/>
              <w:bottom w:val="single" w:color="auto" w:sz="4" w:space="0"/>
              <w:right w:val="single" w:color="auto" w:sz="4" w:space="0"/>
            </w:tcBorders>
            <w:vAlign w:val="center"/>
          </w:tcPr>
          <w:p w14:paraId="5752967A">
            <w:pPr>
              <w:jc w:val="left"/>
              <w:rPr>
                <w:rFonts w:eastAsia="仿宋_GB2312"/>
                <w:sz w:val="24"/>
                <w:szCs w:val="24"/>
              </w:rPr>
            </w:pPr>
            <w:r>
              <w:rPr>
                <w:rFonts w:hint="eastAsia" w:eastAsia="仿宋_GB2312"/>
                <w:sz w:val="24"/>
                <w:szCs w:val="24"/>
              </w:rPr>
              <w:t>金洪传</w:t>
            </w:r>
          </w:p>
          <w:p w14:paraId="16639BF7">
            <w:pPr>
              <w:jc w:val="left"/>
              <w:rPr>
                <w:rFonts w:eastAsia="仿宋_GB2312"/>
                <w:sz w:val="24"/>
                <w:szCs w:val="24"/>
              </w:rPr>
            </w:pPr>
            <w:r>
              <w:rPr>
                <w:rFonts w:hint="eastAsia" w:eastAsia="仿宋_GB2312"/>
                <w:sz w:val="24"/>
                <w:szCs w:val="24"/>
              </w:rPr>
              <w:t>朱丽媛</w:t>
            </w:r>
          </w:p>
        </w:tc>
        <w:tc>
          <w:tcPr>
            <w:tcW w:w="940" w:type="dxa"/>
            <w:tcBorders>
              <w:top w:val="single" w:color="auto" w:sz="4" w:space="0"/>
              <w:left w:val="single" w:color="auto" w:sz="4" w:space="0"/>
              <w:bottom w:val="single" w:color="auto" w:sz="4" w:space="0"/>
              <w:right w:val="single" w:color="auto" w:sz="4" w:space="0"/>
            </w:tcBorders>
            <w:vAlign w:val="center"/>
          </w:tcPr>
          <w:p w14:paraId="06631DD0">
            <w:pPr>
              <w:jc w:val="left"/>
              <w:rPr>
                <w:rFonts w:eastAsia="仿宋_GB2312"/>
                <w:sz w:val="24"/>
                <w:szCs w:val="24"/>
              </w:rPr>
            </w:pPr>
            <w:r>
              <w:rPr>
                <w:rFonts w:hint="eastAsia" w:eastAsia="仿宋_GB2312"/>
                <w:sz w:val="24"/>
                <w:szCs w:val="24"/>
              </w:rPr>
              <w:t>朱怡然</w:t>
            </w:r>
          </w:p>
        </w:tc>
        <w:tc>
          <w:tcPr>
            <w:tcW w:w="2410" w:type="dxa"/>
            <w:tcBorders>
              <w:top w:val="single" w:color="auto" w:sz="4" w:space="0"/>
              <w:left w:val="single" w:color="auto" w:sz="4" w:space="0"/>
              <w:bottom w:val="single" w:color="auto" w:sz="4" w:space="0"/>
              <w:right w:val="single" w:color="auto" w:sz="4" w:space="0"/>
            </w:tcBorders>
            <w:vAlign w:val="center"/>
          </w:tcPr>
          <w:p w14:paraId="237B6831">
            <w:pPr>
              <w:spacing w:line="240" w:lineRule="exact"/>
              <w:jc w:val="left"/>
              <w:rPr>
                <w:rFonts w:eastAsia="仿宋_GB2312"/>
                <w:sz w:val="18"/>
                <w:szCs w:val="18"/>
              </w:rPr>
            </w:pPr>
            <w:r>
              <w:rPr>
                <w:rFonts w:hint="eastAsia" w:eastAsia="仿宋_GB2312"/>
                <w:sz w:val="18"/>
                <w:szCs w:val="18"/>
              </w:rPr>
              <w:t>Zhu Y, Zhou B, Hu X, Ying S, Zhou Q, Xu W, Feng L, Hou T, Wang X, Zhu L, Jin H.</w:t>
            </w:r>
          </w:p>
        </w:tc>
        <w:tc>
          <w:tcPr>
            <w:tcW w:w="600" w:type="dxa"/>
            <w:tcBorders>
              <w:top w:val="single" w:color="auto" w:sz="4" w:space="0"/>
              <w:left w:val="single" w:color="auto" w:sz="4" w:space="0"/>
              <w:bottom w:val="single" w:color="auto" w:sz="4" w:space="0"/>
              <w:right w:val="single" w:color="auto" w:sz="4" w:space="0"/>
            </w:tcBorders>
            <w:vAlign w:val="center"/>
          </w:tcPr>
          <w:p w14:paraId="5058D90C">
            <w:pPr>
              <w:jc w:val="left"/>
              <w:rPr>
                <w:rFonts w:eastAsia="仿宋_GB2312"/>
                <w:sz w:val="24"/>
                <w:szCs w:val="24"/>
              </w:rPr>
            </w:pPr>
            <w:r>
              <w:rPr>
                <w:rFonts w:hint="eastAsia" w:eastAsia="仿宋_GB2312"/>
                <w:sz w:val="24"/>
                <w:szCs w:val="24"/>
              </w:rPr>
              <w:t xml:space="preserve">82  </w:t>
            </w:r>
          </w:p>
        </w:tc>
        <w:tc>
          <w:tcPr>
            <w:tcW w:w="1029" w:type="dxa"/>
            <w:tcBorders>
              <w:top w:val="single" w:color="auto" w:sz="4" w:space="0"/>
              <w:left w:val="single" w:color="auto" w:sz="4" w:space="0"/>
              <w:bottom w:val="single" w:color="auto" w:sz="4" w:space="0"/>
              <w:right w:val="single" w:color="auto" w:sz="4" w:space="0"/>
            </w:tcBorders>
            <w:vAlign w:val="center"/>
          </w:tcPr>
          <w:p w14:paraId="7B8B7281">
            <w:pPr>
              <w:jc w:val="left"/>
              <w:rPr>
                <w:rFonts w:eastAsia="仿宋_GB2312"/>
                <w:sz w:val="24"/>
                <w:szCs w:val="24"/>
              </w:rPr>
            </w:pPr>
            <w:r>
              <w:rPr>
                <w:rFonts w:hint="eastAsia" w:eastAsia="仿宋_GB2312"/>
                <w:sz w:val="24"/>
                <w:szCs w:val="24"/>
              </w:rPr>
              <w:t>Web of Science</w:t>
            </w:r>
          </w:p>
        </w:tc>
      </w:tr>
      <w:tr w14:paraId="7DE51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638" w:type="dxa"/>
            <w:tcBorders>
              <w:top w:val="single" w:color="auto" w:sz="4" w:space="0"/>
              <w:left w:val="single" w:color="auto" w:sz="8" w:space="0"/>
              <w:bottom w:val="single" w:color="auto" w:sz="4" w:space="0"/>
              <w:right w:val="single" w:color="auto" w:sz="4" w:space="0"/>
            </w:tcBorders>
            <w:vAlign w:val="center"/>
          </w:tcPr>
          <w:p w14:paraId="4271F3C0">
            <w:pPr>
              <w:jc w:val="center"/>
              <w:rPr>
                <w:rFonts w:eastAsia="仿宋_GB2312"/>
                <w:sz w:val="24"/>
                <w:szCs w:val="24"/>
              </w:rPr>
            </w:pPr>
          </w:p>
        </w:tc>
        <w:tc>
          <w:tcPr>
            <w:tcW w:w="11877" w:type="dxa"/>
            <w:gridSpan w:val="6"/>
            <w:tcBorders>
              <w:top w:val="single" w:color="auto" w:sz="4" w:space="0"/>
              <w:left w:val="single" w:color="auto" w:sz="4" w:space="0"/>
              <w:bottom w:val="single" w:color="auto" w:sz="4" w:space="0"/>
              <w:right w:val="single" w:color="auto" w:sz="4" w:space="0"/>
            </w:tcBorders>
            <w:vAlign w:val="center"/>
          </w:tcPr>
          <w:p w14:paraId="28A0E3D2">
            <w:pPr>
              <w:jc w:val="right"/>
              <w:rPr>
                <w:rFonts w:eastAsia="仿宋_GB2312"/>
                <w:sz w:val="24"/>
                <w:szCs w:val="24"/>
              </w:rPr>
            </w:pPr>
            <w:r>
              <w:rPr>
                <w:rFonts w:eastAsia="仿宋_GB2312"/>
                <w:sz w:val="24"/>
                <w:szCs w:val="24"/>
              </w:rPr>
              <w:t>合计</w:t>
            </w:r>
          </w:p>
        </w:tc>
        <w:tc>
          <w:tcPr>
            <w:tcW w:w="600" w:type="dxa"/>
            <w:tcBorders>
              <w:top w:val="single" w:color="auto" w:sz="4" w:space="0"/>
              <w:left w:val="single" w:color="auto" w:sz="4" w:space="0"/>
              <w:bottom w:val="single" w:color="auto" w:sz="4" w:space="0"/>
              <w:right w:val="single" w:color="auto" w:sz="4" w:space="0"/>
            </w:tcBorders>
            <w:vAlign w:val="center"/>
          </w:tcPr>
          <w:p w14:paraId="3F50A550">
            <w:pPr>
              <w:rPr>
                <w:rFonts w:eastAsia="仿宋_GB2312"/>
                <w:sz w:val="24"/>
                <w:szCs w:val="24"/>
              </w:rPr>
            </w:pPr>
            <w:r>
              <w:rPr>
                <w:rFonts w:hint="eastAsia" w:eastAsia="仿宋_GB2312"/>
                <w:sz w:val="24"/>
                <w:szCs w:val="24"/>
              </w:rPr>
              <w:t>504</w:t>
            </w:r>
          </w:p>
        </w:tc>
        <w:tc>
          <w:tcPr>
            <w:tcW w:w="1029" w:type="dxa"/>
            <w:tcBorders>
              <w:top w:val="single" w:color="auto" w:sz="4" w:space="0"/>
              <w:left w:val="single" w:color="auto" w:sz="4" w:space="0"/>
              <w:bottom w:val="single" w:color="auto" w:sz="4" w:space="0"/>
              <w:right w:val="single" w:color="auto" w:sz="4" w:space="0"/>
            </w:tcBorders>
            <w:vAlign w:val="center"/>
          </w:tcPr>
          <w:p w14:paraId="13E2C67B">
            <w:pPr>
              <w:rPr>
                <w:rFonts w:eastAsia="仿宋_GB2312"/>
                <w:sz w:val="24"/>
                <w:szCs w:val="24"/>
              </w:rPr>
            </w:pPr>
          </w:p>
        </w:tc>
      </w:tr>
    </w:tbl>
    <w:p w14:paraId="59983052"/>
    <w:p w14:paraId="79FA547F">
      <w:pPr>
        <w:jc w:val="center"/>
        <w:rPr>
          <w:rFonts w:eastAsia="黑体"/>
          <w:sz w:val="32"/>
          <w:szCs w:val="32"/>
        </w:rPr>
      </w:pPr>
      <w:r>
        <w:rPr>
          <w:rFonts w:eastAsia="黑体"/>
          <w:sz w:val="32"/>
          <w:szCs w:val="32"/>
        </w:rPr>
        <w:br w:type="page"/>
      </w:r>
    </w:p>
    <w:p w14:paraId="20A0E20B">
      <w:pPr>
        <w:jc w:val="center"/>
        <w:rPr>
          <w:rFonts w:eastAsia="黑体"/>
          <w:sz w:val="32"/>
          <w:szCs w:val="32"/>
        </w:rPr>
      </w:pPr>
      <w:r>
        <w:rPr>
          <w:rFonts w:eastAsia="黑体"/>
          <w:sz w:val="32"/>
          <w:szCs w:val="32"/>
        </w:rPr>
        <w:t>八、主要知识产权和标准规范目录（不超过5件）</w:t>
      </w:r>
    </w:p>
    <w:tbl>
      <w:tblPr>
        <w:tblStyle w:val="16"/>
        <w:tblW w:w="14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2191"/>
        <w:gridCol w:w="1009"/>
        <w:gridCol w:w="1638"/>
        <w:gridCol w:w="974"/>
        <w:gridCol w:w="1222"/>
        <w:gridCol w:w="1366"/>
        <w:gridCol w:w="2181"/>
        <w:gridCol w:w="2089"/>
      </w:tblGrid>
      <w:tr w14:paraId="7E36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7" w:type="dxa"/>
            <w:tcBorders>
              <w:top w:val="single" w:color="auto" w:sz="4" w:space="0"/>
              <w:left w:val="single" w:color="auto" w:sz="4" w:space="0"/>
              <w:bottom w:val="single" w:color="auto" w:sz="4" w:space="0"/>
              <w:right w:val="single" w:color="auto" w:sz="4" w:space="0"/>
            </w:tcBorders>
            <w:vAlign w:val="center"/>
          </w:tcPr>
          <w:p w14:paraId="570C8142">
            <w:pPr>
              <w:jc w:val="center"/>
              <w:rPr>
                <w:rFonts w:eastAsia="仿宋_GB2312"/>
                <w:sz w:val="24"/>
                <w:szCs w:val="21"/>
              </w:rPr>
            </w:pPr>
            <w:r>
              <w:rPr>
                <w:rFonts w:eastAsia="仿宋_GB2312"/>
                <w:sz w:val="24"/>
                <w:szCs w:val="21"/>
              </w:rPr>
              <w:t>知识产权</w:t>
            </w:r>
          </w:p>
          <w:p w14:paraId="15C7A2D6">
            <w:pPr>
              <w:jc w:val="center"/>
              <w:rPr>
                <w:rFonts w:eastAsia="仿宋_GB2312"/>
                <w:sz w:val="24"/>
                <w:szCs w:val="21"/>
              </w:rPr>
            </w:pPr>
            <w:r>
              <w:rPr>
                <w:rFonts w:eastAsia="仿宋_GB2312"/>
                <w:sz w:val="24"/>
                <w:szCs w:val="21"/>
              </w:rPr>
              <w:t>（标准规范）类别</w:t>
            </w:r>
          </w:p>
        </w:tc>
        <w:tc>
          <w:tcPr>
            <w:tcW w:w="2191" w:type="dxa"/>
            <w:tcBorders>
              <w:top w:val="single" w:color="auto" w:sz="4" w:space="0"/>
              <w:left w:val="single" w:color="auto" w:sz="4" w:space="0"/>
              <w:bottom w:val="single" w:color="auto" w:sz="4" w:space="0"/>
              <w:right w:val="single" w:color="auto" w:sz="4" w:space="0"/>
            </w:tcBorders>
            <w:vAlign w:val="center"/>
          </w:tcPr>
          <w:p w14:paraId="26BEA7C3">
            <w:pPr>
              <w:jc w:val="center"/>
              <w:rPr>
                <w:rFonts w:eastAsia="仿宋_GB2312"/>
                <w:sz w:val="24"/>
                <w:szCs w:val="21"/>
              </w:rPr>
            </w:pPr>
            <w:r>
              <w:rPr>
                <w:rFonts w:eastAsia="仿宋_GB2312"/>
                <w:sz w:val="24"/>
                <w:szCs w:val="21"/>
              </w:rPr>
              <w:t>知识产权（标准规范）具体名称</w:t>
            </w:r>
          </w:p>
        </w:tc>
        <w:tc>
          <w:tcPr>
            <w:tcW w:w="1009" w:type="dxa"/>
            <w:tcBorders>
              <w:top w:val="single" w:color="auto" w:sz="4" w:space="0"/>
              <w:left w:val="single" w:color="auto" w:sz="4" w:space="0"/>
              <w:bottom w:val="single" w:color="auto" w:sz="4" w:space="0"/>
              <w:right w:val="single" w:color="auto" w:sz="4" w:space="0"/>
            </w:tcBorders>
            <w:vAlign w:val="center"/>
          </w:tcPr>
          <w:p w14:paraId="7B36AA45">
            <w:pPr>
              <w:jc w:val="center"/>
              <w:rPr>
                <w:rFonts w:eastAsia="仿宋_GB2312"/>
                <w:sz w:val="24"/>
                <w:szCs w:val="21"/>
              </w:rPr>
            </w:pPr>
            <w:r>
              <w:rPr>
                <w:rFonts w:eastAsia="仿宋_GB2312"/>
                <w:sz w:val="24"/>
                <w:szCs w:val="21"/>
              </w:rPr>
              <w:t>国家</w:t>
            </w:r>
          </w:p>
          <w:p w14:paraId="7B2F0F60">
            <w:pPr>
              <w:jc w:val="center"/>
              <w:rPr>
                <w:rFonts w:eastAsia="仿宋_GB2312"/>
                <w:bCs/>
                <w:snapToGrid w:val="0"/>
                <w:kern w:val="0"/>
                <w:sz w:val="24"/>
                <w:szCs w:val="21"/>
              </w:rPr>
            </w:pPr>
            <w:r>
              <w:rPr>
                <w:rFonts w:eastAsia="仿宋_GB2312"/>
                <w:bCs/>
                <w:snapToGrid w:val="0"/>
                <w:kern w:val="0"/>
                <w:sz w:val="24"/>
                <w:szCs w:val="21"/>
              </w:rPr>
              <w:t>（地区）</w:t>
            </w:r>
          </w:p>
        </w:tc>
        <w:tc>
          <w:tcPr>
            <w:tcW w:w="1638" w:type="dxa"/>
            <w:tcBorders>
              <w:top w:val="single" w:color="auto" w:sz="4" w:space="0"/>
              <w:left w:val="single" w:color="auto" w:sz="4" w:space="0"/>
              <w:bottom w:val="single" w:color="auto" w:sz="4" w:space="0"/>
              <w:right w:val="single" w:color="auto" w:sz="4" w:space="0"/>
            </w:tcBorders>
            <w:vAlign w:val="center"/>
          </w:tcPr>
          <w:p w14:paraId="576DCEE2">
            <w:pPr>
              <w:jc w:val="center"/>
              <w:rPr>
                <w:rFonts w:eastAsia="仿宋_GB2312"/>
                <w:sz w:val="24"/>
                <w:szCs w:val="21"/>
              </w:rPr>
            </w:pPr>
            <w:r>
              <w:rPr>
                <w:rFonts w:eastAsia="仿宋_GB2312"/>
                <w:sz w:val="24"/>
                <w:szCs w:val="21"/>
              </w:rPr>
              <w:t>授权号</w:t>
            </w:r>
          </w:p>
          <w:p w14:paraId="2AA69B6E">
            <w:pPr>
              <w:jc w:val="center"/>
              <w:rPr>
                <w:rFonts w:eastAsia="仿宋_GB2312"/>
                <w:sz w:val="24"/>
                <w:szCs w:val="21"/>
              </w:rPr>
            </w:pPr>
            <w:r>
              <w:rPr>
                <w:rFonts w:eastAsia="仿宋_GB2312"/>
                <w:sz w:val="24"/>
                <w:szCs w:val="21"/>
              </w:rPr>
              <w:t>（标准规范编号）</w:t>
            </w:r>
          </w:p>
        </w:tc>
        <w:tc>
          <w:tcPr>
            <w:tcW w:w="974" w:type="dxa"/>
            <w:tcBorders>
              <w:top w:val="single" w:color="auto" w:sz="4" w:space="0"/>
              <w:left w:val="single" w:color="auto" w:sz="4" w:space="0"/>
              <w:bottom w:val="single" w:color="auto" w:sz="4" w:space="0"/>
              <w:right w:val="single" w:color="auto" w:sz="4" w:space="0"/>
            </w:tcBorders>
            <w:vAlign w:val="center"/>
          </w:tcPr>
          <w:p w14:paraId="54A590F1">
            <w:pPr>
              <w:jc w:val="center"/>
              <w:rPr>
                <w:rFonts w:eastAsia="仿宋_GB2312"/>
                <w:sz w:val="24"/>
                <w:szCs w:val="21"/>
              </w:rPr>
            </w:pPr>
            <w:r>
              <w:rPr>
                <w:rFonts w:eastAsia="仿宋_GB2312"/>
                <w:sz w:val="24"/>
                <w:szCs w:val="21"/>
              </w:rPr>
              <w:t>授权（标准发布）日期</w:t>
            </w:r>
          </w:p>
        </w:tc>
        <w:tc>
          <w:tcPr>
            <w:tcW w:w="1222" w:type="dxa"/>
            <w:tcBorders>
              <w:top w:val="single" w:color="auto" w:sz="4" w:space="0"/>
              <w:left w:val="single" w:color="auto" w:sz="4" w:space="0"/>
              <w:bottom w:val="single" w:color="auto" w:sz="4" w:space="0"/>
              <w:right w:val="single" w:color="auto" w:sz="4" w:space="0"/>
            </w:tcBorders>
            <w:vAlign w:val="center"/>
          </w:tcPr>
          <w:p w14:paraId="6EB6606A">
            <w:pPr>
              <w:jc w:val="center"/>
              <w:rPr>
                <w:rFonts w:eastAsia="仿宋_GB2312"/>
                <w:sz w:val="24"/>
                <w:szCs w:val="21"/>
              </w:rPr>
            </w:pPr>
            <w:r>
              <w:rPr>
                <w:rFonts w:eastAsia="仿宋_GB2312"/>
                <w:sz w:val="24"/>
                <w:szCs w:val="21"/>
              </w:rPr>
              <w:t>证书编号（标准规范批准发布部门）</w:t>
            </w:r>
          </w:p>
        </w:tc>
        <w:tc>
          <w:tcPr>
            <w:tcW w:w="1366" w:type="dxa"/>
            <w:tcBorders>
              <w:top w:val="single" w:color="auto" w:sz="4" w:space="0"/>
              <w:left w:val="single" w:color="auto" w:sz="4" w:space="0"/>
              <w:bottom w:val="single" w:color="auto" w:sz="4" w:space="0"/>
              <w:right w:val="single" w:color="auto" w:sz="4" w:space="0"/>
            </w:tcBorders>
            <w:vAlign w:val="center"/>
          </w:tcPr>
          <w:p w14:paraId="659DADCE">
            <w:pPr>
              <w:jc w:val="center"/>
              <w:rPr>
                <w:rFonts w:eastAsia="仿宋_GB2312"/>
                <w:sz w:val="24"/>
                <w:szCs w:val="21"/>
              </w:rPr>
            </w:pPr>
            <w:r>
              <w:rPr>
                <w:rFonts w:eastAsia="仿宋_GB2312"/>
                <w:sz w:val="24"/>
                <w:szCs w:val="21"/>
              </w:rPr>
              <w:t>权利人（标准规范起草单位）</w:t>
            </w:r>
          </w:p>
        </w:tc>
        <w:tc>
          <w:tcPr>
            <w:tcW w:w="2181" w:type="dxa"/>
            <w:tcBorders>
              <w:top w:val="single" w:color="auto" w:sz="4" w:space="0"/>
              <w:left w:val="single" w:color="auto" w:sz="4" w:space="0"/>
              <w:bottom w:val="single" w:color="auto" w:sz="4" w:space="0"/>
              <w:right w:val="single" w:color="auto" w:sz="4" w:space="0"/>
            </w:tcBorders>
            <w:vAlign w:val="center"/>
          </w:tcPr>
          <w:p w14:paraId="6D2195DE">
            <w:pPr>
              <w:jc w:val="center"/>
              <w:rPr>
                <w:rFonts w:eastAsia="仿宋_GB2312"/>
                <w:sz w:val="24"/>
                <w:szCs w:val="21"/>
              </w:rPr>
            </w:pPr>
            <w:r>
              <w:rPr>
                <w:rFonts w:eastAsia="仿宋_GB2312"/>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14:paraId="3C7F6447">
            <w:pPr>
              <w:jc w:val="center"/>
              <w:rPr>
                <w:rFonts w:eastAsia="仿宋_GB2312"/>
                <w:sz w:val="24"/>
                <w:szCs w:val="21"/>
              </w:rPr>
            </w:pPr>
            <w:r>
              <w:rPr>
                <w:rFonts w:eastAsia="仿宋_GB2312"/>
                <w:sz w:val="24"/>
                <w:szCs w:val="21"/>
              </w:rPr>
              <w:t>发明专利（标准规范）有效状态</w:t>
            </w:r>
          </w:p>
        </w:tc>
      </w:tr>
      <w:tr w14:paraId="4AA08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87" w:type="dxa"/>
            <w:tcBorders>
              <w:top w:val="single" w:color="auto" w:sz="4" w:space="0"/>
              <w:left w:val="single" w:color="auto" w:sz="4" w:space="0"/>
              <w:bottom w:val="single" w:color="auto" w:sz="4" w:space="0"/>
              <w:right w:val="single" w:color="auto" w:sz="4" w:space="0"/>
            </w:tcBorders>
            <w:vAlign w:val="center"/>
          </w:tcPr>
          <w:p w14:paraId="17F28714">
            <w:pPr>
              <w:jc w:val="center"/>
              <w:rPr>
                <w:sz w:val="28"/>
                <w:szCs w:val="28"/>
              </w:rPr>
            </w:pPr>
            <w:r>
              <w:rPr>
                <w:rFonts w:hint="eastAsia"/>
                <w:sz w:val="28"/>
                <w:szCs w:val="28"/>
              </w:rPr>
              <w:t>专利</w:t>
            </w:r>
          </w:p>
        </w:tc>
        <w:tc>
          <w:tcPr>
            <w:tcW w:w="2191" w:type="dxa"/>
            <w:tcBorders>
              <w:top w:val="single" w:color="auto" w:sz="4" w:space="0"/>
              <w:left w:val="single" w:color="auto" w:sz="4" w:space="0"/>
              <w:bottom w:val="single" w:color="auto" w:sz="4" w:space="0"/>
              <w:right w:val="single" w:color="auto" w:sz="4" w:space="0"/>
            </w:tcBorders>
            <w:vAlign w:val="center"/>
          </w:tcPr>
          <w:p w14:paraId="4E34C888">
            <w:pPr>
              <w:jc w:val="center"/>
              <w:rPr>
                <w:sz w:val="28"/>
                <w:szCs w:val="28"/>
              </w:rPr>
            </w:pPr>
            <w:r>
              <w:rPr>
                <w:rFonts w:hint="eastAsia" w:eastAsia="仿宋_GB2312"/>
                <w:szCs w:val="21"/>
              </w:rPr>
              <w:t>香豆素-二硫代氨基甲酸酯衍生物在制备抗肿瘤药物中的应用</w:t>
            </w:r>
          </w:p>
        </w:tc>
        <w:tc>
          <w:tcPr>
            <w:tcW w:w="1009" w:type="dxa"/>
            <w:tcBorders>
              <w:top w:val="single" w:color="auto" w:sz="4" w:space="0"/>
              <w:left w:val="single" w:color="auto" w:sz="4" w:space="0"/>
              <w:bottom w:val="single" w:color="auto" w:sz="4" w:space="0"/>
              <w:right w:val="single" w:color="auto" w:sz="4" w:space="0"/>
            </w:tcBorders>
            <w:vAlign w:val="center"/>
          </w:tcPr>
          <w:p w14:paraId="59FDE112">
            <w:pPr>
              <w:jc w:val="center"/>
              <w:rPr>
                <w:sz w:val="28"/>
                <w:szCs w:val="28"/>
              </w:rPr>
            </w:pPr>
            <w:r>
              <w:rPr>
                <w:rFonts w:hint="eastAsia"/>
                <w:sz w:val="28"/>
                <w:szCs w:val="28"/>
              </w:rPr>
              <w:t>中国</w:t>
            </w:r>
          </w:p>
        </w:tc>
        <w:tc>
          <w:tcPr>
            <w:tcW w:w="1638" w:type="dxa"/>
            <w:tcBorders>
              <w:top w:val="single" w:color="auto" w:sz="4" w:space="0"/>
              <w:left w:val="single" w:color="auto" w:sz="4" w:space="0"/>
              <w:bottom w:val="single" w:color="auto" w:sz="4" w:space="0"/>
              <w:right w:val="single" w:color="auto" w:sz="4" w:space="0"/>
            </w:tcBorders>
            <w:vAlign w:val="center"/>
          </w:tcPr>
          <w:p w14:paraId="7BB05D4E">
            <w:pPr>
              <w:jc w:val="center"/>
              <w:rPr>
                <w:sz w:val="28"/>
                <w:szCs w:val="28"/>
              </w:rPr>
            </w:pPr>
            <w:r>
              <w:rPr>
                <w:rFonts w:hint="eastAsia" w:eastAsia="仿宋_GB2312"/>
                <w:sz w:val="28"/>
                <w:szCs w:val="28"/>
              </w:rPr>
              <w:t>ZL 2020 1 1386469.5</w:t>
            </w:r>
          </w:p>
        </w:tc>
        <w:tc>
          <w:tcPr>
            <w:tcW w:w="974" w:type="dxa"/>
            <w:tcBorders>
              <w:top w:val="single" w:color="auto" w:sz="4" w:space="0"/>
              <w:left w:val="single" w:color="auto" w:sz="4" w:space="0"/>
              <w:bottom w:val="single" w:color="auto" w:sz="4" w:space="0"/>
              <w:right w:val="single" w:color="auto" w:sz="4" w:space="0"/>
            </w:tcBorders>
            <w:vAlign w:val="center"/>
          </w:tcPr>
          <w:p w14:paraId="37F87D83">
            <w:pPr>
              <w:jc w:val="center"/>
              <w:rPr>
                <w:sz w:val="28"/>
                <w:szCs w:val="28"/>
              </w:rPr>
            </w:pPr>
            <w:r>
              <w:rPr>
                <w:rFonts w:hint="eastAsia"/>
                <w:sz w:val="28"/>
                <w:szCs w:val="28"/>
              </w:rPr>
              <w:t>2021.12.28</w:t>
            </w:r>
          </w:p>
        </w:tc>
        <w:tc>
          <w:tcPr>
            <w:tcW w:w="1222" w:type="dxa"/>
            <w:tcBorders>
              <w:top w:val="single" w:color="auto" w:sz="4" w:space="0"/>
              <w:left w:val="single" w:color="auto" w:sz="4" w:space="0"/>
              <w:bottom w:val="single" w:color="auto" w:sz="4" w:space="0"/>
              <w:right w:val="single" w:color="auto" w:sz="4" w:space="0"/>
            </w:tcBorders>
            <w:vAlign w:val="center"/>
          </w:tcPr>
          <w:p w14:paraId="52F3CDF3">
            <w:pPr>
              <w:jc w:val="center"/>
              <w:rPr>
                <w:sz w:val="28"/>
                <w:szCs w:val="28"/>
              </w:rPr>
            </w:pPr>
            <w:r>
              <w:rPr>
                <w:rFonts w:hint="eastAsia"/>
                <w:sz w:val="28"/>
                <w:szCs w:val="28"/>
              </w:rPr>
              <w:t>4870771</w:t>
            </w:r>
          </w:p>
        </w:tc>
        <w:tc>
          <w:tcPr>
            <w:tcW w:w="1366" w:type="dxa"/>
            <w:tcBorders>
              <w:top w:val="single" w:color="auto" w:sz="4" w:space="0"/>
              <w:left w:val="single" w:color="auto" w:sz="4" w:space="0"/>
              <w:bottom w:val="single" w:color="auto" w:sz="4" w:space="0"/>
              <w:right w:val="single" w:color="auto" w:sz="4" w:space="0"/>
            </w:tcBorders>
            <w:vAlign w:val="center"/>
          </w:tcPr>
          <w:p w14:paraId="6E30C86E">
            <w:pPr>
              <w:jc w:val="center"/>
              <w:rPr>
                <w:sz w:val="28"/>
                <w:szCs w:val="28"/>
              </w:rPr>
            </w:pPr>
            <w:r>
              <w:rPr>
                <w:rFonts w:hint="eastAsia"/>
                <w:sz w:val="28"/>
                <w:szCs w:val="28"/>
              </w:rPr>
              <w:t>浙江大学</w:t>
            </w:r>
          </w:p>
        </w:tc>
        <w:tc>
          <w:tcPr>
            <w:tcW w:w="2181" w:type="dxa"/>
            <w:tcBorders>
              <w:top w:val="single" w:color="auto" w:sz="4" w:space="0"/>
              <w:left w:val="single" w:color="auto" w:sz="4" w:space="0"/>
              <w:bottom w:val="single" w:color="auto" w:sz="4" w:space="0"/>
              <w:right w:val="single" w:color="auto" w:sz="4" w:space="0"/>
            </w:tcBorders>
            <w:vAlign w:val="center"/>
          </w:tcPr>
          <w:p w14:paraId="6086060A">
            <w:pPr>
              <w:jc w:val="center"/>
              <w:rPr>
                <w:sz w:val="28"/>
                <w:szCs w:val="28"/>
              </w:rPr>
            </w:pPr>
            <w:r>
              <w:rPr>
                <w:rFonts w:hint="eastAsia"/>
                <w:sz w:val="28"/>
                <w:szCs w:val="28"/>
              </w:rPr>
              <w:t>潘远江；朱和平；金洪传；应士龙；梁霄</w:t>
            </w:r>
          </w:p>
        </w:tc>
        <w:tc>
          <w:tcPr>
            <w:tcW w:w="2089" w:type="dxa"/>
            <w:tcBorders>
              <w:top w:val="single" w:color="auto" w:sz="4" w:space="0"/>
              <w:left w:val="single" w:color="auto" w:sz="4" w:space="0"/>
              <w:bottom w:val="single" w:color="auto" w:sz="4" w:space="0"/>
              <w:right w:val="single" w:color="auto" w:sz="4" w:space="0"/>
            </w:tcBorders>
            <w:vAlign w:val="center"/>
          </w:tcPr>
          <w:p w14:paraId="10A2A4FF">
            <w:pPr>
              <w:jc w:val="center"/>
              <w:rPr>
                <w:sz w:val="28"/>
                <w:szCs w:val="28"/>
              </w:rPr>
            </w:pPr>
            <w:r>
              <w:rPr>
                <w:rFonts w:hint="eastAsia"/>
                <w:sz w:val="28"/>
                <w:szCs w:val="28"/>
              </w:rPr>
              <w:t>专利权有效</w:t>
            </w:r>
          </w:p>
        </w:tc>
      </w:tr>
      <w:tr w14:paraId="2724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87" w:type="dxa"/>
            <w:tcBorders>
              <w:top w:val="single" w:color="auto" w:sz="4" w:space="0"/>
              <w:left w:val="single" w:color="auto" w:sz="4" w:space="0"/>
              <w:bottom w:val="single" w:color="auto" w:sz="4" w:space="0"/>
              <w:right w:val="single" w:color="auto" w:sz="4" w:space="0"/>
            </w:tcBorders>
            <w:vAlign w:val="center"/>
          </w:tcPr>
          <w:p w14:paraId="0C1B38CD">
            <w:pPr>
              <w:jc w:val="center"/>
              <w:rPr>
                <w:sz w:val="28"/>
                <w:szCs w:val="28"/>
              </w:rPr>
            </w:pPr>
            <w:r>
              <w:rPr>
                <w:rFonts w:hint="eastAsia"/>
                <w:sz w:val="28"/>
                <w:szCs w:val="28"/>
              </w:rPr>
              <w:t>专利</w:t>
            </w:r>
          </w:p>
        </w:tc>
        <w:tc>
          <w:tcPr>
            <w:tcW w:w="2191" w:type="dxa"/>
            <w:tcBorders>
              <w:top w:val="single" w:color="auto" w:sz="4" w:space="0"/>
              <w:left w:val="single" w:color="auto" w:sz="4" w:space="0"/>
              <w:bottom w:val="single" w:color="auto" w:sz="4" w:space="0"/>
              <w:right w:val="single" w:color="auto" w:sz="4" w:space="0"/>
            </w:tcBorders>
            <w:vAlign w:val="center"/>
          </w:tcPr>
          <w:p w14:paraId="0B5ED8DB">
            <w:pPr>
              <w:jc w:val="center"/>
              <w:rPr>
                <w:sz w:val="28"/>
                <w:szCs w:val="28"/>
              </w:rPr>
            </w:pPr>
            <w:r>
              <w:rPr>
                <w:rFonts w:hint="eastAsia" w:eastAsia="仿宋_GB2312"/>
                <w:szCs w:val="21"/>
              </w:rPr>
              <w:t>吡啶-2-芳基-3-磺酰胺类化合物及其合成方法和应用</w:t>
            </w:r>
          </w:p>
        </w:tc>
        <w:tc>
          <w:tcPr>
            <w:tcW w:w="1009" w:type="dxa"/>
            <w:tcBorders>
              <w:top w:val="single" w:color="auto" w:sz="4" w:space="0"/>
              <w:left w:val="single" w:color="auto" w:sz="4" w:space="0"/>
              <w:bottom w:val="single" w:color="auto" w:sz="4" w:space="0"/>
              <w:right w:val="single" w:color="auto" w:sz="4" w:space="0"/>
            </w:tcBorders>
            <w:vAlign w:val="center"/>
          </w:tcPr>
          <w:p w14:paraId="50B20EDE">
            <w:pPr>
              <w:jc w:val="center"/>
              <w:rPr>
                <w:sz w:val="28"/>
                <w:szCs w:val="28"/>
              </w:rPr>
            </w:pPr>
            <w:r>
              <w:rPr>
                <w:rFonts w:hint="eastAsia"/>
                <w:sz w:val="28"/>
                <w:szCs w:val="28"/>
              </w:rPr>
              <w:t>中国</w:t>
            </w:r>
          </w:p>
        </w:tc>
        <w:tc>
          <w:tcPr>
            <w:tcW w:w="1638" w:type="dxa"/>
            <w:tcBorders>
              <w:top w:val="single" w:color="auto" w:sz="4" w:space="0"/>
              <w:left w:val="single" w:color="auto" w:sz="4" w:space="0"/>
              <w:bottom w:val="single" w:color="auto" w:sz="4" w:space="0"/>
              <w:right w:val="single" w:color="auto" w:sz="4" w:space="0"/>
            </w:tcBorders>
            <w:vAlign w:val="center"/>
          </w:tcPr>
          <w:p w14:paraId="59F13529">
            <w:pPr>
              <w:pStyle w:val="6"/>
              <w:spacing w:line="240" w:lineRule="auto"/>
              <w:ind w:firstLine="0" w:firstLineChars="0"/>
              <w:jc w:val="center"/>
              <w:rPr>
                <w:sz w:val="28"/>
                <w:szCs w:val="28"/>
              </w:rPr>
            </w:pPr>
            <w:r>
              <w:rPr>
                <w:rFonts w:hint="eastAsia" w:ascii="Times New Roman" w:eastAsia="仿宋_GB2312"/>
                <w:sz w:val="28"/>
                <w:szCs w:val="28"/>
              </w:rPr>
              <w:t>ZL 2020 1 0269555.1</w:t>
            </w:r>
          </w:p>
        </w:tc>
        <w:tc>
          <w:tcPr>
            <w:tcW w:w="974" w:type="dxa"/>
            <w:tcBorders>
              <w:top w:val="single" w:color="auto" w:sz="4" w:space="0"/>
              <w:left w:val="single" w:color="auto" w:sz="4" w:space="0"/>
              <w:bottom w:val="single" w:color="auto" w:sz="4" w:space="0"/>
              <w:right w:val="single" w:color="auto" w:sz="4" w:space="0"/>
            </w:tcBorders>
            <w:vAlign w:val="center"/>
          </w:tcPr>
          <w:p w14:paraId="15914FEC">
            <w:pPr>
              <w:jc w:val="center"/>
              <w:rPr>
                <w:sz w:val="28"/>
                <w:szCs w:val="28"/>
              </w:rPr>
            </w:pPr>
            <w:r>
              <w:rPr>
                <w:rFonts w:hint="eastAsia"/>
                <w:sz w:val="28"/>
                <w:szCs w:val="28"/>
              </w:rPr>
              <w:t>2022.04.05</w:t>
            </w:r>
          </w:p>
        </w:tc>
        <w:tc>
          <w:tcPr>
            <w:tcW w:w="1222" w:type="dxa"/>
            <w:tcBorders>
              <w:top w:val="single" w:color="auto" w:sz="4" w:space="0"/>
              <w:left w:val="single" w:color="auto" w:sz="4" w:space="0"/>
              <w:bottom w:val="single" w:color="auto" w:sz="4" w:space="0"/>
              <w:right w:val="single" w:color="auto" w:sz="4" w:space="0"/>
            </w:tcBorders>
            <w:vAlign w:val="center"/>
          </w:tcPr>
          <w:p w14:paraId="02B3C50A">
            <w:pPr>
              <w:jc w:val="center"/>
              <w:rPr>
                <w:sz w:val="28"/>
                <w:szCs w:val="28"/>
              </w:rPr>
            </w:pPr>
            <w:r>
              <w:rPr>
                <w:rFonts w:hint="eastAsia"/>
                <w:sz w:val="28"/>
                <w:szCs w:val="28"/>
              </w:rPr>
              <w:t>5048559</w:t>
            </w:r>
          </w:p>
        </w:tc>
        <w:tc>
          <w:tcPr>
            <w:tcW w:w="1366" w:type="dxa"/>
            <w:tcBorders>
              <w:top w:val="single" w:color="auto" w:sz="4" w:space="0"/>
              <w:left w:val="single" w:color="auto" w:sz="4" w:space="0"/>
              <w:bottom w:val="single" w:color="auto" w:sz="4" w:space="0"/>
              <w:right w:val="single" w:color="auto" w:sz="4" w:space="0"/>
            </w:tcBorders>
            <w:vAlign w:val="center"/>
          </w:tcPr>
          <w:p w14:paraId="459ABBDE">
            <w:pPr>
              <w:jc w:val="center"/>
              <w:rPr>
                <w:sz w:val="28"/>
                <w:szCs w:val="28"/>
              </w:rPr>
            </w:pPr>
            <w:r>
              <w:rPr>
                <w:rFonts w:hint="eastAsia"/>
                <w:sz w:val="28"/>
                <w:szCs w:val="28"/>
              </w:rPr>
              <w:t>浙江大学</w:t>
            </w:r>
          </w:p>
        </w:tc>
        <w:tc>
          <w:tcPr>
            <w:tcW w:w="2181" w:type="dxa"/>
            <w:tcBorders>
              <w:top w:val="single" w:color="auto" w:sz="4" w:space="0"/>
              <w:left w:val="single" w:color="auto" w:sz="4" w:space="0"/>
              <w:bottom w:val="single" w:color="auto" w:sz="4" w:space="0"/>
              <w:right w:val="single" w:color="auto" w:sz="4" w:space="0"/>
            </w:tcBorders>
            <w:vAlign w:val="center"/>
          </w:tcPr>
          <w:p w14:paraId="5C260612">
            <w:pPr>
              <w:jc w:val="center"/>
              <w:rPr>
                <w:sz w:val="28"/>
                <w:szCs w:val="28"/>
              </w:rPr>
            </w:pPr>
            <w:r>
              <w:rPr>
                <w:rFonts w:hint="eastAsia"/>
                <w:sz w:val="28"/>
                <w:szCs w:val="28"/>
              </w:rPr>
              <w:t>潘远江；朱和平；金洪传；应士龙；梁霄</w:t>
            </w:r>
          </w:p>
        </w:tc>
        <w:tc>
          <w:tcPr>
            <w:tcW w:w="2089" w:type="dxa"/>
            <w:tcBorders>
              <w:top w:val="single" w:color="auto" w:sz="4" w:space="0"/>
              <w:left w:val="single" w:color="auto" w:sz="4" w:space="0"/>
              <w:bottom w:val="single" w:color="auto" w:sz="4" w:space="0"/>
              <w:right w:val="single" w:color="auto" w:sz="4" w:space="0"/>
            </w:tcBorders>
            <w:vAlign w:val="center"/>
          </w:tcPr>
          <w:p w14:paraId="39C3C9E4">
            <w:pPr>
              <w:jc w:val="center"/>
              <w:rPr>
                <w:sz w:val="28"/>
                <w:szCs w:val="28"/>
              </w:rPr>
            </w:pPr>
            <w:r>
              <w:rPr>
                <w:rFonts w:hint="eastAsia"/>
                <w:sz w:val="28"/>
                <w:szCs w:val="28"/>
              </w:rPr>
              <w:t>专利权有效</w:t>
            </w:r>
          </w:p>
        </w:tc>
      </w:tr>
      <w:tr w14:paraId="4AE1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487" w:type="dxa"/>
            <w:tcBorders>
              <w:top w:val="single" w:color="auto" w:sz="4" w:space="0"/>
              <w:left w:val="single" w:color="auto" w:sz="4" w:space="0"/>
              <w:bottom w:val="single" w:color="auto" w:sz="4" w:space="0"/>
              <w:right w:val="single" w:color="auto" w:sz="4" w:space="0"/>
            </w:tcBorders>
            <w:vAlign w:val="center"/>
          </w:tcPr>
          <w:p w14:paraId="4F6A1F67">
            <w:pPr>
              <w:jc w:val="center"/>
              <w:rPr>
                <w:sz w:val="28"/>
                <w:szCs w:val="28"/>
              </w:rPr>
            </w:pPr>
            <w:r>
              <w:rPr>
                <w:rFonts w:hint="eastAsia"/>
                <w:sz w:val="28"/>
                <w:szCs w:val="28"/>
              </w:rPr>
              <w:t>专利</w:t>
            </w:r>
          </w:p>
        </w:tc>
        <w:tc>
          <w:tcPr>
            <w:tcW w:w="2191" w:type="dxa"/>
            <w:tcBorders>
              <w:top w:val="single" w:color="auto" w:sz="4" w:space="0"/>
              <w:left w:val="single" w:color="auto" w:sz="4" w:space="0"/>
              <w:bottom w:val="single" w:color="auto" w:sz="4" w:space="0"/>
              <w:right w:val="single" w:color="auto" w:sz="4" w:space="0"/>
            </w:tcBorders>
            <w:vAlign w:val="center"/>
          </w:tcPr>
          <w:p w14:paraId="35438178">
            <w:pPr>
              <w:jc w:val="center"/>
              <w:rPr>
                <w:sz w:val="28"/>
                <w:szCs w:val="28"/>
              </w:rPr>
            </w:pPr>
            <w:r>
              <w:rPr>
                <w:rFonts w:hint="eastAsia" w:eastAsia="仿宋_GB2312"/>
                <w:szCs w:val="21"/>
              </w:rPr>
              <w:t>一种EGFR激酶抑制剂及其在制备抗癌药物方面的应用</w:t>
            </w:r>
          </w:p>
        </w:tc>
        <w:tc>
          <w:tcPr>
            <w:tcW w:w="1009" w:type="dxa"/>
            <w:tcBorders>
              <w:top w:val="single" w:color="auto" w:sz="4" w:space="0"/>
              <w:left w:val="single" w:color="auto" w:sz="4" w:space="0"/>
              <w:bottom w:val="single" w:color="auto" w:sz="4" w:space="0"/>
              <w:right w:val="single" w:color="auto" w:sz="4" w:space="0"/>
            </w:tcBorders>
            <w:vAlign w:val="center"/>
          </w:tcPr>
          <w:p w14:paraId="79CAA445">
            <w:pPr>
              <w:jc w:val="center"/>
              <w:rPr>
                <w:sz w:val="28"/>
                <w:szCs w:val="28"/>
              </w:rPr>
            </w:pPr>
            <w:r>
              <w:rPr>
                <w:rFonts w:hint="eastAsia"/>
                <w:sz w:val="28"/>
                <w:szCs w:val="28"/>
              </w:rPr>
              <w:t>中国</w:t>
            </w:r>
          </w:p>
        </w:tc>
        <w:tc>
          <w:tcPr>
            <w:tcW w:w="1638" w:type="dxa"/>
            <w:tcBorders>
              <w:top w:val="single" w:color="auto" w:sz="4" w:space="0"/>
              <w:left w:val="single" w:color="auto" w:sz="4" w:space="0"/>
              <w:bottom w:val="single" w:color="auto" w:sz="4" w:space="0"/>
              <w:right w:val="single" w:color="auto" w:sz="4" w:space="0"/>
            </w:tcBorders>
            <w:vAlign w:val="center"/>
          </w:tcPr>
          <w:p w14:paraId="6E0CD670">
            <w:pPr>
              <w:jc w:val="center"/>
              <w:rPr>
                <w:sz w:val="28"/>
                <w:szCs w:val="28"/>
              </w:rPr>
            </w:pPr>
            <w:r>
              <w:rPr>
                <w:rFonts w:hint="eastAsia" w:eastAsia="仿宋_GB2312"/>
                <w:sz w:val="28"/>
                <w:szCs w:val="28"/>
              </w:rPr>
              <w:t>ZL 2019 1 0538865.6</w:t>
            </w:r>
          </w:p>
        </w:tc>
        <w:tc>
          <w:tcPr>
            <w:tcW w:w="974" w:type="dxa"/>
            <w:tcBorders>
              <w:top w:val="single" w:color="auto" w:sz="4" w:space="0"/>
              <w:left w:val="single" w:color="auto" w:sz="4" w:space="0"/>
              <w:bottom w:val="single" w:color="auto" w:sz="4" w:space="0"/>
              <w:right w:val="single" w:color="auto" w:sz="4" w:space="0"/>
            </w:tcBorders>
            <w:vAlign w:val="center"/>
          </w:tcPr>
          <w:p w14:paraId="7D8B6BC3">
            <w:pPr>
              <w:jc w:val="center"/>
              <w:rPr>
                <w:sz w:val="28"/>
                <w:szCs w:val="28"/>
              </w:rPr>
            </w:pPr>
            <w:r>
              <w:rPr>
                <w:rFonts w:hint="eastAsia"/>
                <w:sz w:val="28"/>
                <w:szCs w:val="28"/>
              </w:rPr>
              <w:t>2022.07.19</w:t>
            </w:r>
          </w:p>
        </w:tc>
        <w:tc>
          <w:tcPr>
            <w:tcW w:w="1222" w:type="dxa"/>
            <w:tcBorders>
              <w:top w:val="single" w:color="auto" w:sz="4" w:space="0"/>
              <w:left w:val="single" w:color="auto" w:sz="4" w:space="0"/>
              <w:bottom w:val="single" w:color="auto" w:sz="4" w:space="0"/>
              <w:right w:val="single" w:color="auto" w:sz="4" w:space="0"/>
            </w:tcBorders>
            <w:vAlign w:val="center"/>
          </w:tcPr>
          <w:p w14:paraId="68B21964">
            <w:pPr>
              <w:jc w:val="center"/>
              <w:rPr>
                <w:sz w:val="28"/>
                <w:szCs w:val="28"/>
              </w:rPr>
            </w:pPr>
            <w:r>
              <w:rPr>
                <w:rFonts w:hint="eastAsia"/>
                <w:sz w:val="28"/>
                <w:szCs w:val="28"/>
              </w:rPr>
              <w:t>5320843</w:t>
            </w:r>
          </w:p>
        </w:tc>
        <w:tc>
          <w:tcPr>
            <w:tcW w:w="1366" w:type="dxa"/>
            <w:tcBorders>
              <w:top w:val="single" w:color="auto" w:sz="4" w:space="0"/>
              <w:left w:val="single" w:color="auto" w:sz="4" w:space="0"/>
              <w:bottom w:val="single" w:color="auto" w:sz="4" w:space="0"/>
              <w:right w:val="single" w:color="auto" w:sz="4" w:space="0"/>
            </w:tcBorders>
            <w:vAlign w:val="center"/>
          </w:tcPr>
          <w:p w14:paraId="1384ED6B">
            <w:pPr>
              <w:jc w:val="center"/>
              <w:rPr>
                <w:sz w:val="28"/>
                <w:szCs w:val="28"/>
              </w:rPr>
            </w:pPr>
            <w:r>
              <w:rPr>
                <w:rFonts w:hint="eastAsia"/>
                <w:sz w:val="28"/>
                <w:szCs w:val="28"/>
              </w:rPr>
              <w:t>浙江大学</w:t>
            </w:r>
          </w:p>
        </w:tc>
        <w:tc>
          <w:tcPr>
            <w:tcW w:w="2181" w:type="dxa"/>
            <w:tcBorders>
              <w:top w:val="single" w:color="auto" w:sz="4" w:space="0"/>
              <w:left w:val="single" w:color="auto" w:sz="4" w:space="0"/>
              <w:bottom w:val="single" w:color="auto" w:sz="4" w:space="0"/>
              <w:right w:val="single" w:color="auto" w:sz="4" w:space="0"/>
            </w:tcBorders>
            <w:vAlign w:val="center"/>
          </w:tcPr>
          <w:p w14:paraId="6D94DE69">
            <w:pPr>
              <w:jc w:val="center"/>
              <w:rPr>
                <w:sz w:val="28"/>
                <w:szCs w:val="28"/>
              </w:rPr>
            </w:pPr>
            <w:r>
              <w:rPr>
                <w:rFonts w:hint="eastAsia"/>
                <w:sz w:val="28"/>
                <w:szCs w:val="28"/>
              </w:rPr>
              <w:t>金洪传；冯利锋；应士龙；杨丽贤</w:t>
            </w:r>
          </w:p>
        </w:tc>
        <w:tc>
          <w:tcPr>
            <w:tcW w:w="2089" w:type="dxa"/>
            <w:tcBorders>
              <w:top w:val="single" w:color="auto" w:sz="4" w:space="0"/>
              <w:left w:val="single" w:color="auto" w:sz="4" w:space="0"/>
              <w:bottom w:val="single" w:color="auto" w:sz="4" w:space="0"/>
              <w:right w:val="single" w:color="auto" w:sz="4" w:space="0"/>
            </w:tcBorders>
            <w:vAlign w:val="center"/>
          </w:tcPr>
          <w:p w14:paraId="0325595C">
            <w:pPr>
              <w:jc w:val="center"/>
              <w:rPr>
                <w:sz w:val="28"/>
                <w:szCs w:val="28"/>
              </w:rPr>
            </w:pPr>
            <w:r>
              <w:rPr>
                <w:rFonts w:hint="eastAsia"/>
                <w:sz w:val="28"/>
                <w:szCs w:val="28"/>
              </w:rPr>
              <w:t>专利权有效</w:t>
            </w:r>
          </w:p>
        </w:tc>
      </w:tr>
    </w:tbl>
    <w:p w14:paraId="618ABD19">
      <w:pPr>
        <w:adjustRightInd w:val="0"/>
        <w:snapToGrid w:val="0"/>
        <w:spacing w:line="560" w:lineRule="exact"/>
        <w:rPr>
          <w:rFonts w:eastAsia="仿宋_GB2312"/>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91BFAB-7B43-4662-9D1C-5550E72256AD}"/>
  </w:font>
  <w:font w:name="Arial">
    <w:panose1 w:val="020B0604020202020204"/>
    <w:charset w:val="01"/>
    <w:family w:val="swiss"/>
    <w:pitch w:val="default"/>
    <w:sig w:usb0="E0002EFF" w:usb1="C000785B" w:usb2="00000009" w:usb3="00000000" w:csb0="400001FF" w:csb1="FFFF0000"/>
    <w:embedRegular r:id="rId2" w:fontKey="{0597B2E0-9108-4008-9553-6521DCA9AD25}"/>
  </w:font>
  <w:font w:name="黑体">
    <w:panose1 w:val="02010609060101010101"/>
    <w:charset w:val="86"/>
    <w:family w:val="auto"/>
    <w:pitch w:val="default"/>
    <w:sig w:usb0="800002BF" w:usb1="38CF7CFA" w:usb2="00000016" w:usb3="00000000" w:csb0="00040001" w:csb1="00000000"/>
    <w:embedRegular r:id="rId3" w:fontKey="{6A1E1FAE-1E40-4768-9242-0C052584BB19}"/>
  </w:font>
  <w:font w:name="Courier New">
    <w:panose1 w:val="02070309020205020404"/>
    <w:charset w:val="01"/>
    <w:family w:val="modern"/>
    <w:pitch w:val="default"/>
    <w:sig w:usb0="E0002EFF" w:usb1="C0007843" w:usb2="00000009" w:usb3="00000000" w:csb0="400001FF" w:csb1="FFFF0000"/>
    <w:embedRegular r:id="rId4" w:fontKey="{6F27344F-B28A-490A-8B47-1C7216D45DFC}"/>
  </w:font>
  <w:font w:name="Symbol">
    <w:panose1 w:val="05050102010706020507"/>
    <w:charset w:val="02"/>
    <w:family w:val="roman"/>
    <w:pitch w:val="default"/>
    <w:sig w:usb0="00000000" w:usb1="00000000" w:usb2="00000000" w:usb3="00000000" w:csb0="80000000" w:csb1="00000000"/>
    <w:embedRegular r:id="rId5" w:fontKey="{F1AE0EA7-3CE5-4926-9BAB-2AF85C50DB27}"/>
  </w:font>
  <w:font w:name="Calibri">
    <w:panose1 w:val="020F0502020204030204"/>
    <w:charset w:val="00"/>
    <w:family w:val="swiss"/>
    <w:pitch w:val="default"/>
    <w:sig w:usb0="E4002EFF" w:usb1="C000247B" w:usb2="00000009" w:usb3="00000000" w:csb0="200001FF" w:csb1="00000000"/>
    <w:embedRegular r:id="rId6" w:fontKey="{2ECC2D11-B931-4476-97F8-565781B14723}"/>
  </w:font>
  <w:font w:name="Cambria">
    <w:panose1 w:val="02040503050406030204"/>
    <w:charset w:val="00"/>
    <w:family w:val="roman"/>
    <w:pitch w:val="default"/>
    <w:sig w:usb0="E00006FF" w:usb1="420024FF" w:usb2="02000000" w:usb3="00000000" w:csb0="2000019F" w:csb1="00000000"/>
    <w:embedRegular r:id="rId7" w:fontKey="{28341D01-6953-4F07-A059-A6A045709ED5}"/>
  </w:font>
  <w:font w:name="仿宋_GB2312">
    <w:panose1 w:val="02010609030101010101"/>
    <w:charset w:val="86"/>
    <w:family w:val="modern"/>
    <w:pitch w:val="default"/>
    <w:sig w:usb0="00000001" w:usb1="080E0000" w:usb2="00000000" w:usb3="00000000" w:csb0="00040000" w:csb1="00000000"/>
    <w:embedRegular r:id="rId8" w:fontKey="{B8176CE6-ED7A-4F9E-AAB3-B00AD2650715}"/>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script"/>
    <w:pitch w:val="default"/>
    <w:sig w:usb0="A00002BF" w:usb1="184F6CFA" w:usb2="00000012" w:usb3="00000000" w:csb0="00040001" w:csb1="00000000"/>
    <w:embedRegular r:id="rId9" w:fontKey="{BA01217B-33C0-4C77-A9DF-FBA26A67F89E}"/>
  </w:font>
  <w:font w:name="仿宋">
    <w:panose1 w:val="02010609060101010101"/>
    <w:charset w:val="86"/>
    <w:family w:val="modern"/>
    <w:pitch w:val="default"/>
    <w:sig w:usb0="800002BF" w:usb1="38CF7CFA" w:usb2="00000016" w:usb3="00000000" w:csb0="00040001" w:csb1="00000000"/>
    <w:embedRegular r:id="rId10" w:fontKey="{68FE2AF6-7089-460B-AC44-0C1287F6541D}"/>
  </w:font>
  <w:font w:name="微软雅黑">
    <w:panose1 w:val="020B0503020204020204"/>
    <w:charset w:val="86"/>
    <w:family w:val="swiss"/>
    <w:pitch w:val="default"/>
    <w:sig w:usb0="80000287" w:usb1="2ACF3C50" w:usb2="00000016" w:usb3="00000000" w:csb0="0004001F" w:csb1="00000000"/>
    <w:embedRegular r:id="rId11" w:fontKey="{2FC4DC7B-ACCA-4520-86F9-71DC376C8A9B}"/>
  </w:font>
  <w:font w:name="___WRD_EMBED_SUB_1315">
    <w:panose1 w:val="02010609030101010101"/>
    <w:charset w:val="86"/>
    <w:family w:val="modern"/>
    <w:pitch w:val="default"/>
    <w:sig w:usb0="00000001" w:usb1="080E0000" w:usb2="00000000" w:usb3="00000000" w:csb0="00040000" w:csb1="00000000"/>
    <w:embedRegular r:id="rId12" w:fontKey="{25FC5DF1-39EF-42CC-8DB0-D6D47AE208AC}"/>
  </w:font>
  <w:font w:name="方正黑体简体">
    <w:panose1 w:val="02000000000000000000"/>
    <w:charset w:val="86"/>
    <w:family w:val="auto"/>
    <w:pitch w:val="default"/>
    <w:sig w:usb0="A00002BF" w:usb1="184F6CFA" w:usb2="00000012" w:usb3="00000000" w:csb0="00040001" w:csb1="00000000"/>
    <w:embedRegular r:id="rId13" w:fontKey="{A8F05AE1-6AD9-458A-881A-EA9421A85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7C880369">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FF33B">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02C"/>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362"/>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5AE9"/>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1D32"/>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649F9"/>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0CD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F4606"/>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A4D11"/>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76C36"/>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07C1A"/>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2C60"/>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0E51"/>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34F4"/>
    <w:rsid w:val="00FB523A"/>
    <w:rsid w:val="00FB5471"/>
    <w:rsid w:val="00FB5BE0"/>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C51B8C"/>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5</Pages>
  <Words>1797</Words>
  <Characters>3683</Characters>
  <Lines>163</Lines>
  <Paragraphs>202</Paragraphs>
  <TotalTime>85</TotalTime>
  <ScaleCrop>false</ScaleCrop>
  <LinksUpToDate>false</LinksUpToDate>
  <CharactersWithSpaces>4058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2022-01-25T00:15:00Z</dcterms:created>
  <dc:creator>胡胜链</dc:creator>
  <cp:lastModifiedBy>葛格</cp:lastModifiedBy>
  <cp:lastPrinted>2022-01-27T01:53:00Z</cp:lastPrinted>
  <dcterms:modified xsi:type="dcterms:W3CDTF">2025-09-16T02:11:21Z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AA8CDB7CD6744E67B2EA8A1A00186D0F_13</vt:lpwstr>
  </property>
  <property fmtid="{D5CDD505-2E9C-101B-9397-08002B2CF9AE}" pid="4" name="KSOTemplateDocerSaveRecord">
    <vt:lpwstr>eyJoZGlkIjoiODZmOGM3NzVjY2Q3MzMwZDBiYjA4NDUwMmIxYWJmYzYiLCJ1c2VySWQiOiIzOTE2OTE3MzYifQ==</vt:lpwstr>
  </property>
</Properties>
</file>