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E2D259">
      <w:pPr>
        <w:jc w:val="center"/>
        <w:rPr>
          <w:rStyle w:val="36"/>
          <w:rFonts w:eastAsia="Arial Unicode MS"/>
          <w:bCs w:val="0"/>
          <w:color w:val="auto"/>
          <w:sz w:val="36"/>
          <w:szCs w:val="36"/>
        </w:rPr>
      </w:pPr>
      <w:bookmarkStart w:id="5" w:name="_GoBack"/>
      <w:bookmarkEnd w:id="5"/>
      <w:r>
        <w:rPr>
          <w:rStyle w:val="36"/>
          <w:rFonts w:eastAsia="Arial Unicode MS"/>
          <w:b w:val="0"/>
          <w:color w:val="auto"/>
          <w:sz w:val="36"/>
          <w:szCs w:val="36"/>
        </w:rPr>
        <w:t>浙江省科学技术奖公示信息表</w:t>
      </w:r>
      <w:r>
        <w:rPr>
          <w:rStyle w:val="36"/>
          <w:rFonts w:eastAsia="仿宋_GB2312"/>
          <w:b w:val="0"/>
          <w:color w:val="auto"/>
          <w:sz w:val="32"/>
          <w:szCs w:val="32"/>
        </w:rPr>
        <w:t>（单位提名）</w:t>
      </w:r>
    </w:p>
    <w:p w14:paraId="76AC9478">
      <w:pPr>
        <w:spacing w:line="440" w:lineRule="exact"/>
        <w:rPr>
          <w:rFonts w:eastAsia="仿宋_GB2312"/>
          <w:sz w:val="28"/>
          <w:szCs w:val="24"/>
        </w:rPr>
      </w:pPr>
      <w:r>
        <w:rPr>
          <w:rFonts w:eastAsia="仿宋_GB2312"/>
          <w:sz w:val="28"/>
          <w:szCs w:val="24"/>
        </w:rPr>
        <w:t>提名奖项：科学技术进步奖</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14:paraId="2EE6D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2269" w:type="dxa"/>
            <w:vAlign w:val="center"/>
          </w:tcPr>
          <w:p w14:paraId="55C8AE43">
            <w:pPr>
              <w:jc w:val="center"/>
              <w:rPr>
                <w:rStyle w:val="36"/>
                <w:rFonts w:eastAsia="仿宋_GB2312"/>
                <w:b w:val="0"/>
                <w:color w:val="auto"/>
                <w:sz w:val="28"/>
              </w:rPr>
            </w:pPr>
            <w:r>
              <w:rPr>
                <w:rStyle w:val="36"/>
                <w:rFonts w:eastAsia="仿宋_GB2312"/>
                <w:b w:val="0"/>
                <w:bCs w:val="0"/>
                <w:color w:val="auto"/>
                <w:sz w:val="28"/>
              </w:rPr>
              <w:t>成果名称</w:t>
            </w:r>
          </w:p>
        </w:tc>
        <w:tc>
          <w:tcPr>
            <w:tcW w:w="6237" w:type="dxa"/>
            <w:vAlign w:val="center"/>
          </w:tcPr>
          <w:p w14:paraId="0ED2251F">
            <w:pPr>
              <w:jc w:val="center"/>
              <w:rPr>
                <w:rStyle w:val="36"/>
                <w:rFonts w:eastAsia="仿宋_GB2312"/>
                <w:b w:val="0"/>
                <w:color w:val="auto"/>
                <w:sz w:val="28"/>
              </w:rPr>
            </w:pPr>
            <w:r>
              <w:rPr>
                <w:rStyle w:val="36"/>
                <w:rFonts w:hint="eastAsia" w:eastAsia="仿宋_GB2312"/>
                <w:b w:val="0"/>
                <w:color w:val="auto"/>
                <w:sz w:val="28"/>
              </w:rPr>
              <w:t>多脏器衰竭预警与干预关键技术应用与推广</w:t>
            </w:r>
          </w:p>
        </w:tc>
      </w:tr>
      <w:tr w14:paraId="36DF04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2269" w:type="dxa"/>
            <w:vAlign w:val="center"/>
          </w:tcPr>
          <w:p w14:paraId="68997507">
            <w:pPr>
              <w:jc w:val="center"/>
              <w:rPr>
                <w:rStyle w:val="36"/>
                <w:rFonts w:eastAsia="仿宋_GB2312"/>
                <w:b w:val="0"/>
                <w:color w:val="auto"/>
                <w:sz w:val="28"/>
              </w:rPr>
            </w:pPr>
            <w:r>
              <w:rPr>
                <w:rStyle w:val="36"/>
                <w:rFonts w:eastAsia="仿宋_GB2312"/>
                <w:b w:val="0"/>
                <w:bCs w:val="0"/>
                <w:color w:val="auto"/>
                <w:sz w:val="28"/>
              </w:rPr>
              <w:t>提名等级</w:t>
            </w:r>
          </w:p>
        </w:tc>
        <w:tc>
          <w:tcPr>
            <w:tcW w:w="6237" w:type="dxa"/>
            <w:vAlign w:val="center"/>
          </w:tcPr>
          <w:p w14:paraId="622B6C1A">
            <w:pPr>
              <w:jc w:val="center"/>
              <w:rPr>
                <w:rStyle w:val="36"/>
                <w:rFonts w:eastAsia="仿宋_GB2312"/>
                <w:b w:val="0"/>
                <w:color w:val="auto"/>
                <w:sz w:val="28"/>
              </w:rPr>
            </w:pPr>
            <w:r>
              <w:rPr>
                <w:rStyle w:val="36"/>
                <w:rFonts w:hint="eastAsia" w:eastAsia="仿宋_GB2312"/>
                <w:b w:val="0"/>
                <w:color w:val="auto"/>
                <w:sz w:val="28"/>
              </w:rPr>
              <w:t>二等奖</w:t>
            </w:r>
          </w:p>
        </w:tc>
      </w:tr>
      <w:tr w14:paraId="173D19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61" w:hRule="atLeast"/>
        </w:trPr>
        <w:tc>
          <w:tcPr>
            <w:tcW w:w="2269" w:type="dxa"/>
            <w:vAlign w:val="center"/>
          </w:tcPr>
          <w:p w14:paraId="24AE21EF">
            <w:pPr>
              <w:spacing w:line="440" w:lineRule="exact"/>
              <w:jc w:val="center"/>
              <w:rPr>
                <w:rFonts w:eastAsia="仿宋_GB2312"/>
                <w:bCs/>
                <w:sz w:val="28"/>
                <w:szCs w:val="24"/>
              </w:rPr>
            </w:pPr>
            <w:r>
              <w:rPr>
                <w:rFonts w:eastAsia="仿宋_GB2312"/>
                <w:bCs/>
                <w:sz w:val="28"/>
                <w:szCs w:val="24"/>
              </w:rPr>
              <w:t>提名书</w:t>
            </w:r>
          </w:p>
          <w:p w14:paraId="47588D4A">
            <w:pPr>
              <w:spacing w:line="440" w:lineRule="exact"/>
              <w:jc w:val="center"/>
              <w:rPr>
                <w:rFonts w:eastAsia="仿宋_GB2312"/>
                <w:bCs/>
                <w:sz w:val="28"/>
                <w:szCs w:val="24"/>
              </w:rPr>
            </w:pPr>
            <w:r>
              <w:rPr>
                <w:rFonts w:eastAsia="仿宋_GB2312"/>
                <w:bCs/>
                <w:sz w:val="28"/>
                <w:szCs w:val="24"/>
              </w:rPr>
              <w:t>相关内容</w:t>
            </w:r>
          </w:p>
        </w:tc>
        <w:tc>
          <w:tcPr>
            <w:tcW w:w="6237" w:type="dxa"/>
            <w:vAlign w:val="center"/>
          </w:tcPr>
          <w:p w14:paraId="2B3123F4">
            <w:pPr>
              <w:spacing w:line="440" w:lineRule="exact"/>
              <w:jc w:val="left"/>
              <w:rPr>
                <w:rFonts w:ascii="方正仿宋_GB2312" w:hAnsi="方正仿宋_GB2312" w:eastAsia="方正仿宋_GB2312" w:cs="方正仿宋_GB2312"/>
                <w:bCs/>
                <w:sz w:val="28"/>
                <w:szCs w:val="28"/>
              </w:rPr>
            </w:pPr>
            <w:r>
              <w:rPr>
                <w:rStyle w:val="36"/>
                <w:rFonts w:hint="eastAsia" w:eastAsia="仿宋_GB2312"/>
                <w:b w:val="0"/>
                <w:bCs w:val="0"/>
                <w:color w:val="auto"/>
                <w:sz w:val="28"/>
              </w:rPr>
              <w:t>见附件1、2。</w:t>
            </w:r>
          </w:p>
        </w:tc>
      </w:tr>
      <w:tr w14:paraId="5221CB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8" w:hRule="atLeast"/>
        </w:trPr>
        <w:tc>
          <w:tcPr>
            <w:tcW w:w="2269" w:type="dxa"/>
            <w:tcBorders>
              <w:right w:val="single" w:color="auto" w:sz="4" w:space="0"/>
            </w:tcBorders>
            <w:vAlign w:val="center"/>
          </w:tcPr>
          <w:p w14:paraId="1E150A8D">
            <w:pPr>
              <w:spacing w:line="440" w:lineRule="exact"/>
              <w:jc w:val="center"/>
              <w:rPr>
                <w:rFonts w:eastAsia="仿宋_GB2312"/>
                <w:bCs/>
                <w:sz w:val="28"/>
                <w:szCs w:val="24"/>
              </w:rPr>
            </w:pPr>
            <w:r>
              <w:rPr>
                <w:rFonts w:eastAsia="仿宋_GB2312"/>
                <w:bCs/>
                <w:sz w:val="28"/>
                <w:szCs w:val="24"/>
              </w:rPr>
              <w:t>主要完成人</w:t>
            </w:r>
          </w:p>
        </w:tc>
        <w:tc>
          <w:tcPr>
            <w:tcW w:w="6237" w:type="dxa"/>
            <w:tcBorders>
              <w:left w:val="single" w:color="auto" w:sz="4" w:space="0"/>
            </w:tcBorders>
            <w:vAlign w:val="center"/>
          </w:tcPr>
          <w:p w14:paraId="2842749A">
            <w:pPr>
              <w:jc w:val="left"/>
              <w:rPr>
                <w:rStyle w:val="36"/>
                <w:rFonts w:eastAsia="仿宋_GB2312"/>
                <w:b w:val="0"/>
                <w:color w:val="auto"/>
                <w:sz w:val="28"/>
              </w:rPr>
            </w:pPr>
            <w:r>
              <w:rPr>
                <w:rStyle w:val="36"/>
                <w:rFonts w:hint="eastAsia" w:eastAsia="仿宋_GB2312"/>
                <w:b w:val="0"/>
                <w:color w:val="auto"/>
                <w:sz w:val="28"/>
              </w:rPr>
              <w:t>黄曼，排名1，主任医师，</w:t>
            </w:r>
            <w:bookmarkStart w:id="0" w:name="OLE_LINK24"/>
            <w:r>
              <w:rPr>
                <w:rStyle w:val="36"/>
                <w:rFonts w:hint="eastAsia" w:eastAsia="仿宋_GB2312"/>
                <w:b w:val="0"/>
                <w:color w:val="auto"/>
                <w:sz w:val="28"/>
              </w:rPr>
              <w:t>浙江大学/</w:t>
            </w:r>
            <w:bookmarkEnd w:id="0"/>
            <w:r>
              <w:rPr>
                <w:rStyle w:val="36"/>
                <w:rFonts w:hint="eastAsia" w:eastAsia="仿宋_GB2312"/>
                <w:b w:val="0"/>
                <w:color w:val="auto"/>
                <w:sz w:val="28"/>
              </w:rPr>
              <w:t>浙江大学医学院附属第二医院；</w:t>
            </w:r>
          </w:p>
          <w:p w14:paraId="18800653">
            <w:pPr>
              <w:jc w:val="left"/>
              <w:rPr>
                <w:rStyle w:val="36"/>
                <w:rFonts w:eastAsia="仿宋_GB2312"/>
                <w:b w:val="0"/>
                <w:color w:val="auto"/>
                <w:sz w:val="28"/>
              </w:rPr>
            </w:pPr>
            <w:r>
              <w:rPr>
                <w:rStyle w:val="36"/>
                <w:rFonts w:hint="eastAsia" w:eastAsia="仿宋_GB2312"/>
                <w:b w:val="0"/>
                <w:color w:val="auto"/>
                <w:sz w:val="28"/>
              </w:rPr>
              <w:t>陈静瑜，排名2，主任医师，浙江大学医学院附属第二医院/无锡市人民医院；</w:t>
            </w:r>
          </w:p>
          <w:p w14:paraId="027F517B">
            <w:pPr>
              <w:jc w:val="left"/>
              <w:rPr>
                <w:rStyle w:val="36"/>
                <w:rFonts w:eastAsia="仿宋_GB2312"/>
                <w:b w:val="0"/>
                <w:color w:val="auto"/>
                <w:sz w:val="28"/>
              </w:rPr>
            </w:pPr>
            <w:r>
              <w:rPr>
                <w:rStyle w:val="36"/>
                <w:rFonts w:hint="eastAsia" w:eastAsia="仿宋_GB2312"/>
                <w:b w:val="0"/>
                <w:color w:val="auto"/>
                <w:sz w:val="28"/>
              </w:rPr>
              <w:t>冯友军，排名3，教授，浙江大学；</w:t>
            </w:r>
          </w:p>
          <w:p w14:paraId="69659F6B">
            <w:pPr>
              <w:jc w:val="left"/>
              <w:rPr>
                <w:rStyle w:val="36"/>
                <w:rFonts w:eastAsia="仿宋_GB2312"/>
                <w:b w:val="0"/>
                <w:color w:val="auto"/>
                <w:sz w:val="28"/>
              </w:rPr>
            </w:pPr>
            <w:r>
              <w:rPr>
                <w:rStyle w:val="36"/>
                <w:rFonts w:hint="eastAsia" w:eastAsia="仿宋_GB2312"/>
                <w:b w:val="0"/>
                <w:color w:val="auto"/>
                <w:sz w:val="28"/>
              </w:rPr>
              <w:t>周瑜，排名4，主治医师，浙江大学医学院附属第二医院；</w:t>
            </w:r>
          </w:p>
          <w:p w14:paraId="7AA1AD80">
            <w:pPr>
              <w:jc w:val="left"/>
              <w:rPr>
                <w:rStyle w:val="36"/>
                <w:rFonts w:eastAsia="仿宋_GB2312"/>
                <w:b w:val="0"/>
                <w:color w:val="auto"/>
                <w:sz w:val="28"/>
              </w:rPr>
            </w:pPr>
            <w:r>
              <w:rPr>
                <w:rStyle w:val="36"/>
                <w:rFonts w:hint="eastAsia" w:eastAsia="仿宋_GB2312"/>
                <w:b w:val="0"/>
                <w:color w:val="auto"/>
                <w:sz w:val="28"/>
              </w:rPr>
              <w:t>刘震杰，排名5，主任医师，浙江大学医学院附属第二医院；</w:t>
            </w:r>
          </w:p>
          <w:p w14:paraId="278A1258">
            <w:pPr>
              <w:jc w:val="left"/>
              <w:rPr>
                <w:rStyle w:val="36"/>
                <w:rFonts w:eastAsia="仿宋_GB2312"/>
                <w:b w:val="0"/>
                <w:color w:val="auto"/>
                <w:sz w:val="28"/>
              </w:rPr>
            </w:pPr>
            <w:r>
              <w:rPr>
                <w:rStyle w:val="36"/>
                <w:rFonts w:hint="eastAsia" w:eastAsia="仿宋_GB2312"/>
                <w:b w:val="0"/>
                <w:color w:val="auto"/>
                <w:sz w:val="28"/>
              </w:rPr>
              <w:t>徐永山，排名6，主治医师，浙江大学医学院附属第二医院；</w:t>
            </w:r>
          </w:p>
          <w:p w14:paraId="76EE83C5">
            <w:pPr>
              <w:jc w:val="left"/>
              <w:rPr>
                <w:rStyle w:val="36"/>
                <w:rFonts w:eastAsia="仿宋_GB2312"/>
                <w:b w:val="0"/>
                <w:color w:val="auto"/>
                <w:sz w:val="28"/>
              </w:rPr>
            </w:pPr>
            <w:r>
              <w:rPr>
                <w:rStyle w:val="36"/>
                <w:rFonts w:hint="eastAsia" w:eastAsia="仿宋_GB2312"/>
                <w:b w:val="0"/>
                <w:color w:val="auto"/>
                <w:sz w:val="28"/>
              </w:rPr>
              <w:t>吴景，排名7，主治医师，浙江大学医学院附属第二医院；</w:t>
            </w:r>
          </w:p>
          <w:p w14:paraId="3742198C">
            <w:pPr>
              <w:jc w:val="left"/>
              <w:rPr>
                <w:rStyle w:val="36"/>
                <w:rFonts w:eastAsia="仿宋_GB2312"/>
                <w:b w:val="0"/>
                <w:color w:val="auto"/>
                <w:sz w:val="28"/>
              </w:rPr>
            </w:pPr>
            <w:r>
              <w:rPr>
                <w:rStyle w:val="36"/>
                <w:rFonts w:hint="eastAsia" w:eastAsia="仿宋_GB2312"/>
                <w:b w:val="0"/>
                <w:color w:val="auto"/>
                <w:sz w:val="28"/>
              </w:rPr>
              <w:t>陈娟，排名8，住院医师，浙江大学医学院附属第二医院；</w:t>
            </w:r>
          </w:p>
          <w:p w14:paraId="7DDAE8CC">
            <w:pPr>
              <w:jc w:val="left"/>
              <w:rPr>
                <w:rFonts w:ascii="方正仿宋_GB2312" w:hAnsi="方正仿宋_GB2312" w:eastAsia="方正仿宋_GB2312" w:cs="方正仿宋_GB2312"/>
                <w:bCs/>
                <w:sz w:val="28"/>
                <w:szCs w:val="28"/>
              </w:rPr>
            </w:pPr>
            <w:r>
              <w:rPr>
                <w:rStyle w:val="36"/>
                <w:rFonts w:hint="eastAsia" w:eastAsia="仿宋_GB2312"/>
                <w:b w:val="0"/>
                <w:color w:val="auto"/>
                <w:sz w:val="28"/>
              </w:rPr>
              <w:t>滕高钦，排名9，住院医师，浙江大学医学院附属第二医院；</w:t>
            </w:r>
          </w:p>
        </w:tc>
      </w:tr>
      <w:tr w14:paraId="3AC77B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6" w:hRule="atLeast"/>
        </w:trPr>
        <w:tc>
          <w:tcPr>
            <w:tcW w:w="2269" w:type="dxa"/>
            <w:tcBorders>
              <w:right w:val="single" w:color="auto" w:sz="4" w:space="0"/>
            </w:tcBorders>
            <w:vAlign w:val="center"/>
          </w:tcPr>
          <w:p w14:paraId="757F3ABA">
            <w:pPr>
              <w:spacing w:line="440" w:lineRule="exact"/>
              <w:jc w:val="center"/>
              <w:rPr>
                <w:rFonts w:eastAsia="仿宋"/>
                <w:bCs/>
                <w:sz w:val="24"/>
                <w:szCs w:val="24"/>
              </w:rPr>
            </w:pPr>
            <w:r>
              <w:rPr>
                <w:rFonts w:eastAsia="仿宋"/>
                <w:bCs/>
                <w:sz w:val="28"/>
                <w:szCs w:val="24"/>
              </w:rPr>
              <w:t>主要完成单位</w:t>
            </w:r>
          </w:p>
        </w:tc>
        <w:tc>
          <w:tcPr>
            <w:tcW w:w="6237" w:type="dxa"/>
            <w:tcBorders>
              <w:left w:val="single" w:color="auto" w:sz="4" w:space="0"/>
            </w:tcBorders>
            <w:vAlign w:val="center"/>
          </w:tcPr>
          <w:p w14:paraId="2CFCE1AA">
            <w:pPr>
              <w:jc w:val="left"/>
              <w:rPr>
                <w:rStyle w:val="36"/>
                <w:rFonts w:eastAsia="仿宋_GB2312"/>
                <w:b w:val="0"/>
                <w:color w:val="auto"/>
                <w:sz w:val="28"/>
              </w:rPr>
            </w:pPr>
            <w:r>
              <w:rPr>
                <w:rStyle w:val="36"/>
                <w:rFonts w:hint="eastAsia" w:eastAsia="仿宋_GB2312"/>
                <w:b w:val="0"/>
                <w:color w:val="auto"/>
                <w:sz w:val="28"/>
              </w:rPr>
              <w:t>1.浙江大学；</w:t>
            </w:r>
          </w:p>
          <w:p w14:paraId="7C6A0667">
            <w:pPr>
              <w:jc w:val="left"/>
              <w:rPr>
                <w:rStyle w:val="36"/>
                <w:rFonts w:eastAsia="仿宋_GB2312"/>
                <w:b w:val="0"/>
                <w:color w:val="auto"/>
                <w:sz w:val="28"/>
              </w:rPr>
            </w:pPr>
            <w:r>
              <w:rPr>
                <w:rStyle w:val="36"/>
                <w:rFonts w:hint="eastAsia" w:eastAsia="仿宋_GB2312"/>
                <w:b w:val="0"/>
                <w:color w:val="auto"/>
                <w:sz w:val="28"/>
              </w:rPr>
              <w:t>2.浙江大学医学院附属第二医院；</w:t>
            </w:r>
          </w:p>
          <w:p w14:paraId="0A84A0D9">
            <w:pPr>
              <w:jc w:val="left"/>
              <w:rPr>
                <w:rStyle w:val="36"/>
                <w:rFonts w:eastAsia="仿宋_GB2312"/>
                <w:b w:val="0"/>
                <w:color w:val="auto"/>
                <w:sz w:val="28"/>
              </w:rPr>
            </w:pPr>
            <w:r>
              <w:rPr>
                <w:rStyle w:val="36"/>
                <w:rFonts w:hint="eastAsia" w:eastAsia="仿宋_GB2312"/>
                <w:b w:val="0"/>
                <w:color w:val="auto"/>
                <w:sz w:val="28"/>
              </w:rPr>
              <w:t>3.无锡市人民医院；</w:t>
            </w:r>
          </w:p>
          <w:p w14:paraId="1D1B48E0">
            <w:pPr>
              <w:spacing w:line="440" w:lineRule="exact"/>
              <w:jc w:val="left"/>
              <w:rPr>
                <w:rFonts w:ascii="方正仿宋_GB2312" w:hAnsi="方正仿宋_GB2312" w:eastAsia="方正仿宋_GB2312" w:cs="方正仿宋_GB2312"/>
                <w:bCs/>
                <w:sz w:val="28"/>
                <w:szCs w:val="28"/>
              </w:rPr>
            </w:pPr>
          </w:p>
        </w:tc>
      </w:tr>
      <w:tr w14:paraId="2821E2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2269" w:type="dxa"/>
            <w:vAlign w:val="center"/>
          </w:tcPr>
          <w:p w14:paraId="11C7006D">
            <w:pPr>
              <w:jc w:val="center"/>
              <w:rPr>
                <w:rStyle w:val="36"/>
                <w:rFonts w:eastAsia="仿宋_GB2312"/>
                <w:b w:val="0"/>
                <w:color w:val="auto"/>
                <w:sz w:val="28"/>
                <w:szCs w:val="28"/>
              </w:rPr>
            </w:pPr>
            <w:r>
              <w:rPr>
                <w:rStyle w:val="36"/>
                <w:rFonts w:eastAsia="仿宋_GB2312"/>
                <w:b w:val="0"/>
                <w:color w:val="auto"/>
                <w:sz w:val="28"/>
                <w:szCs w:val="28"/>
              </w:rPr>
              <w:t>提名单位</w:t>
            </w:r>
          </w:p>
        </w:tc>
        <w:tc>
          <w:tcPr>
            <w:tcW w:w="6237" w:type="dxa"/>
            <w:vAlign w:val="center"/>
          </w:tcPr>
          <w:p w14:paraId="1A682360">
            <w:pPr>
              <w:contextualSpacing/>
              <w:jc w:val="center"/>
              <w:rPr>
                <w:rStyle w:val="36"/>
                <w:rFonts w:ascii="方正仿宋_GB2312" w:hAnsi="方正仿宋_GB2312" w:eastAsia="方正仿宋_GB2312" w:cs="方正仿宋_GB2312"/>
                <w:b w:val="0"/>
                <w:color w:val="auto"/>
                <w:sz w:val="28"/>
                <w:szCs w:val="28"/>
              </w:rPr>
            </w:pPr>
            <w:r>
              <w:rPr>
                <w:rStyle w:val="36"/>
                <w:rFonts w:hint="eastAsia" w:eastAsia="仿宋_GB2312"/>
                <w:b w:val="0"/>
                <w:color w:val="auto"/>
                <w:sz w:val="28"/>
              </w:rPr>
              <w:t>浙江大学</w:t>
            </w:r>
          </w:p>
        </w:tc>
      </w:tr>
      <w:tr w14:paraId="1551A6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3" w:hRule="atLeast"/>
        </w:trPr>
        <w:tc>
          <w:tcPr>
            <w:tcW w:w="2269" w:type="dxa"/>
            <w:vAlign w:val="center"/>
          </w:tcPr>
          <w:p w14:paraId="36EEE36A">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6237" w:type="dxa"/>
            <w:vAlign w:val="center"/>
          </w:tcPr>
          <w:p w14:paraId="05973825">
            <w:pPr>
              <w:jc w:val="left"/>
              <w:rPr>
                <w:rStyle w:val="36"/>
                <w:b w:val="0"/>
                <w:color w:val="auto"/>
              </w:rPr>
            </w:pPr>
            <w:r>
              <w:rPr>
                <w:rStyle w:val="36"/>
                <w:rFonts w:hint="eastAsia" w:eastAsia="仿宋_GB2312"/>
                <w:b w:val="0"/>
                <w:color w:val="auto"/>
                <w:sz w:val="28"/>
              </w:rPr>
              <w:t>多脏器衰竭预警与干预关键技术应用与推广在重症医学空余取得了显著的创新成果，其技术创新性强，应用范围广，经济效益和社会效益显著。项目成果在多脏器衰竭早期预警和有效干预得到了广泛应用，为重症医学的学科发展提供了有力的技术支撑。鉴于该项目在科技创新和应用推广方面的突出表现，特提名其为浙江省科技进步二等奖。</w:t>
            </w:r>
          </w:p>
        </w:tc>
      </w:tr>
    </w:tbl>
    <w:p w14:paraId="78760BC1">
      <w:pPr>
        <w:adjustRightInd w:val="0"/>
        <w:snapToGrid w:val="0"/>
        <w:spacing w:line="560" w:lineRule="exact"/>
        <w:rPr>
          <w:rFonts w:eastAsia="仿宋_GB2312"/>
          <w:sz w:val="32"/>
          <w:szCs w:val="32"/>
        </w:rPr>
      </w:pPr>
    </w:p>
    <w:p w14:paraId="63ADD150">
      <w:pPr>
        <w:adjustRightInd w:val="0"/>
        <w:snapToGrid w:val="0"/>
        <w:spacing w:line="560" w:lineRule="exact"/>
        <w:rPr>
          <w:rFonts w:eastAsia="仿宋_GB2312"/>
          <w:sz w:val="32"/>
          <w:szCs w:val="32"/>
        </w:rPr>
      </w:pPr>
    </w:p>
    <w:p w14:paraId="4603552B">
      <w:pPr>
        <w:adjustRightInd w:val="0"/>
        <w:snapToGrid w:val="0"/>
        <w:spacing w:line="560" w:lineRule="exact"/>
        <w:rPr>
          <w:rFonts w:eastAsia="仿宋_GB2312"/>
          <w:sz w:val="32"/>
          <w:szCs w:val="32"/>
        </w:rPr>
        <w:sectPr>
          <w:headerReference r:id="rId7"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14:paraId="2D1A946A">
      <w:pPr>
        <w:pStyle w:val="4"/>
        <w:rPr>
          <w:rFonts w:eastAsia="方正黑体简体"/>
          <w:sz w:val="32"/>
          <w:szCs w:val="22"/>
        </w:rPr>
      </w:pPr>
      <w:r>
        <w:rPr>
          <w:rFonts w:hint="eastAsia" w:eastAsia="方正黑体简体"/>
          <w:sz w:val="32"/>
          <w:szCs w:val="22"/>
        </w:rPr>
        <w:t>附件1：</w:t>
      </w:r>
    </w:p>
    <w:p w14:paraId="6FBC65D2">
      <w:pPr>
        <w:pStyle w:val="4"/>
        <w:jc w:val="center"/>
        <w:rPr>
          <w:rFonts w:eastAsia="方正黑体简体"/>
          <w:sz w:val="32"/>
          <w:szCs w:val="22"/>
        </w:rPr>
      </w:pPr>
      <w:r>
        <w:rPr>
          <w:rFonts w:eastAsia="方正黑体简体"/>
          <w:sz w:val="32"/>
          <w:szCs w:val="22"/>
        </w:rPr>
        <w:t>主要知识产权和标准规范目录</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6"/>
        <w:gridCol w:w="2730"/>
        <w:gridCol w:w="1015"/>
        <w:gridCol w:w="1369"/>
        <w:gridCol w:w="1630"/>
        <w:gridCol w:w="1630"/>
        <w:gridCol w:w="1400"/>
        <w:gridCol w:w="1335"/>
        <w:gridCol w:w="1468"/>
      </w:tblGrid>
      <w:tr w14:paraId="63C53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0" w:hRule="atLeast"/>
        </w:trPr>
        <w:tc>
          <w:tcPr>
            <w:tcW w:w="563" w:type="pct"/>
            <w:tcBorders>
              <w:top w:val="single" w:color="auto" w:sz="4" w:space="0"/>
              <w:left w:val="single" w:color="auto" w:sz="4" w:space="0"/>
              <w:bottom w:val="single" w:color="auto" w:sz="4" w:space="0"/>
              <w:right w:val="single" w:color="auto" w:sz="4" w:space="0"/>
            </w:tcBorders>
            <w:vAlign w:val="center"/>
          </w:tcPr>
          <w:p w14:paraId="299B15C9">
            <w:pPr>
              <w:spacing w:line="240" w:lineRule="auto"/>
              <w:jc w:val="center"/>
              <w:rPr>
                <w:rFonts w:eastAsia="方正仿宋_GB2312"/>
                <w:sz w:val="28"/>
                <w:szCs w:val="28"/>
              </w:rPr>
            </w:pPr>
            <w:r>
              <w:rPr>
                <w:rFonts w:eastAsia="方正仿宋_GB2312"/>
                <w:sz w:val="28"/>
                <w:szCs w:val="28"/>
              </w:rPr>
              <w:t>知识产权</w:t>
            </w:r>
          </w:p>
          <w:p w14:paraId="3D9F9A75">
            <w:pPr>
              <w:spacing w:line="240" w:lineRule="auto"/>
              <w:jc w:val="center"/>
              <w:rPr>
                <w:rFonts w:eastAsia="方正仿宋_GB2312"/>
                <w:sz w:val="28"/>
                <w:szCs w:val="28"/>
              </w:rPr>
            </w:pPr>
            <w:r>
              <w:rPr>
                <w:rFonts w:eastAsia="方正仿宋_GB2312"/>
                <w:sz w:val="28"/>
                <w:szCs w:val="28"/>
              </w:rPr>
              <w:t>（标准规范）类别</w:t>
            </w:r>
          </w:p>
        </w:tc>
        <w:tc>
          <w:tcPr>
            <w:tcW w:w="963" w:type="pct"/>
            <w:tcBorders>
              <w:top w:val="single" w:color="auto" w:sz="4" w:space="0"/>
              <w:left w:val="single" w:color="auto" w:sz="4" w:space="0"/>
              <w:bottom w:val="single" w:color="auto" w:sz="4" w:space="0"/>
              <w:right w:val="single" w:color="auto" w:sz="4" w:space="0"/>
            </w:tcBorders>
            <w:vAlign w:val="center"/>
          </w:tcPr>
          <w:p w14:paraId="2EF55D8F">
            <w:pPr>
              <w:spacing w:line="240" w:lineRule="auto"/>
              <w:jc w:val="center"/>
              <w:rPr>
                <w:rFonts w:eastAsia="方正仿宋_GB2312"/>
                <w:sz w:val="28"/>
                <w:szCs w:val="28"/>
              </w:rPr>
            </w:pPr>
            <w:r>
              <w:rPr>
                <w:rFonts w:eastAsia="方正仿宋_GB2312"/>
                <w:sz w:val="28"/>
                <w:szCs w:val="28"/>
              </w:rPr>
              <w:t>知识产权（标准规范）具体名称</w:t>
            </w:r>
          </w:p>
        </w:tc>
        <w:tc>
          <w:tcPr>
            <w:tcW w:w="358" w:type="pct"/>
            <w:tcBorders>
              <w:top w:val="single" w:color="auto" w:sz="4" w:space="0"/>
              <w:left w:val="single" w:color="auto" w:sz="4" w:space="0"/>
              <w:bottom w:val="single" w:color="auto" w:sz="4" w:space="0"/>
              <w:right w:val="single" w:color="auto" w:sz="4" w:space="0"/>
            </w:tcBorders>
            <w:vAlign w:val="center"/>
          </w:tcPr>
          <w:p w14:paraId="161315BD">
            <w:pPr>
              <w:spacing w:line="240" w:lineRule="auto"/>
              <w:jc w:val="center"/>
              <w:rPr>
                <w:rFonts w:eastAsia="方正仿宋_GB2312"/>
                <w:sz w:val="28"/>
                <w:szCs w:val="28"/>
              </w:rPr>
            </w:pPr>
            <w:r>
              <w:rPr>
                <w:rFonts w:eastAsia="方正仿宋_GB2312"/>
                <w:sz w:val="28"/>
                <w:szCs w:val="28"/>
              </w:rPr>
              <w:t>国家</w:t>
            </w:r>
          </w:p>
          <w:p w14:paraId="75359E84">
            <w:pPr>
              <w:spacing w:line="240" w:lineRule="auto"/>
              <w:jc w:val="center"/>
              <w:rPr>
                <w:rFonts w:eastAsia="方正仿宋_GB2312"/>
                <w:bCs/>
                <w:snapToGrid w:val="0"/>
                <w:kern w:val="0"/>
                <w:sz w:val="28"/>
                <w:szCs w:val="28"/>
              </w:rPr>
            </w:pPr>
            <w:r>
              <w:rPr>
                <w:rFonts w:eastAsia="方正仿宋_GB2312"/>
                <w:bCs/>
                <w:snapToGrid w:val="0"/>
                <w:kern w:val="0"/>
                <w:sz w:val="28"/>
                <w:szCs w:val="28"/>
              </w:rPr>
              <w:t>（地区）</w:t>
            </w:r>
          </w:p>
        </w:tc>
        <w:tc>
          <w:tcPr>
            <w:tcW w:w="483" w:type="pct"/>
            <w:tcBorders>
              <w:top w:val="single" w:color="auto" w:sz="4" w:space="0"/>
              <w:left w:val="single" w:color="auto" w:sz="4" w:space="0"/>
              <w:bottom w:val="single" w:color="auto" w:sz="4" w:space="0"/>
              <w:right w:val="single" w:color="auto" w:sz="4" w:space="0"/>
            </w:tcBorders>
            <w:vAlign w:val="center"/>
          </w:tcPr>
          <w:p w14:paraId="250F2A43">
            <w:pPr>
              <w:spacing w:line="240" w:lineRule="auto"/>
              <w:jc w:val="center"/>
              <w:rPr>
                <w:rFonts w:eastAsia="方正仿宋_GB2312"/>
                <w:sz w:val="28"/>
                <w:szCs w:val="28"/>
              </w:rPr>
            </w:pPr>
            <w:r>
              <w:rPr>
                <w:rFonts w:eastAsia="方正仿宋_GB2312"/>
                <w:sz w:val="28"/>
                <w:szCs w:val="28"/>
              </w:rPr>
              <w:t>授权号</w:t>
            </w:r>
          </w:p>
          <w:p w14:paraId="51D50D01">
            <w:pPr>
              <w:spacing w:line="240" w:lineRule="auto"/>
              <w:jc w:val="center"/>
              <w:rPr>
                <w:rFonts w:eastAsia="方正仿宋_GB2312"/>
                <w:sz w:val="28"/>
                <w:szCs w:val="28"/>
              </w:rPr>
            </w:pPr>
            <w:r>
              <w:rPr>
                <w:rFonts w:eastAsia="方正仿宋_GB2312"/>
                <w:sz w:val="28"/>
                <w:szCs w:val="28"/>
              </w:rPr>
              <w:t>（标准规范编号）</w:t>
            </w:r>
          </w:p>
        </w:tc>
        <w:tc>
          <w:tcPr>
            <w:tcW w:w="575" w:type="pct"/>
            <w:tcBorders>
              <w:top w:val="single" w:color="auto" w:sz="4" w:space="0"/>
              <w:left w:val="single" w:color="auto" w:sz="4" w:space="0"/>
              <w:bottom w:val="single" w:color="auto" w:sz="4" w:space="0"/>
              <w:right w:val="single" w:color="auto" w:sz="4" w:space="0"/>
            </w:tcBorders>
          </w:tcPr>
          <w:p w14:paraId="7560AFD5">
            <w:pPr>
              <w:spacing w:line="240" w:lineRule="auto"/>
              <w:jc w:val="center"/>
              <w:rPr>
                <w:rFonts w:eastAsia="方正仿宋_GB2312"/>
                <w:sz w:val="28"/>
                <w:szCs w:val="28"/>
              </w:rPr>
            </w:pPr>
            <w:r>
              <w:rPr>
                <w:rFonts w:eastAsia="方正仿宋_GB2312"/>
                <w:sz w:val="28"/>
                <w:szCs w:val="28"/>
              </w:rPr>
              <w:t>授权</w:t>
            </w:r>
          </w:p>
          <w:p w14:paraId="194681BB">
            <w:pPr>
              <w:spacing w:line="240" w:lineRule="auto"/>
              <w:jc w:val="center"/>
              <w:rPr>
                <w:rFonts w:eastAsia="方正仿宋_GB2312"/>
                <w:sz w:val="28"/>
                <w:szCs w:val="28"/>
              </w:rPr>
            </w:pPr>
            <w:r>
              <w:rPr>
                <w:rFonts w:eastAsia="方正仿宋_GB2312"/>
                <w:sz w:val="28"/>
                <w:szCs w:val="28"/>
              </w:rPr>
              <w:t>（标准发布）</w:t>
            </w:r>
          </w:p>
          <w:p w14:paraId="40EBA672">
            <w:pPr>
              <w:spacing w:line="240" w:lineRule="auto"/>
              <w:jc w:val="center"/>
              <w:rPr>
                <w:rFonts w:eastAsia="方正仿宋_GB2312"/>
                <w:sz w:val="28"/>
                <w:szCs w:val="28"/>
              </w:rPr>
            </w:pPr>
            <w:r>
              <w:rPr>
                <w:rFonts w:eastAsia="方正仿宋_GB2312"/>
                <w:sz w:val="28"/>
                <w:szCs w:val="28"/>
              </w:rPr>
              <w:t>日期</w:t>
            </w:r>
          </w:p>
        </w:tc>
        <w:tc>
          <w:tcPr>
            <w:tcW w:w="575" w:type="pct"/>
            <w:tcBorders>
              <w:top w:val="single" w:color="auto" w:sz="4" w:space="0"/>
              <w:left w:val="single" w:color="auto" w:sz="4" w:space="0"/>
              <w:bottom w:val="single" w:color="auto" w:sz="4" w:space="0"/>
              <w:right w:val="single" w:color="auto" w:sz="4" w:space="0"/>
            </w:tcBorders>
            <w:vAlign w:val="center"/>
          </w:tcPr>
          <w:p w14:paraId="2B5D3024">
            <w:pPr>
              <w:spacing w:line="240" w:lineRule="auto"/>
              <w:jc w:val="center"/>
              <w:rPr>
                <w:rFonts w:eastAsia="方正仿宋_GB2312"/>
                <w:sz w:val="28"/>
                <w:szCs w:val="28"/>
              </w:rPr>
            </w:pPr>
            <w:r>
              <w:rPr>
                <w:rFonts w:eastAsia="方正仿宋_GB2312"/>
                <w:sz w:val="28"/>
                <w:szCs w:val="28"/>
              </w:rPr>
              <w:t>证书编号（标准规范批准发布部门）</w:t>
            </w:r>
          </w:p>
        </w:tc>
        <w:tc>
          <w:tcPr>
            <w:tcW w:w="494" w:type="pct"/>
            <w:tcBorders>
              <w:top w:val="single" w:color="auto" w:sz="4" w:space="0"/>
              <w:left w:val="single" w:color="auto" w:sz="4" w:space="0"/>
              <w:bottom w:val="single" w:color="auto" w:sz="4" w:space="0"/>
              <w:right w:val="single" w:color="auto" w:sz="4" w:space="0"/>
            </w:tcBorders>
            <w:vAlign w:val="center"/>
          </w:tcPr>
          <w:p w14:paraId="310CAEEB">
            <w:pPr>
              <w:spacing w:line="240" w:lineRule="auto"/>
              <w:jc w:val="center"/>
              <w:rPr>
                <w:rFonts w:eastAsia="方正仿宋_GB2312"/>
                <w:sz w:val="28"/>
                <w:szCs w:val="28"/>
              </w:rPr>
            </w:pPr>
            <w:r>
              <w:rPr>
                <w:rFonts w:eastAsia="方正仿宋_GB2312"/>
                <w:sz w:val="28"/>
                <w:szCs w:val="28"/>
              </w:rPr>
              <w:t>权利人（标准规范起草单位）</w:t>
            </w:r>
          </w:p>
        </w:tc>
        <w:tc>
          <w:tcPr>
            <w:tcW w:w="471" w:type="pct"/>
            <w:tcBorders>
              <w:top w:val="single" w:color="auto" w:sz="4" w:space="0"/>
              <w:left w:val="single" w:color="auto" w:sz="4" w:space="0"/>
              <w:bottom w:val="single" w:color="auto" w:sz="4" w:space="0"/>
              <w:right w:val="single" w:color="auto" w:sz="4" w:space="0"/>
            </w:tcBorders>
            <w:vAlign w:val="center"/>
          </w:tcPr>
          <w:p w14:paraId="4E9F3F0B">
            <w:pPr>
              <w:spacing w:line="240" w:lineRule="auto"/>
              <w:jc w:val="center"/>
              <w:rPr>
                <w:rFonts w:eastAsia="方正仿宋_GB2312"/>
                <w:sz w:val="28"/>
                <w:szCs w:val="28"/>
              </w:rPr>
            </w:pPr>
            <w:r>
              <w:rPr>
                <w:rFonts w:eastAsia="方正仿宋_GB2312"/>
                <w:sz w:val="28"/>
                <w:szCs w:val="28"/>
              </w:rPr>
              <w:t>发明人（标准规范起草人）</w:t>
            </w:r>
          </w:p>
        </w:tc>
        <w:tc>
          <w:tcPr>
            <w:tcW w:w="518" w:type="pct"/>
            <w:tcBorders>
              <w:top w:val="single" w:color="auto" w:sz="4" w:space="0"/>
              <w:left w:val="single" w:color="auto" w:sz="4" w:space="0"/>
              <w:bottom w:val="single" w:color="auto" w:sz="4" w:space="0"/>
              <w:right w:val="single" w:color="auto" w:sz="4" w:space="0"/>
            </w:tcBorders>
            <w:vAlign w:val="center"/>
          </w:tcPr>
          <w:p w14:paraId="4E426263">
            <w:pPr>
              <w:spacing w:line="240" w:lineRule="auto"/>
              <w:jc w:val="center"/>
              <w:rPr>
                <w:rFonts w:eastAsia="方正仿宋_GB2312"/>
                <w:sz w:val="28"/>
                <w:szCs w:val="28"/>
              </w:rPr>
            </w:pPr>
            <w:r>
              <w:rPr>
                <w:rFonts w:eastAsia="方正仿宋_GB2312"/>
                <w:sz w:val="28"/>
                <w:szCs w:val="28"/>
              </w:rPr>
              <w:t>发明专利（标准规范）有效状态</w:t>
            </w:r>
          </w:p>
        </w:tc>
      </w:tr>
      <w:tr w14:paraId="65D63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3" w:type="pct"/>
            <w:tcBorders>
              <w:top w:val="single" w:color="auto" w:sz="4" w:space="0"/>
              <w:left w:val="single" w:color="auto" w:sz="4" w:space="0"/>
              <w:bottom w:val="single" w:color="auto" w:sz="4" w:space="0"/>
              <w:right w:val="single" w:color="auto" w:sz="4" w:space="0"/>
            </w:tcBorders>
          </w:tcPr>
          <w:p w14:paraId="20EFA98E">
            <w:pPr>
              <w:spacing w:line="240" w:lineRule="auto"/>
              <w:rPr>
                <w:rFonts w:eastAsia="方正仿宋_GB2312"/>
                <w:sz w:val="28"/>
                <w:szCs w:val="28"/>
              </w:rPr>
            </w:pPr>
            <w:r>
              <w:rPr>
                <w:rFonts w:eastAsia="方正仿宋_GB2312"/>
                <w:sz w:val="28"/>
                <w:szCs w:val="28"/>
              </w:rPr>
              <w:t>软件著作权</w:t>
            </w:r>
          </w:p>
        </w:tc>
        <w:tc>
          <w:tcPr>
            <w:tcW w:w="963" w:type="pct"/>
            <w:tcBorders>
              <w:top w:val="single" w:color="auto" w:sz="4" w:space="0"/>
              <w:left w:val="single" w:color="auto" w:sz="4" w:space="0"/>
              <w:bottom w:val="single" w:color="auto" w:sz="4" w:space="0"/>
              <w:right w:val="single" w:color="auto" w:sz="4" w:space="0"/>
            </w:tcBorders>
          </w:tcPr>
          <w:p w14:paraId="25487891">
            <w:pPr>
              <w:spacing w:line="240" w:lineRule="auto"/>
              <w:jc w:val="center"/>
              <w:rPr>
                <w:rFonts w:eastAsia="方正仿宋_GB2312"/>
                <w:sz w:val="28"/>
                <w:szCs w:val="28"/>
              </w:rPr>
            </w:pPr>
            <w:r>
              <w:rPr>
                <w:rFonts w:eastAsia="方正仿宋_GB2312"/>
                <w:sz w:val="28"/>
                <w:szCs w:val="28"/>
              </w:rPr>
              <w:t>重症临床科研平台[简称:重症科研平台]V1.0</w:t>
            </w:r>
          </w:p>
        </w:tc>
        <w:tc>
          <w:tcPr>
            <w:tcW w:w="358" w:type="pct"/>
            <w:tcBorders>
              <w:top w:val="single" w:color="auto" w:sz="4" w:space="0"/>
              <w:left w:val="single" w:color="auto" w:sz="4" w:space="0"/>
              <w:bottom w:val="single" w:color="auto" w:sz="4" w:space="0"/>
              <w:right w:val="single" w:color="auto" w:sz="4" w:space="0"/>
            </w:tcBorders>
          </w:tcPr>
          <w:p w14:paraId="68460D31">
            <w:pPr>
              <w:spacing w:line="240" w:lineRule="auto"/>
              <w:rPr>
                <w:rFonts w:eastAsia="方正仿宋_GB2312"/>
                <w:sz w:val="28"/>
                <w:szCs w:val="28"/>
              </w:rPr>
            </w:pPr>
            <w:r>
              <w:rPr>
                <w:rFonts w:eastAsia="方正仿宋_GB2312"/>
                <w:sz w:val="28"/>
                <w:szCs w:val="28"/>
              </w:rPr>
              <w:t>中国</w:t>
            </w:r>
          </w:p>
        </w:tc>
        <w:tc>
          <w:tcPr>
            <w:tcW w:w="483" w:type="pct"/>
            <w:tcBorders>
              <w:top w:val="single" w:color="auto" w:sz="4" w:space="0"/>
              <w:left w:val="single" w:color="auto" w:sz="4" w:space="0"/>
              <w:bottom w:val="single" w:color="auto" w:sz="4" w:space="0"/>
              <w:right w:val="single" w:color="auto" w:sz="4" w:space="0"/>
            </w:tcBorders>
          </w:tcPr>
          <w:p w14:paraId="62750BAE">
            <w:pPr>
              <w:spacing w:line="240" w:lineRule="auto"/>
              <w:jc w:val="left"/>
              <w:rPr>
                <w:rFonts w:eastAsia="方正仿宋_GB2312"/>
                <w:sz w:val="28"/>
                <w:szCs w:val="28"/>
              </w:rPr>
            </w:pPr>
            <w:r>
              <w:rPr>
                <w:rFonts w:eastAsia="方正仿宋_GB2312"/>
                <w:sz w:val="28"/>
                <w:szCs w:val="28"/>
              </w:rPr>
              <w:t>2024SR0648347</w:t>
            </w:r>
          </w:p>
        </w:tc>
        <w:tc>
          <w:tcPr>
            <w:tcW w:w="575" w:type="pct"/>
            <w:tcBorders>
              <w:top w:val="single" w:color="auto" w:sz="4" w:space="0"/>
              <w:left w:val="single" w:color="auto" w:sz="4" w:space="0"/>
              <w:bottom w:val="single" w:color="auto" w:sz="4" w:space="0"/>
              <w:right w:val="single" w:color="auto" w:sz="4" w:space="0"/>
            </w:tcBorders>
          </w:tcPr>
          <w:p w14:paraId="3F4E0E38">
            <w:pPr>
              <w:spacing w:line="240" w:lineRule="auto"/>
              <w:rPr>
                <w:rFonts w:eastAsia="方正仿宋_GB2312"/>
                <w:sz w:val="28"/>
                <w:szCs w:val="28"/>
              </w:rPr>
            </w:pPr>
            <w:r>
              <w:rPr>
                <w:rFonts w:eastAsia="方正仿宋_GB2312"/>
                <w:sz w:val="28"/>
                <w:szCs w:val="28"/>
              </w:rPr>
              <w:t>2024/5/14</w:t>
            </w:r>
          </w:p>
        </w:tc>
        <w:tc>
          <w:tcPr>
            <w:tcW w:w="575" w:type="pct"/>
            <w:tcBorders>
              <w:top w:val="single" w:color="auto" w:sz="4" w:space="0"/>
              <w:left w:val="single" w:color="auto" w:sz="4" w:space="0"/>
              <w:bottom w:val="single" w:color="auto" w:sz="4" w:space="0"/>
              <w:right w:val="single" w:color="auto" w:sz="4" w:space="0"/>
            </w:tcBorders>
          </w:tcPr>
          <w:p w14:paraId="3084456C">
            <w:pPr>
              <w:spacing w:line="240" w:lineRule="auto"/>
              <w:rPr>
                <w:rFonts w:eastAsia="方正仿宋_GB2312"/>
                <w:sz w:val="28"/>
                <w:szCs w:val="28"/>
              </w:rPr>
            </w:pPr>
            <w:r>
              <w:rPr>
                <w:rFonts w:eastAsia="方正仿宋_GB2312"/>
                <w:sz w:val="28"/>
                <w:szCs w:val="28"/>
              </w:rPr>
              <w:t>第13052220号</w:t>
            </w:r>
          </w:p>
        </w:tc>
        <w:tc>
          <w:tcPr>
            <w:tcW w:w="494" w:type="pct"/>
            <w:tcBorders>
              <w:top w:val="single" w:color="auto" w:sz="4" w:space="0"/>
              <w:left w:val="single" w:color="auto" w:sz="4" w:space="0"/>
              <w:bottom w:val="single" w:color="auto" w:sz="4" w:space="0"/>
              <w:right w:val="single" w:color="auto" w:sz="4" w:space="0"/>
            </w:tcBorders>
          </w:tcPr>
          <w:p w14:paraId="5D681A39">
            <w:pPr>
              <w:spacing w:line="240" w:lineRule="auto"/>
              <w:rPr>
                <w:rFonts w:eastAsia="方正仿宋_GB2312"/>
                <w:sz w:val="28"/>
                <w:szCs w:val="28"/>
              </w:rPr>
            </w:pPr>
            <w:r>
              <w:rPr>
                <w:rFonts w:eastAsia="方正仿宋_GB2312"/>
                <w:sz w:val="28"/>
                <w:szCs w:val="28"/>
              </w:rPr>
              <w:t>浙江大学</w:t>
            </w:r>
          </w:p>
        </w:tc>
        <w:tc>
          <w:tcPr>
            <w:tcW w:w="471" w:type="pct"/>
            <w:tcBorders>
              <w:top w:val="single" w:color="auto" w:sz="4" w:space="0"/>
              <w:left w:val="single" w:color="auto" w:sz="4" w:space="0"/>
              <w:bottom w:val="single" w:color="auto" w:sz="4" w:space="0"/>
              <w:right w:val="single" w:color="auto" w:sz="4" w:space="0"/>
            </w:tcBorders>
          </w:tcPr>
          <w:p w14:paraId="7DC2DC50">
            <w:pPr>
              <w:spacing w:line="240" w:lineRule="auto"/>
              <w:rPr>
                <w:rFonts w:eastAsia="方正仿宋_GB2312"/>
                <w:sz w:val="28"/>
                <w:szCs w:val="28"/>
              </w:rPr>
            </w:pPr>
            <w:r>
              <w:rPr>
                <w:rFonts w:eastAsia="方正仿宋_GB2312"/>
                <w:sz w:val="28"/>
                <w:szCs w:val="28"/>
              </w:rPr>
              <w:t>浙江大学</w:t>
            </w:r>
          </w:p>
        </w:tc>
        <w:tc>
          <w:tcPr>
            <w:tcW w:w="518" w:type="pct"/>
            <w:tcBorders>
              <w:top w:val="single" w:color="auto" w:sz="4" w:space="0"/>
              <w:left w:val="single" w:color="auto" w:sz="4" w:space="0"/>
              <w:bottom w:val="single" w:color="auto" w:sz="4" w:space="0"/>
              <w:right w:val="single" w:color="auto" w:sz="4" w:space="0"/>
            </w:tcBorders>
          </w:tcPr>
          <w:p w14:paraId="378AE093">
            <w:pPr>
              <w:spacing w:line="240" w:lineRule="auto"/>
              <w:rPr>
                <w:rFonts w:eastAsia="方正仿宋_GB2312"/>
                <w:sz w:val="28"/>
                <w:szCs w:val="28"/>
              </w:rPr>
            </w:pPr>
            <w:r>
              <w:rPr>
                <w:rFonts w:hint="eastAsia" w:eastAsia="方正仿宋_GB2312"/>
                <w:color w:val="000000" w:themeColor="text1"/>
                <w:sz w:val="28"/>
                <w:szCs w:val="28"/>
                <w14:textFill>
                  <w14:solidFill>
                    <w14:schemeClr w14:val="tx1"/>
                  </w14:solidFill>
                </w14:textFill>
              </w:rPr>
              <w:t>已授权</w:t>
            </w:r>
          </w:p>
        </w:tc>
      </w:tr>
      <w:tr w14:paraId="035FD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3" w:type="pct"/>
            <w:tcBorders>
              <w:top w:val="single" w:color="auto" w:sz="4" w:space="0"/>
              <w:left w:val="single" w:color="auto" w:sz="4" w:space="0"/>
              <w:bottom w:val="single" w:color="auto" w:sz="4" w:space="0"/>
              <w:right w:val="single" w:color="auto" w:sz="4" w:space="0"/>
            </w:tcBorders>
          </w:tcPr>
          <w:p w14:paraId="65F3CBD1">
            <w:pPr>
              <w:spacing w:line="240" w:lineRule="auto"/>
              <w:rPr>
                <w:rFonts w:eastAsia="方正仿宋_GB2312"/>
                <w:sz w:val="28"/>
                <w:szCs w:val="28"/>
              </w:rPr>
            </w:pPr>
            <w:r>
              <w:rPr>
                <w:rFonts w:eastAsia="方正仿宋_GB2312"/>
                <w:sz w:val="28"/>
                <w:szCs w:val="28"/>
              </w:rPr>
              <w:t>发明专利证书</w:t>
            </w:r>
          </w:p>
        </w:tc>
        <w:tc>
          <w:tcPr>
            <w:tcW w:w="963" w:type="pct"/>
            <w:tcBorders>
              <w:top w:val="single" w:color="auto" w:sz="4" w:space="0"/>
              <w:left w:val="single" w:color="auto" w:sz="4" w:space="0"/>
              <w:bottom w:val="single" w:color="auto" w:sz="4" w:space="0"/>
              <w:right w:val="single" w:color="auto" w:sz="4" w:space="0"/>
            </w:tcBorders>
          </w:tcPr>
          <w:p w14:paraId="54DEFC4C">
            <w:pPr>
              <w:spacing w:line="240" w:lineRule="auto"/>
              <w:rPr>
                <w:rFonts w:eastAsia="方正仿宋_GB2312"/>
                <w:sz w:val="28"/>
                <w:szCs w:val="28"/>
              </w:rPr>
            </w:pPr>
            <w:r>
              <w:rPr>
                <w:rFonts w:eastAsia="方正仿宋_GB2312"/>
                <w:sz w:val="28"/>
                <w:szCs w:val="28"/>
              </w:rPr>
              <w:t>中空纤维膜及其制备方法、氧合膜和氧合器</w:t>
            </w:r>
          </w:p>
        </w:tc>
        <w:tc>
          <w:tcPr>
            <w:tcW w:w="358" w:type="pct"/>
            <w:tcBorders>
              <w:top w:val="single" w:color="auto" w:sz="4" w:space="0"/>
              <w:left w:val="single" w:color="auto" w:sz="4" w:space="0"/>
              <w:bottom w:val="single" w:color="auto" w:sz="4" w:space="0"/>
              <w:right w:val="single" w:color="auto" w:sz="4" w:space="0"/>
            </w:tcBorders>
          </w:tcPr>
          <w:p w14:paraId="0981D49E">
            <w:pPr>
              <w:spacing w:line="240" w:lineRule="auto"/>
              <w:rPr>
                <w:rFonts w:eastAsia="方正仿宋_GB2312"/>
                <w:sz w:val="28"/>
                <w:szCs w:val="28"/>
              </w:rPr>
            </w:pPr>
            <w:r>
              <w:rPr>
                <w:rFonts w:eastAsia="方正仿宋_GB2312"/>
                <w:sz w:val="28"/>
                <w:szCs w:val="28"/>
              </w:rPr>
              <w:t>中国</w:t>
            </w:r>
          </w:p>
        </w:tc>
        <w:tc>
          <w:tcPr>
            <w:tcW w:w="483" w:type="pct"/>
            <w:tcBorders>
              <w:top w:val="single" w:color="auto" w:sz="4" w:space="0"/>
              <w:left w:val="single" w:color="auto" w:sz="4" w:space="0"/>
              <w:bottom w:val="single" w:color="auto" w:sz="4" w:space="0"/>
              <w:right w:val="single" w:color="auto" w:sz="4" w:space="0"/>
            </w:tcBorders>
          </w:tcPr>
          <w:p w14:paraId="54C65F2E">
            <w:pPr>
              <w:jc w:val="left"/>
              <w:rPr>
                <w:rFonts w:eastAsia="方正仿宋_GB2312"/>
                <w:sz w:val="28"/>
                <w:szCs w:val="28"/>
              </w:rPr>
            </w:pPr>
            <w:r>
              <w:rPr>
                <w:rFonts w:eastAsia="方正仿宋_GB2312"/>
                <w:sz w:val="28"/>
                <w:szCs w:val="28"/>
              </w:rPr>
              <w:t>ZL202311705918.1</w:t>
            </w:r>
          </w:p>
        </w:tc>
        <w:tc>
          <w:tcPr>
            <w:tcW w:w="575" w:type="pct"/>
            <w:tcBorders>
              <w:top w:val="single" w:color="auto" w:sz="4" w:space="0"/>
              <w:left w:val="single" w:color="auto" w:sz="4" w:space="0"/>
              <w:bottom w:val="single" w:color="auto" w:sz="4" w:space="0"/>
              <w:right w:val="single" w:color="auto" w:sz="4" w:space="0"/>
            </w:tcBorders>
          </w:tcPr>
          <w:p w14:paraId="593E40E0">
            <w:pPr>
              <w:spacing w:line="240" w:lineRule="auto"/>
              <w:rPr>
                <w:rFonts w:eastAsia="方正仿宋_GB2312"/>
                <w:sz w:val="28"/>
                <w:szCs w:val="28"/>
              </w:rPr>
            </w:pPr>
            <w:r>
              <w:rPr>
                <w:rFonts w:eastAsia="方正仿宋_GB2312"/>
                <w:sz w:val="28"/>
                <w:szCs w:val="28"/>
              </w:rPr>
              <w:t>2024/3/12</w:t>
            </w:r>
          </w:p>
        </w:tc>
        <w:tc>
          <w:tcPr>
            <w:tcW w:w="575" w:type="pct"/>
            <w:tcBorders>
              <w:top w:val="single" w:color="auto" w:sz="4" w:space="0"/>
              <w:left w:val="single" w:color="auto" w:sz="4" w:space="0"/>
              <w:bottom w:val="single" w:color="auto" w:sz="4" w:space="0"/>
              <w:right w:val="single" w:color="auto" w:sz="4" w:space="0"/>
            </w:tcBorders>
          </w:tcPr>
          <w:p w14:paraId="444BB10F">
            <w:pPr>
              <w:spacing w:line="240" w:lineRule="auto"/>
              <w:rPr>
                <w:rFonts w:eastAsia="方正仿宋_GB2312"/>
                <w:sz w:val="28"/>
                <w:szCs w:val="28"/>
              </w:rPr>
            </w:pPr>
            <w:r>
              <w:rPr>
                <w:rFonts w:eastAsia="方正仿宋_GB2312"/>
                <w:sz w:val="28"/>
                <w:szCs w:val="28"/>
              </w:rPr>
              <w:t>第6774147号</w:t>
            </w:r>
          </w:p>
        </w:tc>
        <w:tc>
          <w:tcPr>
            <w:tcW w:w="494" w:type="pct"/>
            <w:tcBorders>
              <w:top w:val="single" w:color="auto" w:sz="4" w:space="0"/>
              <w:left w:val="single" w:color="auto" w:sz="4" w:space="0"/>
              <w:bottom w:val="single" w:color="auto" w:sz="4" w:space="0"/>
              <w:right w:val="single" w:color="auto" w:sz="4" w:space="0"/>
            </w:tcBorders>
          </w:tcPr>
          <w:p w14:paraId="26D46491">
            <w:pPr>
              <w:spacing w:line="240" w:lineRule="auto"/>
              <w:rPr>
                <w:rFonts w:eastAsia="方正仿宋_GB2312"/>
                <w:sz w:val="28"/>
                <w:szCs w:val="28"/>
              </w:rPr>
            </w:pPr>
            <w:r>
              <w:rPr>
                <w:rFonts w:eastAsia="方正仿宋_GB2312"/>
                <w:sz w:val="28"/>
                <w:szCs w:val="28"/>
              </w:rPr>
              <w:t>浙江大学</w:t>
            </w:r>
          </w:p>
        </w:tc>
        <w:tc>
          <w:tcPr>
            <w:tcW w:w="471" w:type="pct"/>
            <w:tcBorders>
              <w:top w:val="single" w:color="auto" w:sz="4" w:space="0"/>
              <w:left w:val="single" w:color="auto" w:sz="4" w:space="0"/>
              <w:bottom w:val="single" w:color="auto" w:sz="4" w:space="0"/>
              <w:right w:val="single" w:color="auto" w:sz="4" w:space="0"/>
            </w:tcBorders>
          </w:tcPr>
          <w:p w14:paraId="3D22D988">
            <w:pPr>
              <w:spacing w:line="240" w:lineRule="auto"/>
              <w:rPr>
                <w:rFonts w:eastAsia="方正仿宋_GB2312"/>
                <w:sz w:val="28"/>
                <w:szCs w:val="28"/>
              </w:rPr>
            </w:pPr>
            <w:r>
              <w:rPr>
                <w:rFonts w:eastAsia="方正仿宋_GB2312"/>
                <w:sz w:val="28"/>
                <w:szCs w:val="28"/>
              </w:rPr>
              <w:t>黄曼;吴景</w:t>
            </w:r>
          </w:p>
        </w:tc>
        <w:tc>
          <w:tcPr>
            <w:tcW w:w="518" w:type="pct"/>
            <w:tcBorders>
              <w:top w:val="single" w:color="auto" w:sz="4" w:space="0"/>
              <w:left w:val="single" w:color="auto" w:sz="4" w:space="0"/>
              <w:bottom w:val="single" w:color="auto" w:sz="4" w:space="0"/>
              <w:right w:val="single" w:color="auto" w:sz="4" w:space="0"/>
            </w:tcBorders>
          </w:tcPr>
          <w:p w14:paraId="7CFFFB7D">
            <w:pPr>
              <w:spacing w:line="240" w:lineRule="auto"/>
              <w:rPr>
                <w:rFonts w:eastAsia="方正仿宋_GB2312"/>
                <w:sz w:val="28"/>
                <w:szCs w:val="28"/>
              </w:rPr>
            </w:pPr>
            <w:r>
              <w:rPr>
                <w:rFonts w:eastAsia="方正仿宋_GB2312"/>
                <w:sz w:val="28"/>
                <w:szCs w:val="28"/>
              </w:rPr>
              <w:t>已授权</w:t>
            </w:r>
          </w:p>
        </w:tc>
      </w:tr>
      <w:tr w14:paraId="1E997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63" w:type="pct"/>
            <w:tcBorders>
              <w:top w:val="single" w:color="auto" w:sz="4" w:space="0"/>
              <w:left w:val="single" w:color="auto" w:sz="4" w:space="0"/>
              <w:bottom w:val="single" w:color="auto" w:sz="4" w:space="0"/>
              <w:right w:val="single" w:color="auto" w:sz="4" w:space="0"/>
            </w:tcBorders>
          </w:tcPr>
          <w:p w14:paraId="0EB03DB4">
            <w:pPr>
              <w:spacing w:line="240" w:lineRule="auto"/>
              <w:rPr>
                <w:rFonts w:eastAsia="方正仿宋_GB2312"/>
                <w:sz w:val="28"/>
                <w:szCs w:val="28"/>
              </w:rPr>
            </w:pPr>
            <w:r>
              <w:rPr>
                <w:rFonts w:eastAsia="方正仿宋_GB2312"/>
                <w:sz w:val="28"/>
                <w:szCs w:val="28"/>
              </w:rPr>
              <w:t>发明专利证书</w:t>
            </w:r>
          </w:p>
        </w:tc>
        <w:tc>
          <w:tcPr>
            <w:tcW w:w="963" w:type="pct"/>
            <w:tcBorders>
              <w:top w:val="single" w:color="auto" w:sz="4" w:space="0"/>
              <w:left w:val="single" w:color="auto" w:sz="4" w:space="0"/>
              <w:bottom w:val="single" w:color="auto" w:sz="4" w:space="0"/>
              <w:right w:val="single" w:color="auto" w:sz="4" w:space="0"/>
            </w:tcBorders>
          </w:tcPr>
          <w:p w14:paraId="1A3BDC8A">
            <w:pPr>
              <w:spacing w:line="240" w:lineRule="auto"/>
              <w:rPr>
                <w:rFonts w:eastAsia="方正仿宋_GB2312"/>
                <w:sz w:val="28"/>
                <w:szCs w:val="28"/>
              </w:rPr>
            </w:pPr>
            <w:r>
              <w:rPr>
                <w:rFonts w:eastAsia="方正仿宋_GB2312"/>
                <w:sz w:val="28"/>
                <w:szCs w:val="28"/>
              </w:rPr>
              <w:t>一种通过SOFA评分的衰减确定风险级别并进行预警的方法</w:t>
            </w:r>
          </w:p>
        </w:tc>
        <w:tc>
          <w:tcPr>
            <w:tcW w:w="358" w:type="pct"/>
            <w:tcBorders>
              <w:top w:val="single" w:color="auto" w:sz="4" w:space="0"/>
              <w:left w:val="single" w:color="auto" w:sz="4" w:space="0"/>
              <w:bottom w:val="single" w:color="auto" w:sz="4" w:space="0"/>
              <w:right w:val="single" w:color="auto" w:sz="4" w:space="0"/>
            </w:tcBorders>
          </w:tcPr>
          <w:p w14:paraId="05884BD0">
            <w:pPr>
              <w:spacing w:line="240" w:lineRule="auto"/>
              <w:rPr>
                <w:rFonts w:eastAsia="方正仿宋_GB2312"/>
                <w:sz w:val="28"/>
                <w:szCs w:val="28"/>
              </w:rPr>
            </w:pPr>
            <w:r>
              <w:rPr>
                <w:rFonts w:eastAsia="方正仿宋_GB2312"/>
                <w:sz w:val="28"/>
                <w:szCs w:val="28"/>
              </w:rPr>
              <w:t>中国</w:t>
            </w:r>
          </w:p>
        </w:tc>
        <w:tc>
          <w:tcPr>
            <w:tcW w:w="483" w:type="pct"/>
            <w:tcBorders>
              <w:top w:val="single" w:color="auto" w:sz="4" w:space="0"/>
              <w:left w:val="single" w:color="auto" w:sz="4" w:space="0"/>
              <w:bottom w:val="single" w:color="auto" w:sz="4" w:space="0"/>
              <w:right w:val="single" w:color="auto" w:sz="4" w:space="0"/>
            </w:tcBorders>
          </w:tcPr>
          <w:p w14:paraId="58D12E72">
            <w:pPr>
              <w:spacing w:line="240" w:lineRule="auto"/>
              <w:jc w:val="left"/>
              <w:rPr>
                <w:rFonts w:eastAsia="方正仿宋_GB2312"/>
                <w:sz w:val="28"/>
                <w:szCs w:val="28"/>
              </w:rPr>
            </w:pPr>
            <w:r>
              <w:rPr>
                <w:rFonts w:eastAsia="方正仿宋_GB2312"/>
                <w:sz w:val="28"/>
                <w:szCs w:val="28"/>
              </w:rPr>
              <w:t>ZL 2024 1 0591821.0</w:t>
            </w:r>
          </w:p>
        </w:tc>
        <w:tc>
          <w:tcPr>
            <w:tcW w:w="575" w:type="pct"/>
            <w:tcBorders>
              <w:top w:val="single" w:color="auto" w:sz="4" w:space="0"/>
              <w:left w:val="single" w:color="auto" w:sz="4" w:space="0"/>
              <w:bottom w:val="single" w:color="auto" w:sz="4" w:space="0"/>
              <w:right w:val="single" w:color="auto" w:sz="4" w:space="0"/>
            </w:tcBorders>
          </w:tcPr>
          <w:p w14:paraId="6BEFBAFB">
            <w:pPr>
              <w:spacing w:line="240" w:lineRule="auto"/>
              <w:rPr>
                <w:rFonts w:eastAsia="方正仿宋_GB2312"/>
                <w:sz w:val="28"/>
                <w:szCs w:val="28"/>
              </w:rPr>
            </w:pPr>
            <w:r>
              <w:rPr>
                <w:rFonts w:eastAsia="方正仿宋_GB2312"/>
                <w:sz w:val="28"/>
                <w:szCs w:val="28"/>
              </w:rPr>
              <w:t>2024/8/2</w:t>
            </w:r>
          </w:p>
        </w:tc>
        <w:tc>
          <w:tcPr>
            <w:tcW w:w="575" w:type="pct"/>
            <w:tcBorders>
              <w:top w:val="single" w:color="auto" w:sz="4" w:space="0"/>
              <w:left w:val="single" w:color="auto" w:sz="4" w:space="0"/>
              <w:bottom w:val="single" w:color="auto" w:sz="4" w:space="0"/>
              <w:right w:val="single" w:color="auto" w:sz="4" w:space="0"/>
            </w:tcBorders>
          </w:tcPr>
          <w:p w14:paraId="66E51AC7">
            <w:pPr>
              <w:spacing w:line="240" w:lineRule="auto"/>
              <w:rPr>
                <w:rFonts w:eastAsia="方正仿宋_GB2312"/>
                <w:sz w:val="28"/>
                <w:szCs w:val="28"/>
              </w:rPr>
            </w:pPr>
            <w:r>
              <w:rPr>
                <w:rFonts w:eastAsia="方正仿宋_GB2312"/>
                <w:sz w:val="28"/>
                <w:szCs w:val="28"/>
              </w:rPr>
              <w:t>第7257290号</w:t>
            </w:r>
          </w:p>
        </w:tc>
        <w:tc>
          <w:tcPr>
            <w:tcW w:w="494" w:type="pct"/>
            <w:tcBorders>
              <w:top w:val="single" w:color="auto" w:sz="4" w:space="0"/>
              <w:left w:val="single" w:color="auto" w:sz="4" w:space="0"/>
              <w:bottom w:val="single" w:color="auto" w:sz="4" w:space="0"/>
              <w:right w:val="single" w:color="auto" w:sz="4" w:space="0"/>
            </w:tcBorders>
          </w:tcPr>
          <w:p w14:paraId="7E413E33">
            <w:pPr>
              <w:spacing w:line="240" w:lineRule="auto"/>
              <w:rPr>
                <w:rFonts w:eastAsia="方正仿宋_GB2312"/>
                <w:sz w:val="28"/>
                <w:szCs w:val="28"/>
              </w:rPr>
            </w:pPr>
            <w:r>
              <w:rPr>
                <w:rFonts w:eastAsia="方正仿宋_GB2312"/>
                <w:sz w:val="28"/>
                <w:szCs w:val="28"/>
              </w:rPr>
              <w:t>浙江大学</w:t>
            </w:r>
          </w:p>
        </w:tc>
        <w:tc>
          <w:tcPr>
            <w:tcW w:w="471" w:type="pct"/>
            <w:tcBorders>
              <w:top w:val="single" w:color="auto" w:sz="4" w:space="0"/>
              <w:left w:val="single" w:color="auto" w:sz="4" w:space="0"/>
              <w:bottom w:val="single" w:color="auto" w:sz="4" w:space="0"/>
              <w:right w:val="single" w:color="auto" w:sz="4" w:space="0"/>
            </w:tcBorders>
          </w:tcPr>
          <w:p w14:paraId="27FC18AC">
            <w:pPr>
              <w:spacing w:line="240" w:lineRule="auto"/>
              <w:rPr>
                <w:rFonts w:eastAsia="方正仿宋_GB2312"/>
                <w:sz w:val="28"/>
                <w:szCs w:val="28"/>
              </w:rPr>
            </w:pPr>
            <w:r>
              <w:rPr>
                <w:rFonts w:eastAsia="方正仿宋_GB2312"/>
                <w:sz w:val="28"/>
                <w:szCs w:val="28"/>
              </w:rPr>
              <w:t>黄曼;周瑜</w:t>
            </w:r>
          </w:p>
        </w:tc>
        <w:tc>
          <w:tcPr>
            <w:tcW w:w="518" w:type="pct"/>
            <w:tcBorders>
              <w:top w:val="single" w:color="auto" w:sz="4" w:space="0"/>
              <w:left w:val="single" w:color="auto" w:sz="4" w:space="0"/>
              <w:bottom w:val="single" w:color="auto" w:sz="4" w:space="0"/>
              <w:right w:val="single" w:color="auto" w:sz="4" w:space="0"/>
            </w:tcBorders>
          </w:tcPr>
          <w:p w14:paraId="0D4B58C7">
            <w:pPr>
              <w:spacing w:line="240" w:lineRule="auto"/>
              <w:rPr>
                <w:rFonts w:eastAsia="方正仿宋_GB2312"/>
                <w:sz w:val="28"/>
                <w:szCs w:val="28"/>
              </w:rPr>
            </w:pPr>
            <w:r>
              <w:rPr>
                <w:rFonts w:eastAsia="方正仿宋_GB2312"/>
                <w:sz w:val="28"/>
                <w:szCs w:val="28"/>
              </w:rPr>
              <w:t>已授权</w:t>
            </w:r>
          </w:p>
        </w:tc>
      </w:tr>
    </w:tbl>
    <w:p w14:paraId="3B0FC5EA">
      <w:pPr>
        <w:rPr>
          <w:rFonts w:eastAsia="黑体"/>
          <w:sz w:val="32"/>
          <w:szCs w:val="32"/>
        </w:rPr>
      </w:pPr>
    </w:p>
    <w:p w14:paraId="13FB1C5B">
      <w:pPr>
        <w:adjustRightInd w:val="0"/>
        <w:snapToGrid w:val="0"/>
        <w:spacing w:line="560" w:lineRule="exact"/>
        <w:rPr>
          <w:rFonts w:eastAsia="仿宋_GB2312"/>
          <w:sz w:val="32"/>
          <w:szCs w:val="32"/>
        </w:rPr>
        <w:sectPr>
          <w:pgSz w:w="16838" w:h="11906" w:orient="landscape"/>
          <w:pgMar w:top="1800" w:right="1440" w:bottom="1800" w:left="1440" w:header="851" w:footer="992" w:gutter="0"/>
          <w:cols w:space="425" w:num="1"/>
          <w:docGrid w:type="lines" w:linePitch="312" w:charSpace="0"/>
        </w:sectPr>
      </w:pPr>
    </w:p>
    <w:p w14:paraId="190F8F64">
      <w:pPr>
        <w:adjustRightInd w:val="0"/>
        <w:snapToGrid w:val="0"/>
        <w:spacing w:line="560" w:lineRule="exact"/>
        <w:rPr>
          <w:rFonts w:eastAsia="仿宋_GB2312"/>
          <w:sz w:val="32"/>
          <w:szCs w:val="32"/>
        </w:rPr>
      </w:pPr>
      <w:r>
        <w:rPr>
          <w:rFonts w:hint="eastAsia" w:eastAsia="仿宋_GB2312"/>
          <w:sz w:val="32"/>
          <w:szCs w:val="32"/>
        </w:rPr>
        <w:t>附件2</w:t>
      </w:r>
    </w:p>
    <w:p w14:paraId="04FCBA8F">
      <w:pPr>
        <w:pStyle w:val="4"/>
        <w:jc w:val="center"/>
        <w:rPr>
          <w:rFonts w:eastAsia="方正黑体简体"/>
          <w:sz w:val="32"/>
          <w:szCs w:val="22"/>
        </w:rPr>
      </w:pPr>
      <w:r>
        <w:rPr>
          <w:rFonts w:eastAsia="方正黑体简体"/>
          <w:sz w:val="32"/>
          <w:szCs w:val="22"/>
        </w:rPr>
        <w:t>代表性论文专著目录</w:t>
      </w:r>
    </w:p>
    <w:tbl>
      <w:tblPr>
        <w:tblStyle w:val="1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388"/>
        <w:gridCol w:w="2585"/>
        <w:gridCol w:w="1786"/>
        <w:gridCol w:w="899"/>
        <w:gridCol w:w="764"/>
      </w:tblGrid>
      <w:tr w14:paraId="2DB0D2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trPr>
        <w:tc>
          <w:tcPr>
            <w:tcW w:w="0" w:type="auto"/>
            <w:tcBorders>
              <w:top w:val="single" w:color="auto" w:sz="12" w:space="0"/>
              <w:left w:val="single" w:color="auto" w:sz="12" w:space="0"/>
              <w:bottom w:val="single" w:color="auto" w:sz="6" w:space="0"/>
              <w:right w:val="single" w:color="auto" w:sz="6" w:space="0"/>
            </w:tcBorders>
          </w:tcPr>
          <w:p w14:paraId="6E8DC182">
            <w:pPr>
              <w:spacing w:line="240" w:lineRule="auto"/>
              <w:jc w:val="left"/>
              <w:rPr>
                <w:rFonts w:eastAsia="仿宋_GB2312"/>
                <w:sz w:val="24"/>
                <w:szCs w:val="24"/>
              </w:rPr>
            </w:pPr>
            <w:r>
              <w:rPr>
                <w:rFonts w:eastAsia="仿宋_GB2312"/>
                <w:sz w:val="24"/>
                <w:szCs w:val="24"/>
              </w:rPr>
              <w:t>作 者</w:t>
            </w:r>
          </w:p>
        </w:tc>
        <w:tc>
          <w:tcPr>
            <w:tcW w:w="0" w:type="auto"/>
            <w:tcBorders>
              <w:top w:val="single" w:color="auto" w:sz="12" w:space="0"/>
              <w:left w:val="single" w:color="auto" w:sz="6" w:space="0"/>
              <w:bottom w:val="single" w:color="auto" w:sz="6" w:space="0"/>
              <w:right w:val="single" w:color="auto" w:sz="6" w:space="0"/>
            </w:tcBorders>
          </w:tcPr>
          <w:p w14:paraId="4F4595F5">
            <w:pPr>
              <w:spacing w:line="240" w:lineRule="auto"/>
              <w:rPr>
                <w:rFonts w:eastAsia="仿宋_GB2312"/>
                <w:sz w:val="24"/>
                <w:szCs w:val="24"/>
              </w:rPr>
            </w:pPr>
            <w:r>
              <w:rPr>
                <w:rFonts w:eastAsia="仿宋_GB2312"/>
                <w:sz w:val="24"/>
                <w:szCs w:val="24"/>
              </w:rPr>
              <w:t>论文专著名称/刊物</w:t>
            </w:r>
          </w:p>
        </w:tc>
        <w:tc>
          <w:tcPr>
            <w:tcW w:w="0" w:type="auto"/>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tcPr>
          <w:p w14:paraId="3B96A9E7">
            <w:pPr>
              <w:spacing w:line="240" w:lineRule="auto"/>
              <w:rPr>
                <w:rFonts w:eastAsia="仿宋_GB2312"/>
                <w:sz w:val="24"/>
                <w:szCs w:val="24"/>
              </w:rPr>
            </w:pPr>
            <w:r>
              <w:rPr>
                <w:rFonts w:eastAsia="仿宋_GB2312"/>
                <w:sz w:val="24"/>
                <w:szCs w:val="24"/>
              </w:rPr>
              <w:t>年卷</w:t>
            </w:r>
          </w:p>
          <w:p w14:paraId="1E00CADA">
            <w:pPr>
              <w:spacing w:line="240" w:lineRule="auto"/>
              <w:rPr>
                <w:rFonts w:eastAsia="仿宋_GB2312"/>
                <w:sz w:val="24"/>
                <w:szCs w:val="24"/>
              </w:rPr>
            </w:pPr>
            <w:r>
              <w:rPr>
                <w:rFonts w:eastAsia="仿宋_GB2312"/>
                <w:sz w:val="24"/>
                <w:szCs w:val="24"/>
              </w:rPr>
              <w:t>页码</w:t>
            </w:r>
          </w:p>
        </w:tc>
        <w:tc>
          <w:tcPr>
            <w:tcW w:w="899"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tcPr>
          <w:p w14:paraId="1F72CF0F">
            <w:pPr>
              <w:spacing w:line="240" w:lineRule="auto"/>
              <w:rPr>
                <w:rFonts w:eastAsia="仿宋_GB2312"/>
                <w:sz w:val="24"/>
                <w:szCs w:val="24"/>
              </w:rPr>
            </w:pPr>
            <w:r>
              <w:rPr>
                <w:rFonts w:eastAsia="仿宋_GB2312"/>
                <w:sz w:val="24"/>
                <w:szCs w:val="24"/>
              </w:rPr>
              <w:t>发表</w:t>
            </w:r>
          </w:p>
          <w:p w14:paraId="127E3F54">
            <w:pPr>
              <w:spacing w:line="240" w:lineRule="auto"/>
              <w:rPr>
                <w:rFonts w:eastAsia="仿宋_GB2312"/>
                <w:sz w:val="24"/>
                <w:szCs w:val="24"/>
              </w:rPr>
            </w:pPr>
            <w:r>
              <w:rPr>
                <w:rFonts w:eastAsia="仿宋_GB2312"/>
                <w:sz w:val="24"/>
                <w:szCs w:val="24"/>
              </w:rPr>
              <w:t>时间</w:t>
            </w:r>
          </w:p>
          <w:p w14:paraId="10503AEE">
            <w:pPr>
              <w:spacing w:line="240" w:lineRule="auto"/>
              <w:rPr>
                <w:rFonts w:eastAsia="仿宋_GB2312"/>
                <w:sz w:val="24"/>
                <w:szCs w:val="24"/>
              </w:rPr>
            </w:pPr>
            <w:r>
              <w:rPr>
                <w:rFonts w:eastAsia="仿宋_GB2312"/>
                <w:sz w:val="24"/>
                <w:szCs w:val="24"/>
              </w:rPr>
              <w:t>（年、月）</w:t>
            </w:r>
          </w:p>
        </w:tc>
        <w:tc>
          <w:tcPr>
            <w:tcW w:w="765"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tcPr>
          <w:p w14:paraId="70F185E3">
            <w:pPr>
              <w:spacing w:line="240" w:lineRule="auto"/>
              <w:rPr>
                <w:rFonts w:eastAsia="仿宋_GB2312"/>
                <w:sz w:val="24"/>
                <w:szCs w:val="24"/>
              </w:rPr>
            </w:pPr>
            <w:r>
              <w:rPr>
                <w:rFonts w:eastAsia="仿宋_GB2312"/>
                <w:sz w:val="24"/>
                <w:szCs w:val="24"/>
              </w:rPr>
              <w:t>他引</w:t>
            </w:r>
          </w:p>
          <w:p w14:paraId="7CAA55F7">
            <w:pPr>
              <w:spacing w:line="240" w:lineRule="auto"/>
              <w:rPr>
                <w:rFonts w:eastAsia="仿宋_GB2312"/>
                <w:sz w:val="24"/>
                <w:szCs w:val="24"/>
              </w:rPr>
            </w:pPr>
            <w:r>
              <w:rPr>
                <w:rFonts w:eastAsia="仿宋_GB2312"/>
                <w:sz w:val="24"/>
                <w:szCs w:val="24"/>
              </w:rPr>
              <w:t>总次数</w:t>
            </w:r>
          </w:p>
        </w:tc>
      </w:tr>
      <w:tr w14:paraId="3AD91A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9" w:hRule="exact"/>
        </w:trPr>
        <w:tc>
          <w:tcPr>
            <w:tcW w:w="0" w:type="auto"/>
            <w:tcBorders>
              <w:top w:val="single" w:color="auto" w:sz="6" w:space="0"/>
              <w:left w:val="single" w:color="auto" w:sz="12" w:space="0"/>
              <w:bottom w:val="single" w:color="auto" w:sz="6" w:space="0"/>
              <w:right w:val="single" w:color="auto" w:sz="6" w:space="0"/>
            </w:tcBorders>
          </w:tcPr>
          <w:p w14:paraId="738296A4">
            <w:pPr>
              <w:spacing w:line="240" w:lineRule="auto"/>
              <w:jc w:val="left"/>
              <w:rPr>
                <w:szCs w:val="21"/>
              </w:rPr>
            </w:pPr>
            <w:bookmarkStart w:id="1" w:name="_Hlk208555122"/>
            <w:r>
              <w:rPr>
                <w:szCs w:val="21"/>
              </w:rPr>
              <w:t>Yun Ge, Man Huang, Ning Dong, Yong-Ming Yao</w:t>
            </w:r>
          </w:p>
        </w:tc>
        <w:tc>
          <w:tcPr>
            <w:tcW w:w="0" w:type="auto"/>
            <w:tcBorders>
              <w:top w:val="single" w:color="auto" w:sz="6" w:space="0"/>
              <w:left w:val="single" w:color="auto" w:sz="6" w:space="0"/>
              <w:bottom w:val="single" w:color="auto" w:sz="6" w:space="0"/>
              <w:right w:val="single" w:color="auto" w:sz="6" w:space="0"/>
            </w:tcBorders>
          </w:tcPr>
          <w:p w14:paraId="73DA0A82">
            <w:pPr>
              <w:spacing w:line="240" w:lineRule="auto"/>
              <w:rPr>
                <w:rFonts w:eastAsia="仿宋"/>
                <w:szCs w:val="21"/>
              </w:rPr>
            </w:pPr>
            <w:bookmarkStart w:id="2" w:name="OLE_LINK27"/>
            <w:r>
              <w:rPr>
                <w:rFonts w:eastAsia="仿宋"/>
                <w:bCs/>
                <w:kern w:val="0"/>
                <w:szCs w:val="21"/>
              </w:rPr>
              <w:t xml:space="preserve">Effect of Interleukin-36β on Activating Autophagy of CD4+CD25+ Regulatory T cells and Its Immune Regulation in Sepsis, </w:t>
            </w:r>
            <w:r>
              <w:rPr>
                <w:rFonts w:eastAsia="仿宋"/>
                <w:bCs/>
                <w:i/>
                <w:iCs/>
                <w:kern w:val="0"/>
                <w:szCs w:val="21"/>
              </w:rPr>
              <w:t>Journal of Infectious Diseases</w:t>
            </w:r>
            <w:bookmarkEnd w:id="2"/>
          </w:p>
        </w:tc>
        <w:tc>
          <w:tcPr>
            <w:tcW w:w="0" w:type="auto"/>
            <w:tcBorders>
              <w:top w:val="single" w:color="auto" w:sz="6" w:space="0"/>
              <w:left w:val="single" w:color="auto" w:sz="6" w:space="0"/>
              <w:bottom w:val="single" w:color="auto" w:sz="6" w:space="0"/>
              <w:right w:val="single" w:color="auto" w:sz="6" w:space="0"/>
            </w:tcBorders>
          </w:tcPr>
          <w:p w14:paraId="0ED223E0">
            <w:pPr>
              <w:spacing w:line="240" w:lineRule="auto"/>
              <w:rPr>
                <w:szCs w:val="21"/>
              </w:rPr>
            </w:pPr>
            <w:r>
              <w:rPr>
                <w:szCs w:val="21"/>
              </w:rPr>
              <w:t>2020, 222(9):1517-1530</w:t>
            </w:r>
          </w:p>
        </w:tc>
        <w:tc>
          <w:tcPr>
            <w:tcW w:w="899" w:type="dxa"/>
            <w:tcBorders>
              <w:top w:val="single" w:color="auto" w:sz="6" w:space="0"/>
              <w:left w:val="single" w:color="auto" w:sz="6" w:space="0"/>
              <w:bottom w:val="single" w:color="auto" w:sz="6" w:space="0"/>
              <w:right w:val="single" w:color="auto" w:sz="6" w:space="0"/>
            </w:tcBorders>
          </w:tcPr>
          <w:p w14:paraId="2EB70B96">
            <w:pPr>
              <w:spacing w:line="240" w:lineRule="auto"/>
              <w:rPr>
                <w:szCs w:val="21"/>
              </w:rPr>
            </w:pPr>
            <w:r>
              <w:rPr>
                <w:szCs w:val="21"/>
              </w:rPr>
              <w:t>2020.10</w:t>
            </w:r>
          </w:p>
        </w:tc>
        <w:tc>
          <w:tcPr>
            <w:tcW w:w="765" w:type="dxa"/>
            <w:tcBorders>
              <w:top w:val="single" w:color="auto" w:sz="6" w:space="0"/>
              <w:left w:val="single" w:color="auto" w:sz="6" w:space="0"/>
              <w:bottom w:val="single" w:color="auto" w:sz="6" w:space="0"/>
              <w:right w:val="single" w:color="auto" w:sz="6" w:space="0"/>
            </w:tcBorders>
          </w:tcPr>
          <w:p w14:paraId="3F4450B6">
            <w:pPr>
              <w:spacing w:line="240" w:lineRule="auto"/>
              <w:rPr>
                <w:szCs w:val="21"/>
              </w:rPr>
            </w:pPr>
            <w:r>
              <w:rPr>
                <w:szCs w:val="21"/>
              </w:rPr>
              <w:t>13</w:t>
            </w:r>
          </w:p>
        </w:tc>
      </w:tr>
      <w:bookmarkEnd w:id="1"/>
      <w:tr w14:paraId="249D9A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46" w:hRule="exact"/>
        </w:trPr>
        <w:tc>
          <w:tcPr>
            <w:tcW w:w="0" w:type="auto"/>
            <w:tcBorders>
              <w:top w:val="single" w:color="auto" w:sz="6" w:space="0"/>
              <w:left w:val="single" w:color="auto" w:sz="12" w:space="0"/>
              <w:bottom w:val="single" w:color="auto" w:sz="6" w:space="0"/>
              <w:right w:val="single" w:color="auto" w:sz="6" w:space="0"/>
            </w:tcBorders>
          </w:tcPr>
          <w:p w14:paraId="35CA4171">
            <w:pPr>
              <w:spacing w:line="240" w:lineRule="auto"/>
              <w:jc w:val="left"/>
              <w:rPr>
                <w:szCs w:val="21"/>
              </w:rPr>
            </w:pPr>
            <w:r>
              <w:rPr>
                <w:rFonts w:hint="eastAsia"/>
                <w:szCs w:val="21"/>
              </w:rPr>
              <w:t>Jingyu Chen, Huijuan Wu, Yuanyuan Yu, Nan Tang</w:t>
            </w:r>
          </w:p>
        </w:tc>
        <w:tc>
          <w:tcPr>
            <w:tcW w:w="0" w:type="auto"/>
            <w:tcBorders>
              <w:top w:val="single" w:color="auto" w:sz="6" w:space="0"/>
              <w:left w:val="single" w:color="auto" w:sz="6" w:space="0"/>
              <w:bottom w:val="single" w:color="auto" w:sz="6" w:space="0"/>
              <w:right w:val="single" w:color="auto" w:sz="6" w:space="0"/>
            </w:tcBorders>
          </w:tcPr>
          <w:p w14:paraId="2B3D4D2A">
            <w:pPr>
              <w:widowControl/>
              <w:spacing w:line="240" w:lineRule="auto"/>
              <w:rPr>
                <w:rFonts w:eastAsia="仿宋"/>
                <w:bCs/>
                <w:kern w:val="0"/>
                <w:szCs w:val="21"/>
              </w:rPr>
            </w:pPr>
            <w:r>
              <w:rPr>
                <w:rFonts w:eastAsia="仿宋"/>
                <w:bCs/>
                <w:kern w:val="0"/>
                <w:szCs w:val="21"/>
              </w:rPr>
              <w:t>Pulmonary alveolar regeneration in adult COVID-19 patients</w:t>
            </w:r>
            <w:r>
              <w:rPr>
                <w:rFonts w:hint="eastAsia" w:eastAsia="仿宋"/>
                <w:bCs/>
                <w:kern w:val="0"/>
                <w:szCs w:val="21"/>
              </w:rPr>
              <w:t>，</w:t>
            </w:r>
            <w:r>
              <w:rPr>
                <w:rFonts w:eastAsia="仿宋"/>
                <w:bCs/>
                <w:i/>
                <w:iCs/>
                <w:kern w:val="0"/>
                <w:szCs w:val="21"/>
              </w:rPr>
              <w:t>Cell Research</w:t>
            </w:r>
          </w:p>
        </w:tc>
        <w:tc>
          <w:tcPr>
            <w:tcW w:w="0" w:type="auto"/>
            <w:tcBorders>
              <w:top w:val="single" w:color="auto" w:sz="6" w:space="0"/>
              <w:left w:val="single" w:color="auto" w:sz="6" w:space="0"/>
              <w:bottom w:val="single" w:color="auto" w:sz="6" w:space="0"/>
              <w:right w:val="single" w:color="auto" w:sz="6" w:space="0"/>
            </w:tcBorders>
          </w:tcPr>
          <w:p w14:paraId="69C6182D">
            <w:pPr>
              <w:spacing w:line="240" w:lineRule="auto"/>
              <w:rPr>
                <w:szCs w:val="21"/>
              </w:rPr>
            </w:pPr>
            <w:r>
              <w:rPr>
                <w:szCs w:val="21"/>
              </w:rPr>
              <w:t>2020, 30 (8), pp.708-710</w:t>
            </w:r>
          </w:p>
        </w:tc>
        <w:tc>
          <w:tcPr>
            <w:tcW w:w="899" w:type="dxa"/>
            <w:tcBorders>
              <w:top w:val="single" w:color="auto" w:sz="6" w:space="0"/>
              <w:left w:val="single" w:color="auto" w:sz="6" w:space="0"/>
              <w:bottom w:val="single" w:color="auto" w:sz="6" w:space="0"/>
              <w:right w:val="single" w:color="auto" w:sz="6" w:space="0"/>
            </w:tcBorders>
          </w:tcPr>
          <w:p w14:paraId="6F9A60F8">
            <w:pPr>
              <w:spacing w:line="240" w:lineRule="auto"/>
              <w:rPr>
                <w:szCs w:val="21"/>
              </w:rPr>
            </w:pPr>
            <w:r>
              <w:rPr>
                <w:szCs w:val="21"/>
              </w:rPr>
              <w:t>2020.8</w:t>
            </w:r>
          </w:p>
        </w:tc>
        <w:tc>
          <w:tcPr>
            <w:tcW w:w="765" w:type="dxa"/>
            <w:tcBorders>
              <w:top w:val="single" w:color="auto" w:sz="6" w:space="0"/>
              <w:left w:val="single" w:color="auto" w:sz="6" w:space="0"/>
              <w:bottom w:val="single" w:color="auto" w:sz="6" w:space="0"/>
              <w:right w:val="single" w:color="auto" w:sz="6" w:space="0"/>
            </w:tcBorders>
          </w:tcPr>
          <w:p w14:paraId="1086F625">
            <w:pPr>
              <w:spacing w:line="240" w:lineRule="auto"/>
              <w:rPr>
                <w:szCs w:val="21"/>
              </w:rPr>
            </w:pPr>
            <w:r>
              <w:rPr>
                <w:szCs w:val="21"/>
              </w:rPr>
              <w:t>67</w:t>
            </w:r>
          </w:p>
        </w:tc>
      </w:tr>
      <w:tr w14:paraId="7276E6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40" w:hRule="exact"/>
        </w:trPr>
        <w:tc>
          <w:tcPr>
            <w:tcW w:w="0" w:type="auto"/>
            <w:tcBorders>
              <w:top w:val="single" w:color="auto" w:sz="6" w:space="0"/>
              <w:left w:val="single" w:color="auto" w:sz="12" w:space="0"/>
              <w:bottom w:val="single" w:color="auto" w:sz="6" w:space="0"/>
              <w:right w:val="single" w:color="auto" w:sz="6" w:space="0"/>
            </w:tcBorders>
          </w:tcPr>
          <w:p w14:paraId="4D2C79F5">
            <w:pPr>
              <w:spacing w:line="240" w:lineRule="auto"/>
              <w:jc w:val="left"/>
              <w:rPr>
                <w:szCs w:val="21"/>
              </w:rPr>
            </w:pPr>
            <w:r>
              <w:rPr>
                <w:rFonts w:hint="eastAsia"/>
                <w:szCs w:val="21"/>
              </w:rPr>
              <w:t>Huijuan Wu, Yuanyuan Yu, Huanwei Huang, Yucheng Hu, Siling Fu, Zheng Wang, Mengting Shi, Xi Zhao, Jie Yuan, Jiao Li, Xueyi Yang, Ennan Bin, Dong Wei, Hongbin Zhang, Jin Zhang, Chun Yang, Tao Cai, Huaping Dai, Jingyu Chen, Nan Tang</w:t>
            </w:r>
          </w:p>
        </w:tc>
        <w:tc>
          <w:tcPr>
            <w:tcW w:w="0" w:type="auto"/>
            <w:tcBorders>
              <w:top w:val="single" w:color="auto" w:sz="6" w:space="0"/>
              <w:left w:val="single" w:color="auto" w:sz="6" w:space="0"/>
              <w:bottom w:val="single" w:color="auto" w:sz="6" w:space="0"/>
              <w:right w:val="single" w:color="auto" w:sz="6" w:space="0"/>
            </w:tcBorders>
          </w:tcPr>
          <w:p w14:paraId="3E4F888A">
            <w:pPr>
              <w:widowControl/>
              <w:spacing w:line="240" w:lineRule="auto"/>
              <w:rPr>
                <w:rFonts w:eastAsia="仿宋"/>
                <w:bCs/>
                <w:kern w:val="0"/>
                <w:szCs w:val="21"/>
              </w:rPr>
            </w:pPr>
            <w:bookmarkStart w:id="3" w:name="OLE_LINK5"/>
            <w:r>
              <w:rPr>
                <w:rFonts w:eastAsia="仿宋"/>
                <w:bCs/>
                <w:kern w:val="0"/>
                <w:szCs w:val="21"/>
              </w:rPr>
              <w:t>Progressive Pulmonary Fibrosis Is Caused by</w:t>
            </w:r>
            <w:r>
              <w:rPr>
                <w:rFonts w:hint="eastAsia" w:eastAsia="仿宋"/>
                <w:bCs/>
                <w:kern w:val="0"/>
                <w:szCs w:val="21"/>
              </w:rPr>
              <w:t xml:space="preserve"> </w:t>
            </w:r>
            <w:r>
              <w:rPr>
                <w:rFonts w:eastAsia="仿宋"/>
                <w:bCs/>
                <w:kern w:val="0"/>
                <w:szCs w:val="21"/>
              </w:rPr>
              <w:t>Elevated Mechanical Tension on Alveolar Stem Cells</w:t>
            </w:r>
            <w:r>
              <w:rPr>
                <w:rFonts w:hint="eastAsia" w:eastAsia="仿宋"/>
                <w:bCs/>
                <w:kern w:val="0"/>
                <w:szCs w:val="21"/>
              </w:rPr>
              <w:t>，</w:t>
            </w:r>
            <w:r>
              <w:rPr>
                <w:rFonts w:eastAsia="仿宋"/>
                <w:bCs/>
                <w:i/>
                <w:iCs/>
                <w:kern w:val="0"/>
                <w:szCs w:val="21"/>
              </w:rPr>
              <w:t>Cell</w:t>
            </w:r>
          </w:p>
          <w:bookmarkEnd w:id="3"/>
          <w:p w14:paraId="0C35FC7D">
            <w:pPr>
              <w:widowControl/>
              <w:spacing w:line="240" w:lineRule="auto"/>
              <w:rPr>
                <w:szCs w:val="21"/>
              </w:rPr>
            </w:pPr>
          </w:p>
        </w:tc>
        <w:tc>
          <w:tcPr>
            <w:tcW w:w="0" w:type="auto"/>
            <w:tcBorders>
              <w:top w:val="single" w:color="auto" w:sz="6" w:space="0"/>
              <w:left w:val="single" w:color="auto" w:sz="6" w:space="0"/>
              <w:bottom w:val="single" w:color="auto" w:sz="6" w:space="0"/>
              <w:right w:val="single" w:color="auto" w:sz="6" w:space="0"/>
            </w:tcBorders>
          </w:tcPr>
          <w:p w14:paraId="0E23FF89">
            <w:pPr>
              <w:spacing w:line="240" w:lineRule="auto"/>
              <w:rPr>
                <w:szCs w:val="21"/>
              </w:rPr>
            </w:pPr>
            <w:r>
              <w:rPr>
                <w:rFonts w:hint="eastAsia"/>
                <w:szCs w:val="21"/>
              </w:rPr>
              <w:t xml:space="preserve">2021. </w:t>
            </w:r>
            <w:r>
              <w:rPr>
                <w:szCs w:val="21"/>
              </w:rPr>
              <w:t>184 (3), pp.845-846</w:t>
            </w:r>
          </w:p>
        </w:tc>
        <w:tc>
          <w:tcPr>
            <w:tcW w:w="899" w:type="dxa"/>
            <w:tcBorders>
              <w:top w:val="single" w:color="auto" w:sz="6" w:space="0"/>
              <w:left w:val="single" w:color="auto" w:sz="6" w:space="0"/>
              <w:bottom w:val="single" w:color="auto" w:sz="6" w:space="0"/>
              <w:right w:val="single" w:color="auto" w:sz="6" w:space="0"/>
            </w:tcBorders>
          </w:tcPr>
          <w:p w14:paraId="160EE01F">
            <w:pPr>
              <w:spacing w:line="240" w:lineRule="auto"/>
              <w:rPr>
                <w:szCs w:val="21"/>
              </w:rPr>
            </w:pPr>
            <w:r>
              <w:rPr>
                <w:rFonts w:hint="eastAsia"/>
                <w:szCs w:val="21"/>
              </w:rPr>
              <w:t>2021.2</w:t>
            </w:r>
          </w:p>
        </w:tc>
        <w:tc>
          <w:tcPr>
            <w:tcW w:w="765" w:type="dxa"/>
            <w:tcBorders>
              <w:top w:val="single" w:color="auto" w:sz="6" w:space="0"/>
              <w:left w:val="single" w:color="auto" w:sz="6" w:space="0"/>
              <w:bottom w:val="single" w:color="auto" w:sz="6" w:space="0"/>
              <w:right w:val="single" w:color="auto" w:sz="6" w:space="0"/>
            </w:tcBorders>
          </w:tcPr>
          <w:p w14:paraId="53B8C553">
            <w:pPr>
              <w:spacing w:line="240" w:lineRule="auto"/>
              <w:rPr>
                <w:szCs w:val="21"/>
              </w:rPr>
            </w:pPr>
            <w:r>
              <w:rPr>
                <w:rFonts w:hint="eastAsia"/>
                <w:szCs w:val="21"/>
              </w:rPr>
              <w:t>30</w:t>
            </w:r>
          </w:p>
        </w:tc>
      </w:tr>
      <w:tr w14:paraId="2583FA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90" w:hRule="exact"/>
        </w:trPr>
        <w:tc>
          <w:tcPr>
            <w:tcW w:w="0" w:type="auto"/>
            <w:tcBorders>
              <w:top w:val="single" w:color="auto" w:sz="6" w:space="0"/>
              <w:left w:val="single" w:color="auto" w:sz="12" w:space="0"/>
              <w:bottom w:val="single" w:color="auto" w:sz="6" w:space="0"/>
              <w:right w:val="single" w:color="auto" w:sz="6" w:space="0"/>
            </w:tcBorders>
          </w:tcPr>
          <w:p w14:paraId="56799FE6">
            <w:pPr>
              <w:spacing w:line="240" w:lineRule="auto"/>
              <w:jc w:val="left"/>
              <w:rPr>
                <w:szCs w:val="21"/>
              </w:rPr>
            </w:pPr>
            <w:r>
              <w:rPr>
                <w:rFonts w:hint="eastAsia"/>
                <w:szCs w:val="21"/>
              </w:rPr>
              <w:t>Juan Chen, Xin Yi Chen, Xiao Xia Cong, Shen Wang, Shui Bo Xu, Yu Ting Sun, Yi Ting Zhou, Li Ling Zheng, Man Huang</w:t>
            </w:r>
          </w:p>
        </w:tc>
        <w:tc>
          <w:tcPr>
            <w:tcW w:w="0" w:type="auto"/>
            <w:tcBorders>
              <w:top w:val="single" w:color="auto" w:sz="6" w:space="0"/>
              <w:left w:val="single" w:color="auto" w:sz="6" w:space="0"/>
              <w:bottom w:val="single" w:color="auto" w:sz="6" w:space="0"/>
              <w:right w:val="single" w:color="auto" w:sz="6" w:space="0"/>
            </w:tcBorders>
          </w:tcPr>
          <w:p w14:paraId="12F8216F">
            <w:pPr>
              <w:spacing w:line="240" w:lineRule="auto"/>
              <w:rPr>
                <w:rFonts w:eastAsia="仿宋"/>
                <w:bCs/>
                <w:kern w:val="0"/>
                <w:szCs w:val="21"/>
              </w:rPr>
            </w:pPr>
            <w:r>
              <w:rPr>
                <w:rFonts w:hint="eastAsia" w:eastAsia="仿宋"/>
                <w:bCs/>
                <w:kern w:val="0"/>
                <w:szCs w:val="21"/>
              </w:rPr>
              <w:t>CELLULAR SENESCENCE IMPLICATED IN SEPSIS-INDUCED MUSCLE WEAKNESS AND AMELIORATED WITH METFORMIN</w:t>
            </w:r>
            <w:r>
              <w:rPr>
                <w:rFonts w:eastAsia="仿宋"/>
                <w:bCs/>
                <w:kern w:val="0"/>
                <w:szCs w:val="21"/>
              </w:rPr>
              <w:t>,</w:t>
            </w:r>
            <w:r>
              <w:rPr>
                <w:szCs w:val="21"/>
              </w:rPr>
              <w:t xml:space="preserve"> </w:t>
            </w:r>
            <w:r>
              <w:rPr>
                <w:rFonts w:eastAsia="仿宋"/>
                <w:bCs/>
                <w:kern w:val="0"/>
                <w:szCs w:val="21"/>
              </w:rPr>
              <w:t>Shock</w:t>
            </w:r>
          </w:p>
        </w:tc>
        <w:tc>
          <w:tcPr>
            <w:tcW w:w="0" w:type="auto"/>
            <w:tcBorders>
              <w:top w:val="single" w:color="auto" w:sz="6" w:space="0"/>
              <w:left w:val="single" w:color="auto" w:sz="6" w:space="0"/>
              <w:bottom w:val="single" w:color="auto" w:sz="6" w:space="0"/>
              <w:right w:val="single" w:color="auto" w:sz="6" w:space="0"/>
            </w:tcBorders>
          </w:tcPr>
          <w:p w14:paraId="542761DC">
            <w:pPr>
              <w:spacing w:line="240" w:lineRule="auto"/>
              <w:rPr>
                <w:szCs w:val="21"/>
              </w:rPr>
            </w:pPr>
            <w:r>
              <w:rPr>
                <w:rFonts w:hint="eastAsia"/>
                <w:szCs w:val="21"/>
              </w:rPr>
              <w:t>2023</w:t>
            </w:r>
            <w:r>
              <w:rPr>
                <w:szCs w:val="21"/>
              </w:rPr>
              <w:t>, 59 (4), pp.646-656</w:t>
            </w:r>
          </w:p>
        </w:tc>
        <w:tc>
          <w:tcPr>
            <w:tcW w:w="899" w:type="dxa"/>
            <w:tcBorders>
              <w:top w:val="single" w:color="auto" w:sz="6" w:space="0"/>
              <w:left w:val="single" w:color="auto" w:sz="6" w:space="0"/>
              <w:bottom w:val="single" w:color="auto" w:sz="6" w:space="0"/>
              <w:right w:val="single" w:color="auto" w:sz="6" w:space="0"/>
            </w:tcBorders>
          </w:tcPr>
          <w:p w14:paraId="05E21A27">
            <w:pPr>
              <w:spacing w:line="240" w:lineRule="auto"/>
              <w:rPr>
                <w:szCs w:val="21"/>
              </w:rPr>
            </w:pPr>
            <w:r>
              <w:rPr>
                <w:szCs w:val="21"/>
              </w:rPr>
              <w:t>2023.4</w:t>
            </w:r>
          </w:p>
        </w:tc>
        <w:tc>
          <w:tcPr>
            <w:tcW w:w="765" w:type="dxa"/>
            <w:tcBorders>
              <w:top w:val="single" w:color="auto" w:sz="6" w:space="0"/>
              <w:left w:val="single" w:color="auto" w:sz="6" w:space="0"/>
              <w:bottom w:val="single" w:color="auto" w:sz="6" w:space="0"/>
              <w:right w:val="single" w:color="auto" w:sz="6" w:space="0"/>
            </w:tcBorders>
          </w:tcPr>
          <w:p w14:paraId="4E120CDB">
            <w:pPr>
              <w:spacing w:line="240" w:lineRule="auto"/>
              <w:rPr>
                <w:szCs w:val="21"/>
              </w:rPr>
            </w:pPr>
            <w:r>
              <w:rPr>
                <w:szCs w:val="21"/>
              </w:rPr>
              <w:t>21</w:t>
            </w:r>
          </w:p>
        </w:tc>
      </w:tr>
      <w:tr w14:paraId="139E06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02" w:hRule="exact"/>
        </w:trPr>
        <w:tc>
          <w:tcPr>
            <w:tcW w:w="0" w:type="auto"/>
            <w:tcBorders>
              <w:top w:val="single" w:color="auto" w:sz="6" w:space="0"/>
              <w:left w:val="single" w:color="auto" w:sz="12" w:space="0"/>
              <w:bottom w:val="single" w:color="auto" w:sz="6" w:space="0"/>
              <w:right w:val="single" w:color="auto" w:sz="6" w:space="0"/>
            </w:tcBorders>
          </w:tcPr>
          <w:p w14:paraId="53287C3A">
            <w:pPr>
              <w:spacing w:line="240" w:lineRule="auto"/>
              <w:jc w:val="left"/>
              <w:rPr>
                <w:szCs w:val="21"/>
              </w:rPr>
            </w:pPr>
            <w:r>
              <w:rPr>
                <w:rFonts w:hint="eastAsia"/>
                <w:szCs w:val="21"/>
              </w:rPr>
              <w:t>Juan Chen, Man Huang</w:t>
            </w:r>
          </w:p>
        </w:tc>
        <w:tc>
          <w:tcPr>
            <w:tcW w:w="0" w:type="auto"/>
            <w:tcBorders>
              <w:top w:val="single" w:color="auto" w:sz="6" w:space="0"/>
              <w:left w:val="single" w:color="auto" w:sz="6" w:space="0"/>
              <w:bottom w:val="single" w:color="auto" w:sz="6" w:space="0"/>
              <w:right w:val="single" w:color="auto" w:sz="6" w:space="0"/>
            </w:tcBorders>
          </w:tcPr>
          <w:p w14:paraId="5332B0FC">
            <w:pPr>
              <w:spacing w:line="240" w:lineRule="auto"/>
              <w:rPr>
                <w:rFonts w:eastAsia="仿宋"/>
                <w:bCs/>
                <w:kern w:val="0"/>
                <w:szCs w:val="21"/>
              </w:rPr>
            </w:pPr>
            <w:r>
              <w:rPr>
                <w:rFonts w:eastAsia="仿宋"/>
                <w:bCs/>
                <w:kern w:val="0"/>
                <w:szCs w:val="21"/>
              </w:rPr>
              <w:t>Intensive care unit-acquired weakness: Recent insights,</w:t>
            </w:r>
            <w:r>
              <w:rPr>
                <w:szCs w:val="21"/>
              </w:rPr>
              <w:t xml:space="preserve"> </w:t>
            </w:r>
            <w:r>
              <w:rPr>
                <w:rFonts w:eastAsia="仿宋"/>
                <w:bCs/>
                <w:i/>
                <w:iCs/>
                <w:kern w:val="0"/>
                <w:szCs w:val="21"/>
              </w:rPr>
              <w:t>Journal of Intensive Medicine</w:t>
            </w:r>
          </w:p>
        </w:tc>
        <w:tc>
          <w:tcPr>
            <w:tcW w:w="0" w:type="auto"/>
            <w:tcBorders>
              <w:top w:val="single" w:color="auto" w:sz="6" w:space="0"/>
              <w:left w:val="single" w:color="auto" w:sz="6" w:space="0"/>
              <w:bottom w:val="single" w:color="auto" w:sz="6" w:space="0"/>
              <w:right w:val="single" w:color="auto" w:sz="6" w:space="0"/>
            </w:tcBorders>
          </w:tcPr>
          <w:p w14:paraId="5ABC8D4F">
            <w:pPr>
              <w:spacing w:line="240" w:lineRule="auto"/>
              <w:rPr>
                <w:szCs w:val="21"/>
              </w:rPr>
            </w:pPr>
            <w:r>
              <w:rPr>
                <w:rFonts w:hint="eastAsia"/>
                <w:szCs w:val="21"/>
              </w:rPr>
              <w:t>2024</w:t>
            </w:r>
            <w:r>
              <w:rPr>
                <w:szCs w:val="21"/>
              </w:rPr>
              <w:t>, 4 (1), pp.73-80</w:t>
            </w:r>
          </w:p>
        </w:tc>
        <w:tc>
          <w:tcPr>
            <w:tcW w:w="899" w:type="dxa"/>
            <w:tcBorders>
              <w:top w:val="single" w:color="auto" w:sz="6" w:space="0"/>
              <w:left w:val="single" w:color="auto" w:sz="6" w:space="0"/>
              <w:bottom w:val="single" w:color="auto" w:sz="6" w:space="0"/>
              <w:right w:val="single" w:color="auto" w:sz="6" w:space="0"/>
            </w:tcBorders>
          </w:tcPr>
          <w:p w14:paraId="0E8600C5">
            <w:pPr>
              <w:spacing w:line="240" w:lineRule="auto"/>
              <w:rPr>
                <w:szCs w:val="21"/>
              </w:rPr>
            </w:pPr>
            <w:r>
              <w:rPr>
                <w:rFonts w:hint="eastAsia"/>
                <w:szCs w:val="21"/>
              </w:rPr>
              <w:t>2024.1</w:t>
            </w:r>
          </w:p>
        </w:tc>
        <w:tc>
          <w:tcPr>
            <w:tcW w:w="765" w:type="dxa"/>
            <w:tcBorders>
              <w:top w:val="single" w:color="auto" w:sz="6" w:space="0"/>
              <w:left w:val="single" w:color="auto" w:sz="6" w:space="0"/>
              <w:bottom w:val="single" w:color="auto" w:sz="6" w:space="0"/>
              <w:right w:val="single" w:color="auto" w:sz="6" w:space="0"/>
            </w:tcBorders>
          </w:tcPr>
          <w:p w14:paraId="45D83CB7">
            <w:pPr>
              <w:spacing w:line="240" w:lineRule="auto"/>
              <w:rPr>
                <w:szCs w:val="21"/>
              </w:rPr>
            </w:pPr>
            <w:r>
              <w:rPr>
                <w:szCs w:val="21"/>
              </w:rPr>
              <w:t>39</w:t>
            </w:r>
          </w:p>
        </w:tc>
      </w:tr>
      <w:tr w14:paraId="1EC2E8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92" w:hRule="exact"/>
        </w:trPr>
        <w:tc>
          <w:tcPr>
            <w:tcW w:w="0" w:type="auto"/>
            <w:tcBorders>
              <w:top w:val="single" w:color="auto" w:sz="6" w:space="0"/>
              <w:left w:val="single" w:color="auto" w:sz="12" w:space="0"/>
              <w:bottom w:val="single" w:color="auto" w:sz="6" w:space="0"/>
              <w:right w:val="single" w:color="auto" w:sz="6" w:space="0"/>
            </w:tcBorders>
          </w:tcPr>
          <w:p w14:paraId="3065BA28">
            <w:pPr>
              <w:spacing w:line="240" w:lineRule="auto"/>
              <w:jc w:val="left"/>
              <w:rPr>
                <w:szCs w:val="21"/>
              </w:rPr>
            </w:pPr>
            <w:r>
              <w:rPr>
                <w:rFonts w:hint="eastAsia"/>
                <w:szCs w:val="21"/>
              </w:rPr>
              <w:t>Dong Tian, Hao-Ji Yan, Heng Huang, Yu-Jie Zuo, Ming-Zhao Liu, Jin Zhao, Bo Wu, Ling-Zhi Shi, Jing-Yu Chen</w:t>
            </w:r>
          </w:p>
        </w:tc>
        <w:tc>
          <w:tcPr>
            <w:tcW w:w="0" w:type="auto"/>
            <w:tcBorders>
              <w:top w:val="single" w:color="auto" w:sz="6" w:space="0"/>
              <w:left w:val="single" w:color="auto" w:sz="6" w:space="0"/>
              <w:bottom w:val="single" w:color="auto" w:sz="6" w:space="0"/>
              <w:right w:val="single" w:color="auto" w:sz="6" w:space="0"/>
            </w:tcBorders>
          </w:tcPr>
          <w:p w14:paraId="49A34AC0">
            <w:pPr>
              <w:spacing w:line="240" w:lineRule="auto"/>
              <w:rPr>
                <w:rFonts w:eastAsia="仿宋"/>
                <w:bCs/>
                <w:kern w:val="0"/>
                <w:szCs w:val="21"/>
              </w:rPr>
            </w:pPr>
            <w:r>
              <w:rPr>
                <w:rFonts w:eastAsia="仿宋"/>
                <w:bCs/>
                <w:kern w:val="0"/>
                <w:szCs w:val="21"/>
              </w:rPr>
              <w:t>Machine Learning-Based Prognostic Model for Patients After Lung Transplantation,</w:t>
            </w:r>
            <w:r>
              <w:rPr>
                <w:szCs w:val="21"/>
              </w:rPr>
              <w:t xml:space="preserve"> </w:t>
            </w:r>
            <w:r>
              <w:rPr>
                <w:rFonts w:eastAsia="仿宋"/>
                <w:bCs/>
                <w:i/>
                <w:iCs/>
                <w:kern w:val="0"/>
                <w:szCs w:val="21"/>
              </w:rPr>
              <w:t>JAMA Network Open</w:t>
            </w:r>
          </w:p>
          <w:p w14:paraId="187786C3">
            <w:pPr>
              <w:spacing w:line="240" w:lineRule="auto"/>
              <w:rPr>
                <w:rFonts w:eastAsia="仿宋"/>
                <w:bCs/>
                <w:kern w:val="0"/>
                <w:szCs w:val="21"/>
              </w:rPr>
            </w:pPr>
          </w:p>
        </w:tc>
        <w:tc>
          <w:tcPr>
            <w:tcW w:w="0" w:type="auto"/>
            <w:tcBorders>
              <w:top w:val="single" w:color="auto" w:sz="6" w:space="0"/>
              <w:left w:val="single" w:color="auto" w:sz="6" w:space="0"/>
              <w:bottom w:val="single" w:color="auto" w:sz="6" w:space="0"/>
              <w:right w:val="single" w:color="auto" w:sz="6" w:space="0"/>
            </w:tcBorders>
          </w:tcPr>
          <w:p w14:paraId="3C79A69B">
            <w:pPr>
              <w:spacing w:line="240" w:lineRule="auto"/>
              <w:rPr>
                <w:szCs w:val="21"/>
              </w:rPr>
            </w:pPr>
            <w:r>
              <w:rPr>
                <w:szCs w:val="21"/>
              </w:rPr>
              <w:t>2023, 6 (5)</w:t>
            </w:r>
          </w:p>
        </w:tc>
        <w:tc>
          <w:tcPr>
            <w:tcW w:w="899" w:type="dxa"/>
            <w:tcBorders>
              <w:top w:val="single" w:color="auto" w:sz="6" w:space="0"/>
              <w:left w:val="single" w:color="auto" w:sz="6" w:space="0"/>
              <w:bottom w:val="single" w:color="auto" w:sz="6" w:space="0"/>
              <w:right w:val="single" w:color="auto" w:sz="6" w:space="0"/>
            </w:tcBorders>
          </w:tcPr>
          <w:p w14:paraId="21F951E4">
            <w:pPr>
              <w:spacing w:line="240" w:lineRule="auto"/>
              <w:rPr>
                <w:szCs w:val="21"/>
              </w:rPr>
            </w:pPr>
            <w:r>
              <w:rPr>
                <w:szCs w:val="21"/>
              </w:rPr>
              <w:t>2023.5</w:t>
            </w:r>
          </w:p>
        </w:tc>
        <w:tc>
          <w:tcPr>
            <w:tcW w:w="765" w:type="dxa"/>
            <w:tcBorders>
              <w:top w:val="single" w:color="auto" w:sz="6" w:space="0"/>
              <w:left w:val="single" w:color="auto" w:sz="6" w:space="0"/>
              <w:bottom w:val="single" w:color="auto" w:sz="6" w:space="0"/>
              <w:right w:val="single" w:color="auto" w:sz="6" w:space="0"/>
            </w:tcBorders>
          </w:tcPr>
          <w:p w14:paraId="74C7598A">
            <w:pPr>
              <w:spacing w:line="240" w:lineRule="auto"/>
              <w:rPr>
                <w:szCs w:val="21"/>
              </w:rPr>
            </w:pPr>
            <w:r>
              <w:rPr>
                <w:szCs w:val="21"/>
              </w:rPr>
              <w:t>51</w:t>
            </w:r>
          </w:p>
        </w:tc>
      </w:tr>
      <w:tr w14:paraId="37720D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22" w:hRule="exact"/>
        </w:trPr>
        <w:tc>
          <w:tcPr>
            <w:tcW w:w="0" w:type="auto"/>
            <w:tcBorders>
              <w:top w:val="single" w:color="auto" w:sz="6" w:space="0"/>
              <w:left w:val="single" w:color="auto" w:sz="12" w:space="0"/>
              <w:bottom w:val="single" w:color="auto" w:sz="6" w:space="0"/>
              <w:right w:val="single" w:color="auto" w:sz="6" w:space="0"/>
            </w:tcBorders>
          </w:tcPr>
          <w:p w14:paraId="365BDA58">
            <w:pPr>
              <w:spacing w:line="240" w:lineRule="auto"/>
              <w:jc w:val="left"/>
              <w:rPr>
                <w:szCs w:val="21"/>
              </w:rPr>
            </w:pPr>
            <w:bookmarkStart w:id="4" w:name="_Hlk208429852"/>
            <w:r>
              <w:rPr>
                <w:rFonts w:hint="eastAsia"/>
                <w:szCs w:val="21"/>
              </w:rPr>
              <w:t>Zhi Su, Weizhen Zhang, Yu Shi, Tao Cui, Yongchang Xu, Runshi Yang, Man Huang, Chun Zhou, Huimin Zhang , Ting Lu, Jiuxin Qu , Zheng-Guo He, Jianhua Gan, Youjun Feng</w:t>
            </w:r>
          </w:p>
        </w:tc>
        <w:tc>
          <w:tcPr>
            <w:tcW w:w="0" w:type="auto"/>
            <w:tcBorders>
              <w:top w:val="single" w:color="auto" w:sz="6" w:space="0"/>
              <w:left w:val="single" w:color="auto" w:sz="6" w:space="0"/>
              <w:bottom w:val="single" w:color="auto" w:sz="6" w:space="0"/>
              <w:right w:val="single" w:color="auto" w:sz="6" w:space="0"/>
            </w:tcBorders>
          </w:tcPr>
          <w:p w14:paraId="7CD42AA5">
            <w:pPr>
              <w:spacing w:line="240" w:lineRule="auto"/>
              <w:rPr>
                <w:rFonts w:eastAsia="仿宋"/>
                <w:bCs/>
                <w:kern w:val="0"/>
                <w:szCs w:val="21"/>
              </w:rPr>
            </w:pPr>
            <w:r>
              <w:rPr>
                <w:rFonts w:eastAsia="仿宋"/>
                <w:bCs/>
                <w:kern w:val="0"/>
                <w:szCs w:val="21"/>
              </w:rPr>
              <w:t>A bacterial methyltransferase that initiates biotin synthesis, an attractive anti-ESKAPE druggable pathway,</w:t>
            </w:r>
            <w:r>
              <w:rPr>
                <w:szCs w:val="21"/>
              </w:rPr>
              <w:t xml:space="preserve"> </w:t>
            </w:r>
            <w:r>
              <w:rPr>
                <w:rFonts w:eastAsia="仿宋"/>
                <w:bCs/>
                <w:i/>
                <w:iCs/>
                <w:kern w:val="0"/>
                <w:szCs w:val="21"/>
              </w:rPr>
              <w:t>Science Advance</w:t>
            </w:r>
          </w:p>
        </w:tc>
        <w:tc>
          <w:tcPr>
            <w:tcW w:w="0" w:type="auto"/>
            <w:tcBorders>
              <w:top w:val="single" w:color="auto" w:sz="6" w:space="0"/>
              <w:left w:val="single" w:color="auto" w:sz="6" w:space="0"/>
              <w:bottom w:val="single" w:color="auto" w:sz="6" w:space="0"/>
              <w:right w:val="single" w:color="auto" w:sz="6" w:space="0"/>
            </w:tcBorders>
          </w:tcPr>
          <w:p w14:paraId="7275037C">
            <w:pPr>
              <w:spacing w:line="240" w:lineRule="auto"/>
              <w:rPr>
                <w:szCs w:val="21"/>
              </w:rPr>
            </w:pPr>
            <w:r>
              <w:rPr>
                <w:szCs w:val="21"/>
              </w:rPr>
              <w:t>2024, 10 (51)</w:t>
            </w:r>
          </w:p>
        </w:tc>
        <w:tc>
          <w:tcPr>
            <w:tcW w:w="899" w:type="dxa"/>
            <w:tcBorders>
              <w:top w:val="single" w:color="auto" w:sz="6" w:space="0"/>
              <w:left w:val="single" w:color="auto" w:sz="6" w:space="0"/>
              <w:bottom w:val="single" w:color="auto" w:sz="6" w:space="0"/>
              <w:right w:val="single" w:color="auto" w:sz="6" w:space="0"/>
            </w:tcBorders>
          </w:tcPr>
          <w:p w14:paraId="0E139C85">
            <w:pPr>
              <w:spacing w:line="240" w:lineRule="auto"/>
              <w:rPr>
                <w:szCs w:val="21"/>
              </w:rPr>
            </w:pPr>
            <w:r>
              <w:rPr>
                <w:szCs w:val="21"/>
              </w:rPr>
              <w:t>2024.12</w:t>
            </w:r>
          </w:p>
        </w:tc>
        <w:tc>
          <w:tcPr>
            <w:tcW w:w="765" w:type="dxa"/>
            <w:tcBorders>
              <w:top w:val="single" w:color="auto" w:sz="6" w:space="0"/>
              <w:left w:val="single" w:color="auto" w:sz="6" w:space="0"/>
              <w:bottom w:val="single" w:color="auto" w:sz="6" w:space="0"/>
              <w:right w:val="single" w:color="auto" w:sz="6" w:space="0"/>
            </w:tcBorders>
          </w:tcPr>
          <w:p w14:paraId="21684028">
            <w:pPr>
              <w:spacing w:line="240" w:lineRule="auto"/>
              <w:rPr>
                <w:szCs w:val="21"/>
              </w:rPr>
            </w:pPr>
            <w:r>
              <w:rPr>
                <w:szCs w:val="21"/>
              </w:rPr>
              <w:t>5</w:t>
            </w:r>
          </w:p>
        </w:tc>
      </w:tr>
      <w:bookmarkEnd w:id="4"/>
      <w:tr w14:paraId="4E4F61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2" w:hRule="exact"/>
        </w:trPr>
        <w:tc>
          <w:tcPr>
            <w:tcW w:w="7657" w:type="dxa"/>
            <w:gridSpan w:val="4"/>
            <w:tcBorders>
              <w:top w:val="single" w:color="auto" w:sz="6" w:space="0"/>
              <w:left w:val="single" w:color="auto" w:sz="12" w:space="0"/>
              <w:bottom w:val="single" w:color="auto" w:sz="12" w:space="0"/>
              <w:right w:val="single" w:color="auto" w:sz="6" w:space="0"/>
            </w:tcBorders>
          </w:tcPr>
          <w:p w14:paraId="2D8E3829">
            <w:pPr>
              <w:spacing w:line="240" w:lineRule="auto"/>
              <w:rPr>
                <w:szCs w:val="21"/>
              </w:rPr>
            </w:pPr>
            <w:r>
              <w:rPr>
                <w:szCs w:val="21"/>
              </w:rPr>
              <w:t>合  计:</w:t>
            </w:r>
          </w:p>
        </w:tc>
        <w:tc>
          <w:tcPr>
            <w:tcW w:w="765" w:type="dxa"/>
            <w:tcBorders>
              <w:top w:val="single" w:color="auto" w:sz="6" w:space="0"/>
              <w:left w:val="single" w:color="auto" w:sz="6" w:space="0"/>
              <w:bottom w:val="single" w:color="auto" w:sz="12" w:space="0"/>
              <w:right w:val="single" w:color="auto" w:sz="6" w:space="0"/>
            </w:tcBorders>
          </w:tcPr>
          <w:p w14:paraId="440D53A9">
            <w:pPr>
              <w:spacing w:line="240" w:lineRule="auto"/>
              <w:rPr>
                <w:szCs w:val="21"/>
              </w:rPr>
            </w:pPr>
            <w:r>
              <w:rPr>
                <w:rFonts w:hint="eastAsia"/>
                <w:szCs w:val="21"/>
              </w:rPr>
              <w:t>22</w:t>
            </w:r>
            <w:r>
              <w:rPr>
                <w:szCs w:val="21"/>
              </w:rPr>
              <w:t>6</w:t>
            </w:r>
          </w:p>
        </w:tc>
      </w:tr>
    </w:tbl>
    <w:p w14:paraId="56537CF7">
      <w:pPr>
        <w:adjustRightInd w:val="0"/>
        <w:snapToGrid w:val="0"/>
        <w:spacing w:line="560" w:lineRule="exact"/>
        <w:rPr>
          <w:rFonts w:eastAsia="仿宋_GB2312"/>
          <w:sz w:val="32"/>
          <w:szCs w:val="32"/>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A1A7CE0-C2B7-43B4-9469-934A994CF256}"/>
  </w:font>
  <w:font w:name="Arial">
    <w:panose1 w:val="020B0604020202020204"/>
    <w:charset w:val="01"/>
    <w:family w:val="swiss"/>
    <w:pitch w:val="default"/>
    <w:sig w:usb0="E0002EFF" w:usb1="C000785B" w:usb2="00000009" w:usb3="00000000" w:csb0="400001FF" w:csb1="FFFF0000"/>
    <w:embedRegular r:id="rId2" w:fontKey="{1828D5A3-5401-45C9-BD5E-8BC2344FDD86}"/>
  </w:font>
  <w:font w:name="黑体">
    <w:panose1 w:val="02010609060101010101"/>
    <w:charset w:val="86"/>
    <w:family w:val="auto"/>
    <w:pitch w:val="default"/>
    <w:sig w:usb0="800002BF" w:usb1="38CF7CFA" w:usb2="00000016" w:usb3="00000000" w:csb0="00040001" w:csb1="00000000"/>
    <w:embedRegular r:id="rId3" w:fontKey="{38FC7DA5-5C23-48BE-97AF-786FE3E3D01E}"/>
  </w:font>
  <w:font w:name="Courier New">
    <w:panose1 w:val="02070309020205020404"/>
    <w:charset w:val="01"/>
    <w:family w:val="modern"/>
    <w:pitch w:val="default"/>
    <w:sig w:usb0="E0002EFF" w:usb1="C0007843" w:usb2="00000009" w:usb3="00000000" w:csb0="400001FF" w:csb1="FFFF0000"/>
    <w:embedRegular r:id="rId4" w:fontKey="{7A721DCD-6B95-4994-B0D6-A29793C6D4CD}"/>
  </w:font>
  <w:font w:name="Symbol">
    <w:panose1 w:val="05050102010706020507"/>
    <w:charset w:val="02"/>
    <w:family w:val="roman"/>
    <w:pitch w:val="default"/>
    <w:sig w:usb0="00000000" w:usb1="00000000" w:usb2="00000000" w:usb3="00000000" w:csb0="80000000" w:csb1="00000000"/>
    <w:embedRegular r:id="rId5" w:fontKey="{0909971E-7DC6-47EA-A129-9AB3AA5E5950}"/>
  </w:font>
  <w:font w:name="Calibri">
    <w:panose1 w:val="020F0502020204030204"/>
    <w:charset w:val="00"/>
    <w:family w:val="swiss"/>
    <w:pitch w:val="default"/>
    <w:sig w:usb0="E4002EFF" w:usb1="C000247B" w:usb2="00000009" w:usb3="00000000" w:csb0="200001FF" w:csb1="00000000"/>
    <w:embedRegular r:id="rId6" w:fontKey="{AF26C73F-5A99-4588-8F6D-506E269FB009}"/>
  </w:font>
  <w:font w:name="Cambria">
    <w:panose1 w:val="02040503050406030204"/>
    <w:charset w:val="00"/>
    <w:family w:val="roman"/>
    <w:pitch w:val="default"/>
    <w:sig w:usb0="E00006FF" w:usb1="420024FF" w:usb2="02000000" w:usb3="00000000" w:csb0="2000019F" w:csb1="00000000"/>
    <w:embedRegular r:id="rId7" w:fontKey="{7A5610E5-49E4-4FE8-83A6-2A6456051B10}"/>
  </w:font>
  <w:font w:name="仿宋_GB2312">
    <w:panose1 w:val="02010609030101010101"/>
    <w:charset w:val="86"/>
    <w:family w:val="modern"/>
    <w:pitch w:val="default"/>
    <w:sig w:usb0="00000001" w:usb1="080E0000" w:usb2="00000000" w:usb3="00000000" w:csb0="00040000" w:csb1="00000000"/>
    <w:embedRegular r:id="rId8" w:fontKey="{E52914F3-A974-4A50-80F1-C2B0CAC62CEC}"/>
  </w:font>
  <w:font w:name="方正仿宋简体">
    <w:panose1 w:val="02000000000000000000"/>
    <w:charset w:val="86"/>
    <w:family w:val="auto"/>
    <w:pitch w:val="default"/>
    <w:sig w:usb0="A00002BF" w:usb1="184F6CFA" w:usb2="00000012" w:usb3="00000000" w:csb0="00040001" w:csb1="00000000"/>
  </w:font>
  <w:font w:name="Arial Unicode MS">
    <w:panose1 w:val="020B0604020202020204"/>
    <w:charset w:val="86"/>
    <w:family w:val="auto"/>
    <w:pitch w:val="default"/>
    <w:sig w:usb0="FFFFFFFF" w:usb1="E9FFFFFF" w:usb2="0000003F" w:usb3="00000000" w:csb0="603F01FF" w:csb1="FFFF0000"/>
    <w:embedRegular r:id="rId9" w:fontKey="{61EF98A1-BD2B-46C2-97F8-621CA56A39CB}"/>
  </w:font>
  <w:font w:name="方正仿宋_GB2312">
    <w:panose1 w:val="02000000000000000000"/>
    <w:charset w:val="86"/>
    <w:family w:val="auto"/>
    <w:pitch w:val="default"/>
    <w:sig w:usb0="A00002BF" w:usb1="184F6CFA" w:usb2="00000012" w:usb3="00000000" w:csb0="00040001" w:csb1="00000000"/>
    <w:embedRegular r:id="rId10" w:fontKey="{CF345F02-B1A8-4504-B23C-83A39F9C7355}"/>
  </w:font>
  <w:font w:name="仿宋">
    <w:panose1 w:val="02010609060101010101"/>
    <w:charset w:val="86"/>
    <w:family w:val="modern"/>
    <w:pitch w:val="default"/>
    <w:sig w:usb0="800002BF" w:usb1="38CF7CFA" w:usb2="00000016" w:usb3="00000000" w:csb0="00040001" w:csb1="00000000"/>
    <w:embedRegular r:id="rId11" w:fontKey="{FAAB9DCC-AD2F-4DEA-89B7-6C994C85C36B}"/>
  </w:font>
  <w:font w:name="方正黑体简体">
    <w:panose1 w:val="02000000000000000000"/>
    <w:charset w:val="86"/>
    <w:family w:val="auto"/>
    <w:pitch w:val="default"/>
    <w:sig w:usb0="A00002BF" w:usb1="184F6CFA" w:usb2="00000012" w:usb3="00000000" w:csb0="00040001" w:csb1="00000000"/>
    <w:embedRegular r:id="rId12" w:fontKey="{6C01AFDA-F2F0-45DB-A5B2-A839EDDC0F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6286816"/>
    </w:sdtPr>
    <w:sdtEndPr>
      <w:rPr>
        <w:sz w:val="21"/>
        <w:szCs w:val="21"/>
      </w:rPr>
    </w:sdtEndPr>
    <w:sdtContent>
      <w:p w14:paraId="62DDE644">
        <w:pPr>
          <w:pStyle w:val="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143</w:t>
        </w:r>
        <w:r>
          <w:rPr>
            <w:sz w:val="21"/>
            <w:szCs w:val="21"/>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3439D">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87658">
    <w:pPr>
      <w:ind w:left="420" w:hanging="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76B75">
    <w:pPr>
      <w:pStyle w:val="10"/>
      <w:ind w:left="360" w:hanging="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B63EA">
    <w:pPr>
      <w:pStyle w:val="10"/>
      <w:ind w:left="360" w:hanging="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JhNDgxZDBiYzczNDM2YjM1OGQzM2RlOTYzN2FiZTQifQ=="/>
    <w:docVar w:name="KSO_WPS_MARK_KEY" w:val="02f6fdb2-0872-4f38-94b1-cc8e195e9e73"/>
  </w:docVars>
  <w:rsids>
    <w:rsidRoot w:val="007C28FF"/>
    <w:rsid w:val="00006056"/>
    <w:rsid w:val="00007BBE"/>
    <w:rsid w:val="000165DC"/>
    <w:rsid w:val="00031E44"/>
    <w:rsid w:val="00033288"/>
    <w:rsid w:val="0004004D"/>
    <w:rsid w:val="00051BE3"/>
    <w:rsid w:val="00053F24"/>
    <w:rsid w:val="0006546D"/>
    <w:rsid w:val="00067E32"/>
    <w:rsid w:val="00083906"/>
    <w:rsid w:val="000847FC"/>
    <w:rsid w:val="00086170"/>
    <w:rsid w:val="000929AE"/>
    <w:rsid w:val="000A0FE4"/>
    <w:rsid w:val="000B2E39"/>
    <w:rsid w:val="000B70B3"/>
    <w:rsid w:val="000C632A"/>
    <w:rsid w:val="000F1229"/>
    <w:rsid w:val="000F2CC3"/>
    <w:rsid w:val="000F6066"/>
    <w:rsid w:val="000F6517"/>
    <w:rsid w:val="000F6B39"/>
    <w:rsid w:val="000F7732"/>
    <w:rsid w:val="001039E9"/>
    <w:rsid w:val="00104F03"/>
    <w:rsid w:val="0012430D"/>
    <w:rsid w:val="001435CC"/>
    <w:rsid w:val="00153E23"/>
    <w:rsid w:val="00154376"/>
    <w:rsid w:val="001553CE"/>
    <w:rsid w:val="001614FC"/>
    <w:rsid w:val="0016168D"/>
    <w:rsid w:val="00165962"/>
    <w:rsid w:val="0017168F"/>
    <w:rsid w:val="00172167"/>
    <w:rsid w:val="001806B8"/>
    <w:rsid w:val="001829B2"/>
    <w:rsid w:val="00185449"/>
    <w:rsid w:val="00192701"/>
    <w:rsid w:val="0019371C"/>
    <w:rsid w:val="001A5554"/>
    <w:rsid w:val="001A55E6"/>
    <w:rsid w:val="001B0C22"/>
    <w:rsid w:val="001B454D"/>
    <w:rsid w:val="001C4D6D"/>
    <w:rsid w:val="001D3908"/>
    <w:rsid w:val="001F032B"/>
    <w:rsid w:val="001F2C76"/>
    <w:rsid w:val="001F7F40"/>
    <w:rsid w:val="00212129"/>
    <w:rsid w:val="00213CE9"/>
    <w:rsid w:val="0021734C"/>
    <w:rsid w:val="002242B0"/>
    <w:rsid w:val="002247F4"/>
    <w:rsid w:val="00230FE9"/>
    <w:rsid w:val="0023223F"/>
    <w:rsid w:val="00244749"/>
    <w:rsid w:val="00247A49"/>
    <w:rsid w:val="00251808"/>
    <w:rsid w:val="002579D1"/>
    <w:rsid w:val="002745F8"/>
    <w:rsid w:val="00283031"/>
    <w:rsid w:val="00287D1F"/>
    <w:rsid w:val="0029509E"/>
    <w:rsid w:val="00296134"/>
    <w:rsid w:val="002A2925"/>
    <w:rsid w:val="002A7955"/>
    <w:rsid w:val="002B3198"/>
    <w:rsid w:val="002C6803"/>
    <w:rsid w:val="002C6E65"/>
    <w:rsid w:val="002D1FA7"/>
    <w:rsid w:val="002D3BA3"/>
    <w:rsid w:val="002E42A8"/>
    <w:rsid w:val="002E43DB"/>
    <w:rsid w:val="002F1911"/>
    <w:rsid w:val="002F74D2"/>
    <w:rsid w:val="0030543F"/>
    <w:rsid w:val="003063D6"/>
    <w:rsid w:val="00311F89"/>
    <w:rsid w:val="003125EF"/>
    <w:rsid w:val="00326352"/>
    <w:rsid w:val="00330554"/>
    <w:rsid w:val="00331B99"/>
    <w:rsid w:val="00336678"/>
    <w:rsid w:val="00340314"/>
    <w:rsid w:val="00343DF4"/>
    <w:rsid w:val="00347614"/>
    <w:rsid w:val="00356B8A"/>
    <w:rsid w:val="00363C7E"/>
    <w:rsid w:val="00370977"/>
    <w:rsid w:val="003775CE"/>
    <w:rsid w:val="00377C1C"/>
    <w:rsid w:val="00382214"/>
    <w:rsid w:val="00382EDD"/>
    <w:rsid w:val="00386D85"/>
    <w:rsid w:val="003A08CF"/>
    <w:rsid w:val="003A343A"/>
    <w:rsid w:val="003A466E"/>
    <w:rsid w:val="003A5D0E"/>
    <w:rsid w:val="003A60A7"/>
    <w:rsid w:val="003B0906"/>
    <w:rsid w:val="003B2A50"/>
    <w:rsid w:val="003B3345"/>
    <w:rsid w:val="003C1234"/>
    <w:rsid w:val="003C4124"/>
    <w:rsid w:val="003E6BFB"/>
    <w:rsid w:val="003F0278"/>
    <w:rsid w:val="003F1E9D"/>
    <w:rsid w:val="003F76A0"/>
    <w:rsid w:val="00401E30"/>
    <w:rsid w:val="004179C8"/>
    <w:rsid w:val="0042367A"/>
    <w:rsid w:val="00427A6E"/>
    <w:rsid w:val="004300EE"/>
    <w:rsid w:val="00442705"/>
    <w:rsid w:val="00444A55"/>
    <w:rsid w:val="0044700B"/>
    <w:rsid w:val="0044760A"/>
    <w:rsid w:val="00453528"/>
    <w:rsid w:val="00453C0E"/>
    <w:rsid w:val="00461A90"/>
    <w:rsid w:val="00470B8A"/>
    <w:rsid w:val="004820BD"/>
    <w:rsid w:val="00484A1D"/>
    <w:rsid w:val="00484D69"/>
    <w:rsid w:val="004929AC"/>
    <w:rsid w:val="00492EAC"/>
    <w:rsid w:val="004A6419"/>
    <w:rsid w:val="004B13A5"/>
    <w:rsid w:val="004B531C"/>
    <w:rsid w:val="004C2337"/>
    <w:rsid w:val="004D3106"/>
    <w:rsid w:val="004D55B5"/>
    <w:rsid w:val="004E11C6"/>
    <w:rsid w:val="004E36AB"/>
    <w:rsid w:val="004F503B"/>
    <w:rsid w:val="004F551A"/>
    <w:rsid w:val="005002DF"/>
    <w:rsid w:val="00500EBD"/>
    <w:rsid w:val="00504232"/>
    <w:rsid w:val="00510C66"/>
    <w:rsid w:val="00511F4B"/>
    <w:rsid w:val="0051372C"/>
    <w:rsid w:val="00521ED7"/>
    <w:rsid w:val="00526964"/>
    <w:rsid w:val="00532D5A"/>
    <w:rsid w:val="005354E4"/>
    <w:rsid w:val="00552729"/>
    <w:rsid w:val="005563CE"/>
    <w:rsid w:val="005663D6"/>
    <w:rsid w:val="00570701"/>
    <w:rsid w:val="0057414B"/>
    <w:rsid w:val="0057576E"/>
    <w:rsid w:val="0058367D"/>
    <w:rsid w:val="00586D66"/>
    <w:rsid w:val="0059269B"/>
    <w:rsid w:val="00595A36"/>
    <w:rsid w:val="005A0877"/>
    <w:rsid w:val="005A17EC"/>
    <w:rsid w:val="005A1A1D"/>
    <w:rsid w:val="005A485B"/>
    <w:rsid w:val="005A6276"/>
    <w:rsid w:val="005A6B7D"/>
    <w:rsid w:val="005B5550"/>
    <w:rsid w:val="005B65F0"/>
    <w:rsid w:val="005D2A14"/>
    <w:rsid w:val="005D36E9"/>
    <w:rsid w:val="005E0059"/>
    <w:rsid w:val="005E261D"/>
    <w:rsid w:val="005E49A6"/>
    <w:rsid w:val="005E6D32"/>
    <w:rsid w:val="005F0DC8"/>
    <w:rsid w:val="00600FA4"/>
    <w:rsid w:val="00605720"/>
    <w:rsid w:val="00611BDC"/>
    <w:rsid w:val="006177DC"/>
    <w:rsid w:val="00620A04"/>
    <w:rsid w:val="00623BD2"/>
    <w:rsid w:val="00626265"/>
    <w:rsid w:val="006269F8"/>
    <w:rsid w:val="0062777F"/>
    <w:rsid w:val="00642EBC"/>
    <w:rsid w:val="00643B2E"/>
    <w:rsid w:val="00646AD1"/>
    <w:rsid w:val="006546AC"/>
    <w:rsid w:val="00670053"/>
    <w:rsid w:val="00673E71"/>
    <w:rsid w:val="006823DB"/>
    <w:rsid w:val="00692309"/>
    <w:rsid w:val="00694DDB"/>
    <w:rsid w:val="006A1E31"/>
    <w:rsid w:val="006A390F"/>
    <w:rsid w:val="006A580A"/>
    <w:rsid w:val="006B34CD"/>
    <w:rsid w:val="006C528F"/>
    <w:rsid w:val="006C691E"/>
    <w:rsid w:val="006C6CA7"/>
    <w:rsid w:val="006D59C3"/>
    <w:rsid w:val="006E4386"/>
    <w:rsid w:val="006E5310"/>
    <w:rsid w:val="006F0C81"/>
    <w:rsid w:val="006F5EED"/>
    <w:rsid w:val="006F7780"/>
    <w:rsid w:val="007116D0"/>
    <w:rsid w:val="00725CE5"/>
    <w:rsid w:val="0073019F"/>
    <w:rsid w:val="00734046"/>
    <w:rsid w:val="00735560"/>
    <w:rsid w:val="00736027"/>
    <w:rsid w:val="007370E0"/>
    <w:rsid w:val="007466B8"/>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7CAA"/>
    <w:rsid w:val="007C28FF"/>
    <w:rsid w:val="007C5A7E"/>
    <w:rsid w:val="007C5AC5"/>
    <w:rsid w:val="007D26E7"/>
    <w:rsid w:val="007D58D1"/>
    <w:rsid w:val="007D68D7"/>
    <w:rsid w:val="007E17CF"/>
    <w:rsid w:val="007F026B"/>
    <w:rsid w:val="007F5A15"/>
    <w:rsid w:val="0080157D"/>
    <w:rsid w:val="00805021"/>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6BC"/>
    <w:rsid w:val="00872CCF"/>
    <w:rsid w:val="00890A44"/>
    <w:rsid w:val="00891DDA"/>
    <w:rsid w:val="00894724"/>
    <w:rsid w:val="008A09D1"/>
    <w:rsid w:val="008A37FE"/>
    <w:rsid w:val="008B5F0B"/>
    <w:rsid w:val="008B78AD"/>
    <w:rsid w:val="008C37F3"/>
    <w:rsid w:val="008C5BE5"/>
    <w:rsid w:val="008C7FED"/>
    <w:rsid w:val="0090595F"/>
    <w:rsid w:val="0090670A"/>
    <w:rsid w:val="00906781"/>
    <w:rsid w:val="00911330"/>
    <w:rsid w:val="009211BA"/>
    <w:rsid w:val="00922838"/>
    <w:rsid w:val="009339E2"/>
    <w:rsid w:val="00942CCA"/>
    <w:rsid w:val="00945930"/>
    <w:rsid w:val="00947118"/>
    <w:rsid w:val="009529F5"/>
    <w:rsid w:val="009572C9"/>
    <w:rsid w:val="009607CA"/>
    <w:rsid w:val="0096088C"/>
    <w:rsid w:val="009728CB"/>
    <w:rsid w:val="00972D8B"/>
    <w:rsid w:val="00975273"/>
    <w:rsid w:val="009764E0"/>
    <w:rsid w:val="0098148B"/>
    <w:rsid w:val="00983F16"/>
    <w:rsid w:val="00984A71"/>
    <w:rsid w:val="00985B39"/>
    <w:rsid w:val="009866EC"/>
    <w:rsid w:val="0099382A"/>
    <w:rsid w:val="00994C12"/>
    <w:rsid w:val="009A3A67"/>
    <w:rsid w:val="009D1070"/>
    <w:rsid w:val="009D2804"/>
    <w:rsid w:val="009D3350"/>
    <w:rsid w:val="009D66DD"/>
    <w:rsid w:val="009F0766"/>
    <w:rsid w:val="009F19B6"/>
    <w:rsid w:val="009F4B40"/>
    <w:rsid w:val="00A03853"/>
    <w:rsid w:val="00A11F99"/>
    <w:rsid w:val="00A156D9"/>
    <w:rsid w:val="00A243BC"/>
    <w:rsid w:val="00A276C9"/>
    <w:rsid w:val="00A27943"/>
    <w:rsid w:val="00A31D43"/>
    <w:rsid w:val="00A36061"/>
    <w:rsid w:val="00A402C6"/>
    <w:rsid w:val="00A5008B"/>
    <w:rsid w:val="00A65CD4"/>
    <w:rsid w:val="00A70F4C"/>
    <w:rsid w:val="00A736E3"/>
    <w:rsid w:val="00AA6478"/>
    <w:rsid w:val="00AA6A67"/>
    <w:rsid w:val="00AB2670"/>
    <w:rsid w:val="00AB2B0F"/>
    <w:rsid w:val="00AC096E"/>
    <w:rsid w:val="00AC5736"/>
    <w:rsid w:val="00AC69B7"/>
    <w:rsid w:val="00AC7691"/>
    <w:rsid w:val="00AD689E"/>
    <w:rsid w:val="00AD7D6F"/>
    <w:rsid w:val="00AE5A16"/>
    <w:rsid w:val="00AF0A71"/>
    <w:rsid w:val="00AF2833"/>
    <w:rsid w:val="00AF2A0E"/>
    <w:rsid w:val="00B03355"/>
    <w:rsid w:val="00B0469B"/>
    <w:rsid w:val="00B127DF"/>
    <w:rsid w:val="00B14566"/>
    <w:rsid w:val="00B237EB"/>
    <w:rsid w:val="00B24D94"/>
    <w:rsid w:val="00B268E1"/>
    <w:rsid w:val="00B269D7"/>
    <w:rsid w:val="00B303C2"/>
    <w:rsid w:val="00B362C3"/>
    <w:rsid w:val="00B43F7F"/>
    <w:rsid w:val="00B63A00"/>
    <w:rsid w:val="00B651CC"/>
    <w:rsid w:val="00B73F27"/>
    <w:rsid w:val="00B74C14"/>
    <w:rsid w:val="00B92BAD"/>
    <w:rsid w:val="00B9520A"/>
    <w:rsid w:val="00B979F5"/>
    <w:rsid w:val="00BA07A7"/>
    <w:rsid w:val="00BA3056"/>
    <w:rsid w:val="00BB47F3"/>
    <w:rsid w:val="00BC0513"/>
    <w:rsid w:val="00BD0ED0"/>
    <w:rsid w:val="00BE7259"/>
    <w:rsid w:val="00C10571"/>
    <w:rsid w:val="00C14B11"/>
    <w:rsid w:val="00C24E7B"/>
    <w:rsid w:val="00C36E42"/>
    <w:rsid w:val="00C51DAF"/>
    <w:rsid w:val="00C52425"/>
    <w:rsid w:val="00C555AC"/>
    <w:rsid w:val="00C56CDE"/>
    <w:rsid w:val="00C5764E"/>
    <w:rsid w:val="00C64274"/>
    <w:rsid w:val="00C65487"/>
    <w:rsid w:val="00C65987"/>
    <w:rsid w:val="00C74F01"/>
    <w:rsid w:val="00C83D98"/>
    <w:rsid w:val="00C87EB0"/>
    <w:rsid w:val="00C9140D"/>
    <w:rsid w:val="00C92139"/>
    <w:rsid w:val="00C94906"/>
    <w:rsid w:val="00CA0830"/>
    <w:rsid w:val="00CA08E7"/>
    <w:rsid w:val="00CA0BB3"/>
    <w:rsid w:val="00CA21F2"/>
    <w:rsid w:val="00CB7617"/>
    <w:rsid w:val="00CC2CF9"/>
    <w:rsid w:val="00CC55CE"/>
    <w:rsid w:val="00CD3458"/>
    <w:rsid w:val="00CE7048"/>
    <w:rsid w:val="00CF0ED4"/>
    <w:rsid w:val="00CF10A0"/>
    <w:rsid w:val="00D043A5"/>
    <w:rsid w:val="00D06294"/>
    <w:rsid w:val="00D16C9A"/>
    <w:rsid w:val="00D170C8"/>
    <w:rsid w:val="00D20CA5"/>
    <w:rsid w:val="00D22F7F"/>
    <w:rsid w:val="00D23039"/>
    <w:rsid w:val="00D27104"/>
    <w:rsid w:val="00D349E7"/>
    <w:rsid w:val="00D35DA8"/>
    <w:rsid w:val="00D41A51"/>
    <w:rsid w:val="00D4719D"/>
    <w:rsid w:val="00D47863"/>
    <w:rsid w:val="00D51301"/>
    <w:rsid w:val="00D619CB"/>
    <w:rsid w:val="00D66E92"/>
    <w:rsid w:val="00D75966"/>
    <w:rsid w:val="00D76DA8"/>
    <w:rsid w:val="00D76EB9"/>
    <w:rsid w:val="00D97840"/>
    <w:rsid w:val="00DC0F80"/>
    <w:rsid w:val="00DC1C67"/>
    <w:rsid w:val="00DD7D0E"/>
    <w:rsid w:val="00DF02D4"/>
    <w:rsid w:val="00DF2AD8"/>
    <w:rsid w:val="00DF7FCB"/>
    <w:rsid w:val="00E066BD"/>
    <w:rsid w:val="00E1736F"/>
    <w:rsid w:val="00E17FF5"/>
    <w:rsid w:val="00E26009"/>
    <w:rsid w:val="00E3162A"/>
    <w:rsid w:val="00E37C85"/>
    <w:rsid w:val="00E407C9"/>
    <w:rsid w:val="00E46BD6"/>
    <w:rsid w:val="00E515E0"/>
    <w:rsid w:val="00E5280E"/>
    <w:rsid w:val="00E5401A"/>
    <w:rsid w:val="00E55EDB"/>
    <w:rsid w:val="00E56172"/>
    <w:rsid w:val="00E60002"/>
    <w:rsid w:val="00E63C4E"/>
    <w:rsid w:val="00E730DF"/>
    <w:rsid w:val="00E74D76"/>
    <w:rsid w:val="00E754A7"/>
    <w:rsid w:val="00E81909"/>
    <w:rsid w:val="00E83D4E"/>
    <w:rsid w:val="00E84A18"/>
    <w:rsid w:val="00E84C25"/>
    <w:rsid w:val="00E84FF9"/>
    <w:rsid w:val="00E93BC2"/>
    <w:rsid w:val="00EA7020"/>
    <w:rsid w:val="00EB2FD4"/>
    <w:rsid w:val="00EB7300"/>
    <w:rsid w:val="00EC5664"/>
    <w:rsid w:val="00EE0CE1"/>
    <w:rsid w:val="00EE1078"/>
    <w:rsid w:val="00EF79B0"/>
    <w:rsid w:val="00F024DB"/>
    <w:rsid w:val="00F143B1"/>
    <w:rsid w:val="00F1451E"/>
    <w:rsid w:val="00F23CF0"/>
    <w:rsid w:val="00F3777D"/>
    <w:rsid w:val="00F45942"/>
    <w:rsid w:val="00F45AE1"/>
    <w:rsid w:val="00F5192E"/>
    <w:rsid w:val="00F53F01"/>
    <w:rsid w:val="00F57D63"/>
    <w:rsid w:val="00F640B5"/>
    <w:rsid w:val="00F67176"/>
    <w:rsid w:val="00F711B9"/>
    <w:rsid w:val="00F765BA"/>
    <w:rsid w:val="00F81F40"/>
    <w:rsid w:val="00F841A5"/>
    <w:rsid w:val="00F90DFB"/>
    <w:rsid w:val="00F91089"/>
    <w:rsid w:val="00F94DE6"/>
    <w:rsid w:val="00FA33E4"/>
    <w:rsid w:val="00FB0D99"/>
    <w:rsid w:val="00FB237A"/>
    <w:rsid w:val="00FB27A0"/>
    <w:rsid w:val="00FB523A"/>
    <w:rsid w:val="00FB5471"/>
    <w:rsid w:val="00FB606D"/>
    <w:rsid w:val="00FC1058"/>
    <w:rsid w:val="00FC18D8"/>
    <w:rsid w:val="00FC7BB3"/>
    <w:rsid w:val="00FC7D4F"/>
    <w:rsid w:val="00FD0CCE"/>
    <w:rsid w:val="00FE48C9"/>
    <w:rsid w:val="00FE69B2"/>
    <w:rsid w:val="00FF48B9"/>
    <w:rsid w:val="00FF49EB"/>
    <w:rsid w:val="01680748"/>
    <w:rsid w:val="01A3073B"/>
    <w:rsid w:val="01FB06A5"/>
    <w:rsid w:val="02883661"/>
    <w:rsid w:val="033A18A1"/>
    <w:rsid w:val="04A9605B"/>
    <w:rsid w:val="05C53B4B"/>
    <w:rsid w:val="06011767"/>
    <w:rsid w:val="06264A4A"/>
    <w:rsid w:val="063B5B78"/>
    <w:rsid w:val="078A03D3"/>
    <w:rsid w:val="07CA76CE"/>
    <w:rsid w:val="07FC0BA5"/>
    <w:rsid w:val="085B0DBB"/>
    <w:rsid w:val="08E33793"/>
    <w:rsid w:val="09434D9D"/>
    <w:rsid w:val="09B554AF"/>
    <w:rsid w:val="09F92B1D"/>
    <w:rsid w:val="0A694752"/>
    <w:rsid w:val="0AD10D6A"/>
    <w:rsid w:val="0AF12517"/>
    <w:rsid w:val="0B5E36D3"/>
    <w:rsid w:val="0BB30987"/>
    <w:rsid w:val="0C76193E"/>
    <w:rsid w:val="0DCA1AB9"/>
    <w:rsid w:val="0DF07EE3"/>
    <w:rsid w:val="0E643518"/>
    <w:rsid w:val="0F102792"/>
    <w:rsid w:val="0F8B118C"/>
    <w:rsid w:val="0FAE6C29"/>
    <w:rsid w:val="10344DD0"/>
    <w:rsid w:val="10633DCE"/>
    <w:rsid w:val="107B4D5D"/>
    <w:rsid w:val="10A6675D"/>
    <w:rsid w:val="10DD4EBB"/>
    <w:rsid w:val="12AE0195"/>
    <w:rsid w:val="130A103D"/>
    <w:rsid w:val="13985B17"/>
    <w:rsid w:val="140B59D6"/>
    <w:rsid w:val="14CB5B87"/>
    <w:rsid w:val="152F6116"/>
    <w:rsid w:val="155C3CBE"/>
    <w:rsid w:val="15F93F79"/>
    <w:rsid w:val="162B62D2"/>
    <w:rsid w:val="16693DC2"/>
    <w:rsid w:val="16AD7FB9"/>
    <w:rsid w:val="17EDC74B"/>
    <w:rsid w:val="183F1493"/>
    <w:rsid w:val="18FC4FBA"/>
    <w:rsid w:val="190768CF"/>
    <w:rsid w:val="19AF3334"/>
    <w:rsid w:val="19F5075E"/>
    <w:rsid w:val="1AAB4A91"/>
    <w:rsid w:val="1B0E4ACA"/>
    <w:rsid w:val="1B8B48E8"/>
    <w:rsid w:val="1C0F6CA1"/>
    <w:rsid w:val="1C3E3265"/>
    <w:rsid w:val="1C8659B7"/>
    <w:rsid w:val="1C9808FD"/>
    <w:rsid w:val="1D2422E4"/>
    <w:rsid w:val="1D934311"/>
    <w:rsid w:val="1DB6582E"/>
    <w:rsid w:val="1F096FB1"/>
    <w:rsid w:val="1F533349"/>
    <w:rsid w:val="1F71BC3C"/>
    <w:rsid w:val="20BD1F44"/>
    <w:rsid w:val="214135A7"/>
    <w:rsid w:val="21BF009D"/>
    <w:rsid w:val="22873147"/>
    <w:rsid w:val="229233C9"/>
    <w:rsid w:val="22B61C24"/>
    <w:rsid w:val="22B90D41"/>
    <w:rsid w:val="230236C8"/>
    <w:rsid w:val="23737E65"/>
    <w:rsid w:val="23DA218B"/>
    <w:rsid w:val="252F365E"/>
    <w:rsid w:val="25FE291E"/>
    <w:rsid w:val="263611B5"/>
    <w:rsid w:val="27143262"/>
    <w:rsid w:val="288F7729"/>
    <w:rsid w:val="29F90ABD"/>
    <w:rsid w:val="29FC1D70"/>
    <w:rsid w:val="2A0D1A99"/>
    <w:rsid w:val="2A213392"/>
    <w:rsid w:val="2A5700B2"/>
    <w:rsid w:val="2AC96FF6"/>
    <w:rsid w:val="2ACA4E23"/>
    <w:rsid w:val="2B002F9A"/>
    <w:rsid w:val="2B5E7BEB"/>
    <w:rsid w:val="2C7E32BC"/>
    <w:rsid w:val="2C9F3729"/>
    <w:rsid w:val="2CDA604D"/>
    <w:rsid w:val="2D441354"/>
    <w:rsid w:val="2D5304A2"/>
    <w:rsid w:val="2D68079A"/>
    <w:rsid w:val="2DF700D9"/>
    <w:rsid w:val="2E4550FC"/>
    <w:rsid w:val="2E514683"/>
    <w:rsid w:val="2EBACCEC"/>
    <w:rsid w:val="2EBD433B"/>
    <w:rsid w:val="2F162952"/>
    <w:rsid w:val="2F276578"/>
    <w:rsid w:val="2FF62EC1"/>
    <w:rsid w:val="2FFC7DCE"/>
    <w:rsid w:val="31EF9A6B"/>
    <w:rsid w:val="32C1444F"/>
    <w:rsid w:val="32D0288E"/>
    <w:rsid w:val="33072028"/>
    <w:rsid w:val="34671B17"/>
    <w:rsid w:val="34E17CAB"/>
    <w:rsid w:val="366259E5"/>
    <w:rsid w:val="368F078E"/>
    <w:rsid w:val="374F01EB"/>
    <w:rsid w:val="376213FE"/>
    <w:rsid w:val="376D011C"/>
    <w:rsid w:val="376F7781"/>
    <w:rsid w:val="38891DB8"/>
    <w:rsid w:val="38A16843"/>
    <w:rsid w:val="390C65EA"/>
    <w:rsid w:val="398E6CC1"/>
    <w:rsid w:val="398F5D75"/>
    <w:rsid w:val="399125CB"/>
    <w:rsid w:val="39A91FD3"/>
    <w:rsid w:val="3ABA7D5B"/>
    <w:rsid w:val="3BFE5195"/>
    <w:rsid w:val="3C4F4F38"/>
    <w:rsid w:val="3C9F6A2C"/>
    <w:rsid w:val="3CA5540E"/>
    <w:rsid w:val="3CE416AE"/>
    <w:rsid w:val="3D4E0105"/>
    <w:rsid w:val="3D6764E5"/>
    <w:rsid w:val="3E82529D"/>
    <w:rsid w:val="3EAD0C0C"/>
    <w:rsid w:val="3F7FF403"/>
    <w:rsid w:val="41F15E70"/>
    <w:rsid w:val="42BF5395"/>
    <w:rsid w:val="436C4015"/>
    <w:rsid w:val="43772DF4"/>
    <w:rsid w:val="43C35D22"/>
    <w:rsid w:val="43D025F5"/>
    <w:rsid w:val="441A20EA"/>
    <w:rsid w:val="443469F5"/>
    <w:rsid w:val="44FD328B"/>
    <w:rsid w:val="462F56C6"/>
    <w:rsid w:val="466C06C8"/>
    <w:rsid w:val="472E36B4"/>
    <w:rsid w:val="47F15329"/>
    <w:rsid w:val="48B76D8F"/>
    <w:rsid w:val="49706721"/>
    <w:rsid w:val="49DD2383"/>
    <w:rsid w:val="4C1F3EFD"/>
    <w:rsid w:val="4C2061DD"/>
    <w:rsid w:val="4CA639F1"/>
    <w:rsid w:val="4CE34B9C"/>
    <w:rsid w:val="4D38031C"/>
    <w:rsid w:val="4E962110"/>
    <w:rsid w:val="4EAD471B"/>
    <w:rsid w:val="4F9F6781"/>
    <w:rsid w:val="4FF457BF"/>
    <w:rsid w:val="4FFE904A"/>
    <w:rsid w:val="50EF43CF"/>
    <w:rsid w:val="535E0F14"/>
    <w:rsid w:val="53D31D87"/>
    <w:rsid w:val="540D20E2"/>
    <w:rsid w:val="548C3B38"/>
    <w:rsid w:val="557E53F1"/>
    <w:rsid w:val="56226E9B"/>
    <w:rsid w:val="56607C45"/>
    <w:rsid w:val="56D714C5"/>
    <w:rsid w:val="57E61A10"/>
    <w:rsid w:val="57FF4FBB"/>
    <w:rsid w:val="58D36AC3"/>
    <w:rsid w:val="58DE7204"/>
    <w:rsid w:val="594E097A"/>
    <w:rsid w:val="598310D4"/>
    <w:rsid w:val="59F65C7E"/>
    <w:rsid w:val="5ACC4005"/>
    <w:rsid w:val="5B64133E"/>
    <w:rsid w:val="5B9A4CA7"/>
    <w:rsid w:val="5BBDC06D"/>
    <w:rsid w:val="5BE661BF"/>
    <w:rsid w:val="5CB33954"/>
    <w:rsid w:val="5D7A3760"/>
    <w:rsid w:val="5E7F6F9E"/>
    <w:rsid w:val="5F2D2C93"/>
    <w:rsid w:val="5FBF5A6B"/>
    <w:rsid w:val="5FC23025"/>
    <w:rsid w:val="6098413C"/>
    <w:rsid w:val="60E63616"/>
    <w:rsid w:val="60FB2C8B"/>
    <w:rsid w:val="61907CF7"/>
    <w:rsid w:val="61C548D6"/>
    <w:rsid w:val="63123A52"/>
    <w:rsid w:val="631877B6"/>
    <w:rsid w:val="63441F36"/>
    <w:rsid w:val="641941AB"/>
    <w:rsid w:val="649E0E16"/>
    <w:rsid w:val="64C701D0"/>
    <w:rsid w:val="65501489"/>
    <w:rsid w:val="65683634"/>
    <w:rsid w:val="657E0B48"/>
    <w:rsid w:val="66264D37"/>
    <w:rsid w:val="662B15AE"/>
    <w:rsid w:val="66673170"/>
    <w:rsid w:val="67FA3CBD"/>
    <w:rsid w:val="67FF5FF1"/>
    <w:rsid w:val="686F3A8E"/>
    <w:rsid w:val="688D6DBF"/>
    <w:rsid w:val="691B00F9"/>
    <w:rsid w:val="69BE70C4"/>
    <w:rsid w:val="69F831FA"/>
    <w:rsid w:val="6A2A1384"/>
    <w:rsid w:val="6AFEE48C"/>
    <w:rsid w:val="6B5E0AAF"/>
    <w:rsid w:val="6BD31768"/>
    <w:rsid w:val="6BD44496"/>
    <w:rsid w:val="6D103417"/>
    <w:rsid w:val="6D342528"/>
    <w:rsid w:val="6D73A7A8"/>
    <w:rsid w:val="6DED540B"/>
    <w:rsid w:val="6E0F6A32"/>
    <w:rsid w:val="6E5B39D2"/>
    <w:rsid w:val="6EC205F2"/>
    <w:rsid w:val="6F5109C8"/>
    <w:rsid w:val="6F6C1313"/>
    <w:rsid w:val="6F7DA75B"/>
    <w:rsid w:val="717383BB"/>
    <w:rsid w:val="71EA46D2"/>
    <w:rsid w:val="72556080"/>
    <w:rsid w:val="72A204A0"/>
    <w:rsid w:val="72FB5971"/>
    <w:rsid w:val="731F3CDF"/>
    <w:rsid w:val="73257E81"/>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7FD9F4D"/>
    <w:rsid w:val="785A2E96"/>
    <w:rsid w:val="797F503F"/>
    <w:rsid w:val="799A7C87"/>
    <w:rsid w:val="79F7D577"/>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F2FE11E"/>
    <w:rsid w:val="7F5F1F28"/>
    <w:rsid w:val="7F6E0A32"/>
    <w:rsid w:val="7F7BA24F"/>
    <w:rsid w:val="7FAB99E8"/>
    <w:rsid w:val="7FB746D5"/>
    <w:rsid w:val="7FDE543C"/>
    <w:rsid w:val="9E571B65"/>
    <w:rsid w:val="9FDFE35B"/>
    <w:rsid w:val="AFFAF8E5"/>
    <w:rsid w:val="B8F7F9A2"/>
    <w:rsid w:val="B93D386D"/>
    <w:rsid w:val="BBCF059D"/>
    <w:rsid w:val="BFE91347"/>
    <w:rsid w:val="CBD7293E"/>
    <w:rsid w:val="CBDF8A08"/>
    <w:rsid w:val="D9EED841"/>
    <w:rsid w:val="D9F93289"/>
    <w:rsid w:val="DB7451F2"/>
    <w:rsid w:val="DC9FCBEB"/>
    <w:rsid w:val="E9D78A37"/>
    <w:rsid w:val="EBCD529C"/>
    <w:rsid w:val="EBDFC38F"/>
    <w:rsid w:val="EBE7CAE1"/>
    <w:rsid w:val="EDF73800"/>
    <w:rsid w:val="EE7BAC7D"/>
    <w:rsid w:val="EEFE43D6"/>
    <w:rsid w:val="F2EFD742"/>
    <w:rsid w:val="F3DECE3F"/>
    <w:rsid w:val="F77B9D5A"/>
    <w:rsid w:val="F78CA074"/>
    <w:rsid w:val="F7DED60E"/>
    <w:rsid w:val="F7F44F7D"/>
    <w:rsid w:val="F86E6AB1"/>
    <w:rsid w:val="F9EAE13C"/>
    <w:rsid w:val="FAFD401C"/>
    <w:rsid w:val="FB6B9550"/>
    <w:rsid w:val="FB735437"/>
    <w:rsid w:val="FBD7C49F"/>
    <w:rsid w:val="FBFF0F16"/>
    <w:rsid w:val="FD7E2DDA"/>
    <w:rsid w:val="FDEF3302"/>
    <w:rsid w:val="FDF7D648"/>
    <w:rsid w:val="FE4DE1B6"/>
    <w:rsid w:val="FE5391AB"/>
    <w:rsid w:val="FE6F3E88"/>
    <w:rsid w:val="FFADF011"/>
    <w:rsid w:val="FFBFF4D1"/>
    <w:rsid w:val="FFE15F73"/>
    <w:rsid w:val="FFEE5329"/>
    <w:rsid w:val="FFEFC35C"/>
    <w:rsid w:val="FFF26CD7"/>
    <w:rsid w:val="FFFB041A"/>
    <w:rsid w:val="FFFDA71A"/>
    <w:rsid w:val="FFFF6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jc w:val="both"/>
    </w:pPr>
    <w:rPr>
      <w:rFonts w:ascii="Times New Roman" w:hAnsi="Times New Roman" w:eastAsia="宋体" w:cs="Times New Roman"/>
      <w:kern w:val="2"/>
      <w:sz w:val="21"/>
      <w:lang w:val="en-US" w:eastAsia="zh-CN" w:bidi="ar-SA"/>
    </w:rPr>
  </w:style>
  <w:style w:type="paragraph" w:styleId="2">
    <w:name w:val="heading 1"/>
    <w:basedOn w:val="1"/>
    <w:next w:val="1"/>
    <w:link w:val="23"/>
    <w:qFormat/>
    <w:uiPriority w:val="9"/>
    <w:pPr>
      <w:keepNext/>
      <w:keepLines/>
      <w:widowControl/>
      <w:spacing w:before="340" w:after="330" w:line="578" w:lineRule="auto"/>
      <w:jc w:val="left"/>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9"/>
    <w:semiHidden/>
    <w:unhideWhenUsed/>
    <w:qFormat/>
    <w:uiPriority w:val="99"/>
    <w:pPr>
      <w:widowControl/>
      <w:jc w:val="left"/>
    </w:p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Plain Text"/>
    <w:basedOn w:val="1"/>
    <w:link w:val="30"/>
    <w:qFormat/>
    <w:uiPriority w:val="0"/>
    <w:pPr>
      <w:spacing w:line="360" w:lineRule="auto"/>
      <w:ind w:firstLine="480" w:firstLineChars="200"/>
    </w:pPr>
    <w:rPr>
      <w:rFonts w:ascii="仿宋_GB2312"/>
      <w:sz w:val="24"/>
    </w:rPr>
  </w:style>
  <w:style w:type="paragraph" w:styleId="7">
    <w:name w:val="Body Text Indent 2"/>
    <w:basedOn w:val="1"/>
    <w:link w:val="33"/>
    <w:qFormat/>
    <w:uiPriority w:val="0"/>
    <w:pPr>
      <w:widowControl/>
      <w:ind w:firstLine="562" w:firstLineChars="200"/>
      <w:jc w:val="left"/>
    </w:pPr>
    <w:rPr>
      <w:b/>
      <w:bCs/>
      <w:sz w:val="28"/>
      <w:szCs w:val="24"/>
    </w:rPr>
  </w:style>
  <w:style w:type="paragraph" w:styleId="8">
    <w:name w:val="Balloon Text"/>
    <w:basedOn w:val="1"/>
    <w:link w:val="28"/>
    <w:semiHidden/>
    <w:unhideWhenUsed/>
    <w:qFormat/>
    <w:uiPriority w:val="99"/>
    <w:rPr>
      <w:sz w:val="18"/>
      <w:szCs w:val="18"/>
    </w:rPr>
  </w:style>
  <w:style w:type="paragraph" w:styleId="9">
    <w:name w:val="footer"/>
    <w:basedOn w:val="1"/>
    <w:link w:val="26"/>
    <w:unhideWhenUsed/>
    <w:qFormat/>
    <w:uiPriority w:val="99"/>
    <w:pPr>
      <w:tabs>
        <w:tab w:val="center" w:pos="4153"/>
        <w:tab w:val="right" w:pos="8306"/>
      </w:tabs>
      <w:snapToGrid w:val="0"/>
      <w:jc w:val="left"/>
    </w:pPr>
    <w:rPr>
      <w:sz w:val="18"/>
      <w:szCs w:val="18"/>
    </w:rPr>
  </w:style>
  <w:style w:type="paragraph" w:styleId="10">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720"/>
      </w:tabs>
      <w:spacing w:after="100" w:afterAutospacing="1" w:line="360" w:lineRule="auto"/>
      <w:jc w:val="left"/>
    </w:pPr>
    <w:rPr>
      <w:rFonts w:ascii="仿宋_GB2312" w:hAnsi="宋体" w:eastAsia="仿宋_GB2312"/>
      <w:b/>
      <w:bCs/>
      <w:kern w:val="0"/>
      <w:sz w:val="32"/>
      <w:szCs w:val="32"/>
    </w:r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0"/>
    <w:pPr>
      <w:widowControl/>
      <w:spacing w:before="100" w:beforeAutospacing="1" w:after="100" w:afterAutospacing="1"/>
      <w:jc w:val="left"/>
    </w:pPr>
    <w:rPr>
      <w:rFonts w:ascii="宋体" w:hAnsi="宋体" w:cs="宋体"/>
      <w:kern w:val="0"/>
      <w:sz w:val="24"/>
      <w:szCs w:val="24"/>
    </w:rPr>
  </w:style>
  <w:style w:type="paragraph" w:styleId="14">
    <w:name w:val="Title"/>
    <w:basedOn w:val="1"/>
    <w:next w:val="1"/>
    <w:link w:val="34"/>
    <w:qFormat/>
    <w:uiPriority w:val="0"/>
    <w:pPr>
      <w:widowControl/>
      <w:spacing w:before="240" w:after="60"/>
      <w:jc w:val="center"/>
      <w:outlineLvl w:val="0"/>
    </w:pPr>
    <w:rPr>
      <w:rFonts w:ascii="Cambria" w:hAnsi="Cambria" w:eastAsia="黑体"/>
      <w:b/>
      <w:bCs/>
      <w:sz w:val="52"/>
      <w:szCs w:val="32"/>
    </w:rPr>
  </w:style>
  <w:style w:type="paragraph" w:styleId="15">
    <w:name w:val="annotation subject"/>
    <w:basedOn w:val="4"/>
    <w:next w:val="4"/>
    <w:link w:val="35"/>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bCs/>
    </w:rPr>
  </w:style>
  <w:style w:type="character" w:styleId="20">
    <w:name w:val="page number"/>
    <w:basedOn w:val="18"/>
    <w:qFormat/>
    <w:uiPriority w:val="0"/>
  </w:style>
  <w:style w:type="character" w:styleId="21">
    <w:name w:val="Hyperlink"/>
    <w:qFormat/>
    <w:uiPriority w:val="99"/>
    <w:rPr>
      <w:color w:val="0000FF"/>
      <w:u w:val="single"/>
    </w:rPr>
  </w:style>
  <w:style w:type="character" w:styleId="22">
    <w:name w:val="annotation reference"/>
    <w:basedOn w:val="18"/>
    <w:semiHidden/>
    <w:unhideWhenUsed/>
    <w:qFormat/>
    <w:uiPriority w:val="99"/>
    <w:rPr>
      <w:sz w:val="21"/>
      <w:szCs w:val="21"/>
    </w:rPr>
  </w:style>
  <w:style w:type="character" w:customStyle="1" w:styleId="23">
    <w:name w:val="标题 1 字符"/>
    <w:basedOn w:val="18"/>
    <w:link w:val="2"/>
    <w:qFormat/>
    <w:uiPriority w:val="9"/>
    <w:rPr>
      <w:rFonts w:ascii="Times New Roman" w:hAnsi="Times New Roman" w:eastAsia="宋体" w:cs="Times New Roman"/>
      <w:b/>
      <w:bCs/>
      <w:kern w:val="44"/>
      <w:sz w:val="44"/>
      <w:szCs w:val="44"/>
    </w:rPr>
  </w:style>
  <w:style w:type="character" w:customStyle="1" w:styleId="24">
    <w:name w:val="标题 2 字符"/>
    <w:basedOn w:val="18"/>
    <w:link w:val="3"/>
    <w:qFormat/>
    <w:uiPriority w:val="9"/>
    <w:rPr>
      <w:rFonts w:asciiTheme="majorHAnsi" w:hAnsiTheme="majorHAnsi" w:eastAsiaTheme="majorEastAsia" w:cstheme="majorBidi"/>
      <w:b/>
      <w:bCs/>
      <w:sz w:val="32"/>
      <w:szCs w:val="32"/>
    </w:rPr>
  </w:style>
  <w:style w:type="character" w:customStyle="1" w:styleId="25">
    <w:name w:val="页眉 字符"/>
    <w:basedOn w:val="18"/>
    <w:link w:val="10"/>
    <w:qFormat/>
    <w:uiPriority w:val="0"/>
    <w:rPr>
      <w:sz w:val="18"/>
      <w:szCs w:val="18"/>
    </w:rPr>
  </w:style>
  <w:style w:type="character" w:customStyle="1" w:styleId="26">
    <w:name w:val="页脚 字符"/>
    <w:basedOn w:val="18"/>
    <w:link w:val="9"/>
    <w:qFormat/>
    <w:uiPriority w:val="99"/>
    <w:rPr>
      <w:sz w:val="18"/>
      <w:szCs w:val="18"/>
    </w:rPr>
  </w:style>
  <w:style w:type="paragraph" w:customStyle="1" w:styleId="27">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28">
    <w:name w:val="批注框文本 字符"/>
    <w:basedOn w:val="18"/>
    <w:link w:val="8"/>
    <w:semiHidden/>
    <w:qFormat/>
    <w:uiPriority w:val="99"/>
    <w:rPr>
      <w:rFonts w:ascii="Times New Roman" w:hAnsi="Times New Roman" w:eastAsia="宋体" w:cs="Times New Roman"/>
      <w:sz w:val="18"/>
      <w:szCs w:val="18"/>
    </w:rPr>
  </w:style>
  <w:style w:type="character" w:customStyle="1" w:styleId="29">
    <w:name w:val="批注文字 字符"/>
    <w:basedOn w:val="18"/>
    <w:link w:val="4"/>
    <w:semiHidden/>
    <w:qFormat/>
    <w:uiPriority w:val="99"/>
    <w:rPr>
      <w:rFonts w:ascii="Times New Roman" w:hAnsi="Times New Roman" w:eastAsia="宋体" w:cs="Times New Roman"/>
      <w:szCs w:val="20"/>
    </w:rPr>
  </w:style>
  <w:style w:type="character" w:customStyle="1" w:styleId="30">
    <w:name w:val="纯文本 字符"/>
    <w:basedOn w:val="18"/>
    <w:link w:val="6"/>
    <w:qFormat/>
    <w:uiPriority w:val="0"/>
    <w:rPr>
      <w:rFonts w:ascii="仿宋_GB2312" w:hAnsi="Times New Roman" w:eastAsia="宋体" w:cs="Times New Roman"/>
      <w:sz w:val="24"/>
      <w:szCs w:val="20"/>
    </w:rPr>
  </w:style>
  <w:style w:type="paragraph" w:customStyle="1" w:styleId="31">
    <w:name w:val="_Style 8"/>
    <w:basedOn w:val="1"/>
    <w:next w:val="1"/>
    <w:qFormat/>
    <w:uiPriority w:val="0"/>
    <w:pPr>
      <w:spacing w:line="360" w:lineRule="auto"/>
      <w:ind w:firstLine="480" w:firstLineChars="200"/>
    </w:pPr>
    <w:rPr>
      <w:rFonts w:ascii="仿宋_GB2312"/>
      <w:sz w:val="24"/>
    </w:rPr>
  </w:style>
  <w:style w:type="paragraph" w:styleId="32">
    <w:name w:val="List Paragraph"/>
    <w:basedOn w:val="1"/>
    <w:qFormat/>
    <w:uiPriority w:val="34"/>
    <w:pPr>
      <w:ind w:firstLine="420" w:firstLineChars="200"/>
    </w:pPr>
    <w:rPr>
      <w:rFonts w:ascii="仿宋_GB2312" w:eastAsia="仿宋_GB2312"/>
      <w:spacing w:val="-4"/>
      <w:sz w:val="32"/>
    </w:rPr>
  </w:style>
  <w:style w:type="character" w:customStyle="1" w:styleId="33">
    <w:name w:val="正文文本缩进 2 字符"/>
    <w:basedOn w:val="18"/>
    <w:link w:val="7"/>
    <w:qFormat/>
    <w:uiPriority w:val="0"/>
    <w:rPr>
      <w:rFonts w:ascii="Times New Roman" w:hAnsi="Times New Roman" w:eastAsia="宋体" w:cs="Times New Roman"/>
      <w:b/>
      <w:bCs/>
      <w:sz w:val="28"/>
      <w:szCs w:val="24"/>
    </w:rPr>
  </w:style>
  <w:style w:type="character" w:customStyle="1" w:styleId="34">
    <w:name w:val="标题 字符"/>
    <w:basedOn w:val="18"/>
    <w:link w:val="14"/>
    <w:qFormat/>
    <w:uiPriority w:val="0"/>
    <w:rPr>
      <w:rFonts w:ascii="Cambria" w:hAnsi="Cambria" w:eastAsia="黑体" w:cs="Times New Roman"/>
      <w:b/>
      <w:bCs/>
      <w:sz w:val="52"/>
      <w:szCs w:val="32"/>
    </w:rPr>
  </w:style>
  <w:style w:type="character" w:customStyle="1" w:styleId="35">
    <w:name w:val="批注主题 字符"/>
    <w:basedOn w:val="29"/>
    <w:link w:val="15"/>
    <w:semiHidden/>
    <w:qFormat/>
    <w:uiPriority w:val="99"/>
    <w:rPr>
      <w:rFonts w:ascii="Times New Roman" w:hAnsi="Times New Roman" w:eastAsia="宋体" w:cs="Times New Roman"/>
      <w:b/>
      <w:bCs/>
      <w:szCs w:val="20"/>
    </w:rPr>
  </w:style>
  <w:style w:type="character" w:customStyle="1" w:styleId="36">
    <w:name w:val="title1"/>
    <w:qFormat/>
    <w:uiPriority w:val="0"/>
    <w:rPr>
      <w:b/>
      <w:bCs/>
      <w:color w:val="999900"/>
      <w:sz w:val="24"/>
      <w:szCs w:val="24"/>
    </w:rPr>
  </w:style>
  <w:style w:type="paragraph" w:customStyle="1" w:styleId="37">
    <w:name w:val="TOC 标题1"/>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38">
    <w:name w:val="修订1"/>
    <w:hidden/>
    <w:unhideWhenUsed/>
    <w:qFormat/>
    <w:uiPriority w:val="99"/>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6</Pages>
  <Words>1091</Words>
  <Characters>2340</Characters>
  <Lines>21</Lines>
  <Paragraphs>6</Paragraphs>
  <TotalTime>10</TotalTime>
  <ScaleCrop>false</ScaleCrop>
  <LinksUpToDate>false</LinksUpToDate>
  <CharactersWithSpaces>2571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2025-09-10T17:09:00Z</dcterms:created>
  <dc:creator>胡胜链</dc:creator>
  <cp:lastModifiedBy>葛格</cp:lastModifiedBy>
  <cp:lastPrinted>2022-01-29T01:53:00Z</cp:lastPrinted>
  <dcterms:modified xsi:type="dcterms:W3CDTF">2025-09-16T01:54:34Z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C1F86C6E34A14BB899B0B8108808A851_13</vt:lpwstr>
  </property>
  <property fmtid="{D5CDD505-2E9C-101B-9397-08002B2CF9AE}" pid="4" name="KSOTemplateDocerSaveRecord">
    <vt:lpwstr>eyJoZGlkIjoiZTllYjc3MGRiNzI1MDY1NDgwNjBjYzEyMDk3NjZlNGEiLCJ1c2VySWQiOiI3OTg2NTM2NTgifQ==</vt:lpwstr>
  </property>
</Properties>
</file>