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C4BA">
      <w:pPr>
        <w:jc w:val="center"/>
        <w:rPr>
          <w:rStyle w:val="9"/>
          <w:rFonts w:eastAsia="方正小标宋简体"/>
          <w:bCs w:val="0"/>
          <w:color w:val="auto"/>
          <w:sz w:val="36"/>
          <w:szCs w:val="36"/>
        </w:rPr>
      </w:pPr>
      <w:r>
        <w:rPr>
          <w:rStyle w:val="9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334EDF8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3796F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73E2DEBD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187F38A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</w:rPr>
              <w:t>特色</w:t>
            </w:r>
            <w:r>
              <w:rPr>
                <w:rStyle w:val="9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植物化学素类</w:t>
            </w:r>
            <w:r>
              <w:rPr>
                <w:rStyle w:val="9"/>
                <w:rFonts w:eastAsia="仿宋_GB2312"/>
                <w:b w:val="0"/>
                <w:color w:val="auto"/>
                <w:sz w:val="28"/>
              </w:rPr>
              <w:t>功能配料创制关键技术与应用</w:t>
            </w:r>
          </w:p>
        </w:tc>
      </w:tr>
      <w:tr w14:paraId="60FB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34ADBD28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83E8186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3BE2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69" w:type="dxa"/>
            <w:vAlign w:val="center"/>
          </w:tcPr>
          <w:p w14:paraId="31D9173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05D9AD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3923AB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科学技术进步奖：提名书的主要知识产权和标准规范目录、代表性论文专著目录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见附件</w:t>
            </w:r>
            <w:r>
              <w:rPr>
                <w:rFonts w:eastAsia="仿宋_GB2312"/>
                <w:bCs/>
                <w:sz w:val="24"/>
                <w:szCs w:val="24"/>
              </w:rPr>
              <w:t>。</w:t>
            </w:r>
          </w:p>
        </w:tc>
      </w:tr>
      <w:tr w14:paraId="1813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98F64F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D215862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陆柏益</w:t>
            </w:r>
            <w:r>
              <w:rPr>
                <w:rFonts w:eastAsia="仿宋_GB2312"/>
                <w:bCs/>
                <w:sz w:val="22"/>
                <w:szCs w:val="22"/>
              </w:rPr>
              <w:t>，排名1，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教授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63487CB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张良晓</w:t>
            </w:r>
            <w:r>
              <w:rPr>
                <w:rFonts w:eastAsia="仿宋_GB2312"/>
                <w:bCs/>
                <w:sz w:val="22"/>
                <w:szCs w:val="22"/>
              </w:rPr>
              <w:t>，排名2，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研究员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中国农业科学院油料作物研究所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6EE585DE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王菁</w:t>
            </w:r>
            <w:r>
              <w:rPr>
                <w:rFonts w:eastAsia="仿宋_GB2312"/>
                <w:bCs/>
                <w:sz w:val="22"/>
                <w:szCs w:val="22"/>
              </w:rPr>
              <w:t>，排名3，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珀莱雅化妆品股份有限公司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75AAB2E2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刘松柏，排名4，副教授，浙江大学；</w:t>
            </w:r>
          </w:p>
          <w:p w14:paraId="481B9F9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袁长征，排名5，研究员，浙江大学；</w:t>
            </w:r>
          </w:p>
          <w:p w14:paraId="0131E687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>王晓</w:t>
            </w:r>
            <w:r>
              <w:rPr>
                <w:rFonts w:hint="eastAsia" w:eastAsia="仿宋_GB2312"/>
                <w:bCs/>
                <w:sz w:val="22"/>
                <w:szCs w:val="22"/>
              </w:rPr>
              <w:t>，排名6，</w:t>
            </w: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>副</w:t>
            </w:r>
            <w:r>
              <w:rPr>
                <w:rFonts w:hint="eastAsia" w:eastAsia="仿宋_GB2312"/>
                <w:bCs/>
                <w:sz w:val="22"/>
                <w:szCs w:val="22"/>
              </w:rPr>
              <w:t>研究员，湘湖实验室</w:t>
            </w:r>
            <w:r>
              <w:rPr>
                <w:rFonts w:hint="eastAsia" w:eastAsia="仿宋_GB2312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>农业浙江省实验室</w:t>
            </w:r>
            <w:r>
              <w:rPr>
                <w:rFonts w:hint="eastAsia" w:eastAsia="仿宋_GB2312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eastAsia="仿宋_GB2312"/>
                <w:bCs/>
                <w:sz w:val="22"/>
                <w:szCs w:val="22"/>
              </w:rPr>
              <w:t>；</w:t>
            </w:r>
          </w:p>
          <w:p w14:paraId="749A495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张英，排名7，教授，浙江大学；</w:t>
            </w:r>
          </w:p>
          <w:p w14:paraId="666E163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孙海辉，排名8，正高级工程师，宜春大海龟生命科学股份有限公司；</w:t>
            </w:r>
          </w:p>
          <w:p w14:paraId="6A5F040C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王章铁，排名9，无，浙江大学；</w:t>
            </w:r>
          </w:p>
          <w:p w14:paraId="3FF41832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姚远，排名10，研究员，浙江大学杭州国际科创中心；</w:t>
            </w:r>
          </w:p>
          <w:p w14:paraId="06FCDC3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王桐，排名11，正高级工程师，烟台新时代健康产业有限公司；</w:t>
            </w:r>
          </w:p>
          <w:p w14:paraId="1E54DE21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>郭泽峰</w:t>
            </w:r>
            <w:r>
              <w:rPr>
                <w:rFonts w:hint="eastAsia" w:eastAsia="仿宋_GB2312"/>
                <w:bCs/>
                <w:sz w:val="22"/>
                <w:szCs w:val="22"/>
              </w:rPr>
              <w:t>，排名12，高级工程师，杭州千岛湖啤酒有限公司；</w:t>
            </w:r>
          </w:p>
          <w:p w14:paraId="764D8C7B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>高亮</w:t>
            </w:r>
            <w:r>
              <w:rPr>
                <w:rFonts w:hint="eastAsia" w:eastAsia="仿宋_GB2312"/>
                <w:bCs/>
                <w:sz w:val="22"/>
                <w:szCs w:val="22"/>
              </w:rPr>
              <w:t>，排名13，总经理，浙江圣氏生物科技有限公司</w:t>
            </w:r>
          </w:p>
        </w:tc>
      </w:tr>
      <w:tr w14:paraId="6E741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7AB3286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DBE032A">
            <w:pPr>
              <w:spacing w:line="440" w:lineRule="exact"/>
              <w:rPr>
                <w:rFonts w:hint="eastAsia" w:eastAsia="仿宋_GB2312"/>
                <w:bCs/>
                <w:sz w:val="22"/>
                <w:szCs w:val="22"/>
                <w:lang w:eastAsia="zh-CN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1.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</w:t>
            </w:r>
            <w:r>
              <w:rPr>
                <w:rFonts w:hint="eastAsia" w:eastAsia="仿宋_GB2312"/>
                <w:bCs/>
                <w:sz w:val="22"/>
                <w:szCs w:val="22"/>
                <w:lang w:eastAsia="zh-CN"/>
              </w:rPr>
              <w:t>；</w:t>
            </w:r>
          </w:p>
          <w:p w14:paraId="3D8C3CD9">
            <w:pPr>
              <w:spacing w:line="440" w:lineRule="exact"/>
              <w:rPr>
                <w:rFonts w:hint="eastAsia" w:eastAsia="仿宋_GB2312"/>
                <w:bCs/>
                <w:sz w:val="22"/>
                <w:szCs w:val="22"/>
                <w:lang w:eastAsia="zh-CN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2.</w:t>
            </w:r>
            <w:r>
              <w:rPr>
                <w:rFonts w:hint="eastAsia" w:eastAsia="仿宋_GB2312"/>
                <w:bCs/>
                <w:sz w:val="22"/>
                <w:szCs w:val="22"/>
              </w:rPr>
              <w:t>中国农业科学院油料作物研究所</w:t>
            </w:r>
            <w:r>
              <w:rPr>
                <w:rFonts w:hint="eastAsia" w:eastAsia="仿宋_GB2312"/>
                <w:bCs/>
                <w:sz w:val="22"/>
                <w:szCs w:val="22"/>
                <w:lang w:eastAsia="zh-CN"/>
              </w:rPr>
              <w:t>；</w:t>
            </w:r>
          </w:p>
          <w:p w14:paraId="48071B76">
            <w:pPr>
              <w:spacing w:line="440" w:lineRule="exact"/>
              <w:rPr>
                <w:rFonts w:hint="eastAsia" w:eastAsia="仿宋_GB2312"/>
                <w:bCs/>
                <w:sz w:val="22"/>
                <w:szCs w:val="22"/>
                <w:lang w:eastAsia="zh-CN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3.</w:t>
            </w:r>
            <w:r>
              <w:rPr>
                <w:rFonts w:hint="eastAsia" w:eastAsia="仿宋_GB2312"/>
                <w:bCs/>
                <w:sz w:val="22"/>
                <w:szCs w:val="22"/>
              </w:rPr>
              <w:t>湘湖实验室</w:t>
            </w:r>
            <w:r>
              <w:rPr>
                <w:rFonts w:hint="eastAsia" w:eastAsia="仿宋_GB2312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>农业浙江省实验室</w:t>
            </w:r>
            <w:r>
              <w:rPr>
                <w:rFonts w:hint="eastAsia" w:eastAsia="仿宋_GB2312"/>
                <w:bCs/>
                <w:sz w:val="22"/>
                <w:szCs w:val="22"/>
                <w:lang w:eastAsia="zh-CN"/>
              </w:rPr>
              <w:t>）；</w:t>
            </w:r>
          </w:p>
          <w:p w14:paraId="76E3A4FC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4.浙江大学杭州国际科创中心；</w:t>
            </w:r>
          </w:p>
          <w:p w14:paraId="4CCEFE7C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5.珀莱雅化妆品股份有限公司；</w:t>
            </w:r>
          </w:p>
          <w:p w14:paraId="1EE547BD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6.宜春大海龟生命科学股份有限公司；</w:t>
            </w:r>
          </w:p>
          <w:p w14:paraId="1F6DD9F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7.浙江圣氏生物科技有限公司；</w:t>
            </w:r>
          </w:p>
          <w:p w14:paraId="19AF6A3A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8.烟台新时代健康产业有限公司；</w:t>
            </w:r>
          </w:p>
          <w:p w14:paraId="53B55469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9.杭州千岛湖啤酒有限公司</w:t>
            </w:r>
          </w:p>
        </w:tc>
      </w:tr>
      <w:tr w14:paraId="13289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75E7D7CC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A4E914A"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  <w:r>
              <w:rPr>
                <w:rStyle w:val="9"/>
                <w:rFonts w:hint="eastAsia"/>
                <w:b w:val="0"/>
                <w:color w:val="auto"/>
              </w:rPr>
              <w:t>浙江大学</w:t>
            </w:r>
          </w:p>
        </w:tc>
      </w:tr>
      <w:tr w14:paraId="289C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1762DD74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30BFD90">
            <w:pPr>
              <w:spacing w:line="360" w:lineRule="auto"/>
              <w:ind w:firstLine="488" w:firstLineChars="200"/>
              <w:rPr>
                <w:rFonts w:hint="eastAsia"/>
                <w:bCs/>
                <w:spacing w:val="2"/>
                <w:sz w:val="24"/>
              </w:rPr>
            </w:pP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该</w:t>
            </w:r>
            <w:r>
              <w:rPr>
                <w:rFonts w:hint="eastAsia"/>
                <w:bCs/>
                <w:spacing w:val="2"/>
                <w:sz w:val="24"/>
              </w:rPr>
              <w:t>成果在国家科技计划、国家自然科学基金委和浙江省科技项目支持下，深入践行“乡村振兴”、“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四个面向</w:t>
            </w:r>
            <w:r>
              <w:rPr>
                <w:rFonts w:hint="eastAsia"/>
                <w:bCs/>
                <w:spacing w:val="2"/>
                <w:sz w:val="24"/>
              </w:rPr>
              <w:t>”等国家战略，聚焦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慢炎干预策略不完善、功效机制不清、配料制备技术传统单一、装备不适用、产品功效不明确、产品不适用新业态</w:t>
            </w:r>
            <w:r>
              <w:rPr>
                <w:rFonts w:hint="eastAsia"/>
                <w:bCs/>
                <w:spacing w:val="2"/>
                <w:sz w:val="24"/>
              </w:rPr>
              <w:t>等科学和产业问题，</w:t>
            </w:r>
            <w:r>
              <w:rPr>
                <w:rFonts w:hint="eastAsia" w:ascii="宋体" w:hAnsi="宋体"/>
                <w:sz w:val="24"/>
              </w:rPr>
              <w:t>提出了慢性低度炎症的早期营养干预策略，首创了食物炎症指数，构建了“人群-模式生物-原代细胞-细胞器”等多维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抗炎</w:t>
            </w:r>
            <w:r>
              <w:rPr>
                <w:rFonts w:hint="eastAsia" w:ascii="宋体" w:hAnsi="宋体"/>
                <w:sz w:val="24"/>
              </w:rPr>
              <w:t>模型；构建了甾醇、多酚中国特色植化类数据库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</w:t>
            </w:r>
            <w:r>
              <w:rPr>
                <w:rFonts w:hint="eastAsia" w:ascii="宋体" w:hAnsi="宋体"/>
                <w:sz w:val="24"/>
              </w:rPr>
              <w:t>揭示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</w:t>
            </w:r>
            <w:r>
              <w:rPr>
                <w:rFonts w:hint="eastAsia" w:ascii="宋体" w:hAnsi="宋体"/>
                <w:sz w:val="24"/>
              </w:rPr>
              <w:t>干预慢性低度炎症的功效及新机制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研制</w:t>
            </w:r>
            <w:r>
              <w:rPr>
                <w:rFonts w:hint="eastAsia" w:ascii="宋体" w:hAnsi="宋体"/>
                <w:sz w:val="24"/>
                <w:lang w:eastAsia="zh-CN"/>
              </w:rPr>
              <w:t>了</w:t>
            </w:r>
            <w:r>
              <w:rPr>
                <w:rFonts w:hint="eastAsia" w:ascii="宋体" w:hAnsi="宋体"/>
                <w:sz w:val="24"/>
              </w:rPr>
              <w:t>高纤维专用粉碎、精馏-分子蒸馏一体化、高效固液分离等关键专用装备，集成连续逆流提取、分级富集等工艺技术，突破高品质多酚、甾醇功能配料制备技术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创制竹叶黄酮、植物甾醇（酯）等新功能配料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建立</w:t>
            </w:r>
            <w:r>
              <w:rPr>
                <w:rFonts w:hint="eastAsia" w:ascii="宋体" w:hAnsi="宋体"/>
                <w:sz w:val="24"/>
              </w:rPr>
              <w:t>多酚、甾醇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绿色制造产线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突破</w:t>
            </w:r>
            <w:r>
              <w:rPr>
                <w:rFonts w:hint="eastAsia" w:ascii="宋体" w:hAnsi="宋体"/>
                <w:sz w:val="24"/>
                <w:lang w:eastAsia="zh-CN"/>
              </w:rPr>
              <w:t>了</w:t>
            </w:r>
            <w:r>
              <w:rPr>
                <w:rFonts w:hint="eastAsia" w:ascii="宋体" w:hAnsi="宋体"/>
                <w:sz w:val="24"/>
              </w:rPr>
              <w:t>物理耦合协同增效、感官营养双导向等技术，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开发</w:t>
            </w:r>
            <w:r>
              <w:rPr>
                <w:rFonts w:hint="eastAsia" w:ascii="宋体" w:hAnsi="宋体"/>
                <w:sz w:val="24"/>
              </w:rPr>
              <w:t>了甾醇抗炎、多酚抗氧双驱动的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系列</w:t>
            </w:r>
            <w:r>
              <w:rPr>
                <w:rFonts w:hint="eastAsia" w:ascii="宋体" w:hAnsi="宋体"/>
                <w:sz w:val="24"/>
              </w:rPr>
              <w:t>产品；结合数字孪生和机器视觉等技术，建立</w:t>
            </w:r>
            <w:r>
              <w:rPr>
                <w:rFonts w:hint="eastAsia" w:ascii="宋体" w:hAnsi="宋体"/>
                <w:sz w:val="24"/>
                <w:lang w:eastAsia="zh-CN"/>
              </w:rPr>
              <w:t>了</w:t>
            </w:r>
            <w:r>
              <w:rPr>
                <w:rFonts w:hint="eastAsia" w:ascii="宋体" w:hAnsi="宋体"/>
                <w:sz w:val="24"/>
              </w:rPr>
              <w:t>健康食品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4"/>
              </w:rPr>
              <w:t>功能化妆品智能制造生产线，实现</w:t>
            </w:r>
            <w:r>
              <w:rPr>
                <w:rFonts w:hint="eastAsia" w:ascii="宋体" w:hAnsi="宋体"/>
                <w:sz w:val="24"/>
                <w:lang w:eastAsia="zh-CN"/>
              </w:rPr>
              <w:t>了</w:t>
            </w:r>
            <w:r>
              <w:rPr>
                <w:rFonts w:hint="eastAsia" w:ascii="宋体" w:hAnsi="宋体"/>
                <w:sz w:val="24"/>
              </w:rPr>
              <w:t>产品高效高质生产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/>
                <w:bCs/>
                <w:spacing w:val="2"/>
                <w:sz w:val="24"/>
              </w:rPr>
              <w:t>成果技术已在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珀莱雅、圣氏生物、千岛湖啤酒等</w:t>
            </w:r>
            <w:r>
              <w:rPr>
                <w:rFonts w:hint="eastAsia"/>
                <w:bCs/>
                <w:spacing w:val="2"/>
                <w:sz w:val="24"/>
              </w:rPr>
              <w:t>浙江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省内</w:t>
            </w:r>
            <w:r>
              <w:rPr>
                <w:rFonts w:hint="eastAsia"/>
                <w:bCs/>
                <w:spacing w:val="2"/>
                <w:sz w:val="24"/>
              </w:rPr>
              <w:t>多家企业推广应用</w:t>
            </w:r>
            <w:r>
              <w:rPr>
                <w:rFonts w:hint="eastAsia"/>
                <w:bCs/>
                <w:spacing w:val="2"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并辐射江西、山东等地</w:t>
            </w:r>
            <w:r>
              <w:rPr>
                <w:rFonts w:hint="eastAsia"/>
                <w:bCs/>
                <w:spacing w:val="2"/>
                <w:sz w:val="24"/>
              </w:rPr>
              <w:t>，经济、社会和生态效益显著。</w:t>
            </w:r>
          </w:p>
          <w:p w14:paraId="11C2F0D5">
            <w:pPr>
              <w:pStyle w:val="2"/>
              <w:ind w:firstLine="488" w:firstLineChars="200"/>
            </w:pPr>
            <w:r>
              <w:rPr>
                <w:bCs/>
                <w:spacing w:val="2"/>
                <w:sz w:val="24"/>
              </w:rPr>
              <w:t>提名该成果</w:t>
            </w:r>
            <w:bookmarkStart w:id="1" w:name="_GoBack"/>
            <w:bookmarkEnd w:id="1"/>
            <w:r>
              <w:rPr>
                <w:bCs/>
                <w:spacing w:val="2"/>
                <w:sz w:val="24"/>
              </w:rPr>
              <w:t>为省科学技术进步奖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一</w:t>
            </w:r>
            <w:r>
              <w:rPr>
                <w:bCs/>
                <w:spacing w:val="2"/>
                <w:sz w:val="24"/>
              </w:rPr>
              <w:t>等奖。</w:t>
            </w:r>
          </w:p>
          <w:p w14:paraId="7D57A468"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</w:p>
        </w:tc>
      </w:tr>
    </w:tbl>
    <w:p w14:paraId="0665FF87">
      <w:r>
        <w:br w:type="page"/>
      </w:r>
    </w:p>
    <w:p w14:paraId="19958EE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82976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附表1 </w:t>
      </w:r>
      <w:r>
        <w:rPr>
          <w:b/>
          <w:bCs/>
          <w:sz w:val="24"/>
          <w:szCs w:val="24"/>
        </w:rPr>
        <w:t>主要知识产权和标准规范目录</w:t>
      </w:r>
    </w:p>
    <w:tbl>
      <w:tblPr>
        <w:tblStyle w:val="6"/>
        <w:tblW w:w="13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434"/>
        <w:gridCol w:w="954"/>
        <w:gridCol w:w="1403"/>
        <w:gridCol w:w="1337"/>
        <w:gridCol w:w="2335"/>
        <w:gridCol w:w="2414"/>
        <w:gridCol w:w="1125"/>
      </w:tblGrid>
      <w:tr w14:paraId="089F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B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知识产权（标准规范）类别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B4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知识产权（标准规范）具体名称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F36C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国家</w:t>
            </w:r>
            <w:r>
              <w:rPr>
                <w:bCs/>
                <w:sz w:val="22"/>
                <w:szCs w:val="22"/>
              </w:rPr>
              <w:t>（地区）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18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授权号（标准规范编号）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973BC">
            <w:pPr>
              <w:rPr>
                <w:sz w:val="22"/>
                <w:szCs w:val="22"/>
              </w:rPr>
            </w:pPr>
          </w:p>
          <w:p w14:paraId="4077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授权（标准发布）日期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C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权利人（标准规范起草单位）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8F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发明人（标准规范起草人）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8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发明专利（标准规范）有效状态</w:t>
            </w:r>
          </w:p>
        </w:tc>
      </w:tr>
      <w:tr w14:paraId="7D51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47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4D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山核桃甾醇提取物在制备消炎物品中的应用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089A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E2304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ZL201410079250.9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2054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2015.11.18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5CAC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珀莱雅化妆品股份有限公司（浙江大学转让）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0E2E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陆柏益、周菲、杨佳佳、胡银洲、毛淑琴、蒋易蓉、洪雅雯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D6AA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  <w:tr w14:paraId="6DAF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4D4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B1A9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天然混合植物甾醇儿茶素、制备方法及应用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15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5A55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ZL201610917235.6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A63C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2020.05.22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CFD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浙江大学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5806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刘松柏、吴珊珊、夏方正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693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  <w:tr w14:paraId="47CE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10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B8B3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一种从竹叶中提取竹叶黄酮的方法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8E0D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6C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ZL201821035813.4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ADB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2019.06.07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51EB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浙江圣氏生物科技有限公司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804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高亮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胡林福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3FB5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  <w:tr w14:paraId="4261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C2A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C6F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一种植物甾醇提纯方法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901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82EFC"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ZL202010850959.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61BF4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2021.10.08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4F79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宜春大海龟生命科学股份有限公司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86F4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孙海辉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龚美青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沈明云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孙海容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黄辉其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熊兰兰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廖英俊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吴敏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张昭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彭莉莉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魏国华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欧阳正阶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易道明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张斌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谢刚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熊志华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61FC3"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有效</w:t>
            </w:r>
          </w:p>
        </w:tc>
      </w:tr>
      <w:tr w14:paraId="58FC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D8B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DCD8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袪火消炎组合物及其制备方法和药用制剂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DAE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9AC2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ZL201110369113.5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5C981"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2014.01.08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DE9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烟台新时代健康产业有限公司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ADE6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刘志河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王桐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尹利端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董从超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王立志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徐宏楠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D3280"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有效</w:t>
            </w:r>
          </w:p>
        </w:tc>
      </w:tr>
      <w:tr w14:paraId="1246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A35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行业标准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0BE6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植物源性食品中游离态甾醇、结合态甾醇及总甾醇的测定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气相色谱串联质谱法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ABD3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4F17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NY/T 3945-2021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E23AA"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2021.11.09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5B10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浙江大学、农业农村部农产品贮藏保险质量安全风险评估实验室（杭州）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1B04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陆柏益、王蒙蒙、胡银洲、杨博文、钟永恒、徐涛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CB08E"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</w:tbl>
    <w:p w14:paraId="2B36A1EF">
      <w:pPr>
        <w:rPr>
          <w:rFonts w:hint="eastAsia"/>
        </w:rPr>
      </w:pPr>
      <w:r>
        <w:t xml:space="preserve"> </w:t>
      </w:r>
    </w:p>
    <w:p w14:paraId="28EBF62D">
      <w:pPr>
        <w:sectPr>
          <w:pgSz w:w="15842" w:h="12242" w:orient="landscape"/>
          <w:pgMar w:top="1418" w:right="1247" w:bottom="1134" w:left="1247" w:header="851" w:footer="794" w:gutter="0"/>
          <w:cols w:space="720" w:num="1"/>
        </w:sectPr>
      </w:pPr>
    </w:p>
    <w:p w14:paraId="14FA0BA4">
      <w:pPr>
        <w:spacing w:line="360" w:lineRule="auto"/>
        <w:jc w:val="center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附表2 </w:t>
      </w:r>
      <w:r>
        <w:rPr>
          <w:b/>
          <w:bCs/>
          <w:sz w:val="24"/>
          <w:szCs w:val="22"/>
        </w:rPr>
        <w:t>代表性论文专著目录</w:t>
      </w:r>
    </w:p>
    <w:tbl>
      <w:tblPr>
        <w:tblStyle w:val="6"/>
        <w:tblW w:w="13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5018"/>
        <w:gridCol w:w="1978"/>
        <w:gridCol w:w="1862"/>
      </w:tblGrid>
      <w:tr w14:paraId="486BE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7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D5D48">
            <w:pPr>
              <w:jc w:val="center"/>
              <w:rPr>
                <w:sz w:val="24"/>
                <w:szCs w:val="22"/>
              </w:rPr>
            </w:pPr>
            <w:bookmarkStart w:id="0" w:name="OLE_LINK2"/>
            <w:r>
              <w:rPr>
                <w:sz w:val="24"/>
                <w:szCs w:val="22"/>
              </w:rPr>
              <w:t>作 者</w:t>
            </w:r>
          </w:p>
        </w:tc>
        <w:tc>
          <w:tcPr>
            <w:tcW w:w="50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1070A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论文专著名称/刊物</w:t>
            </w:r>
          </w:p>
        </w:tc>
        <w:tc>
          <w:tcPr>
            <w:tcW w:w="197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8B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卷</w:t>
            </w:r>
            <w:r>
              <w:rPr>
                <w:rFonts w:hint="eastAsia"/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页码</w:t>
            </w:r>
          </w:p>
        </w:tc>
        <w:tc>
          <w:tcPr>
            <w:tcW w:w="186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EF7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发表时间（年、月）</w:t>
            </w:r>
          </w:p>
        </w:tc>
      </w:tr>
      <w:tr w14:paraId="6C931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B92E5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Hui Chen, Jie Shen, Jiaqi Xuan, Anna Zhu, John S. Ji, Xiaoran Liu, Yaying Cao, Geng, Zong, Yi Zeng, Xiaoxi Wang, Changzheng Yuan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EF127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Plant-based dietary patterns in relation to mortality among older adults in China </w:t>
            </w:r>
            <w:r>
              <w:rPr>
                <w:rFonts w:hint="eastAsia"/>
                <w:sz w:val="24"/>
                <w:szCs w:val="22"/>
              </w:rPr>
              <w:t>/ Nature Aging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A52CB4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2023, 2, 224-230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B0A4B6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2023.02</w:t>
            </w:r>
          </w:p>
        </w:tc>
      </w:tr>
      <w:tr w14:paraId="37BBE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C94A5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Qinjun Zhang, Liangxiao Zhang, Cheng Chen, Peiwu Li, Baiyi Lu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5F5D2E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  <w:szCs w:val="22"/>
              </w:rPr>
              <w:t>The gut microbiota-artery axis: A bridge between dietary lipids and atherosclerosis?</w:t>
            </w:r>
            <w:r>
              <w:rPr>
                <w:rFonts w:hint="eastAsia"/>
                <w:sz w:val="24"/>
                <w:szCs w:val="22"/>
              </w:rPr>
              <w:t xml:space="preserve"> / Progress in Lipid Research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865C0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2022, 89, 101209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84E90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2023.01</w:t>
            </w:r>
          </w:p>
        </w:tc>
      </w:tr>
      <w:tr w14:paraId="4F1B8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0946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Zhenlei Zhao, Fan Xue, Yanpei Gu, Jianxin Han, Yingxian Jia, Keqiang Ye, Ying Zhang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4961F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Crosstalk between the muscular estrogen receptor a and BDNF/TrkB signaling alleviates metabolic syndrome via 7,8-dihydroxyflavone in female mice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/ Molecular Metabolsim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405649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2021, 45, 101149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3B1DA4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2021.04</w:t>
            </w:r>
          </w:p>
        </w:tc>
      </w:tr>
      <w:tr w14:paraId="2751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5451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default" w:eastAsia="宋体"/>
                <w:sz w:val="24"/>
                <w:szCs w:val="22"/>
                <w:lang w:val="en-US" w:eastAsia="zh-CN"/>
              </w:rPr>
              <w:t>魏云，陆柏益，杨鑫，陈祁，杨暄，魏晓岚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 w:eastAsia="宋体"/>
                <w:sz w:val="24"/>
                <w:szCs w:val="22"/>
                <w:lang w:val="en-US" w:eastAsia="zh-CN"/>
              </w:rPr>
              <w:t>王菁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7F761B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default" w:eastAsia="宋体"/>
                <w:sz w:val="24"/>
                <w:szCs w:val="22"/>
                <w:lang w:val="en-US" w:eastAsia="zh-CN"/>
              </w:rPr>
              <w:t>线粒体及其质量控制在维持皮肤健康中的作用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/日用化学品科学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E292A6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2024，47，61-68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209D8E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2024.05</w:t>
            </w:r>
          </w:p>
        </w:tc>
      </w:tr>
      <w:bookmarkEnd w:id="0"/>
    </w:tbl>
    <w:p w14:paraId="5695B1B2">
      <w: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18"/>
    <w:rsid w:val="000541F3"/>
    <w:rsid w:val="0005426E"/>
    <w:rsid w:val="003259F7"/>
    <w:rsid w:val="004D2D1C"/>
    <w:rsid w:val="00625340"/>
    <w:rsid w:val="006C598A"/>
    <w:rsid w:val="00AC21FD"/>
    <w:rsid w:val="00BC156D"/>
    <w:rsid w:val="00BF1108"/>
    <w:rsid w:val="00FB5618"/>
    <w:rsid w:val="02D106C1"/>
    <w:rsid w:val="0C220FDC"/>
    <w:rsid w:val="11D6116E"/>
    <w:rsid w:val="122B630F"/>
    <w:rsid w:val="15E213DA"/>
    <w:rsid w:val="23EB7FF4"/>
    <w:rsid w:val="294F4B81"/>
    <w:rsid w:val="341D6645"/>
    <w:rsid w:val="358B200B"/>
    <w:rsid w:val="3AA51478"/>
    <w:rsid w:val="3AAA60BB"/>
    <w:rsid w:val="3CF947C0"/>
    <w:rsid w:val="4EDD150C"/>
    <w:rsid w:val="4FFC56EA"/>
    <w:rsid w:val="54972DB4"/>
    <w:rsid w:val="54F17472"/>
    <w:rsid w:val="56D70570"/>
    <w:rsid w:val="60DB7969"/>
    <w:rsid w:val="646031C3"/>
    <w:rsid w:val="69D51ABA"/>
    <w:rsid w:val="6F6935DD"/>
    <w:rsid w:val="74EA48E2"/>
    <w:rsid w:val="7B9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2452</Characters>
  <Lines>96</Lines>
  <Paragraphs>155</Paragraphs>
  <TotalTime>4</TotalTime>
  <ScaleCrop>false</ScaleCrop>
  <LinksUpToDate>false</LinksUpToDate>
  <CharactersWithSpaces>2557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2025-09-10T06:51:00Z</dcterms:created>
  <dc:creator>wangz</dc:creator>
  <cp:lastModifiedBy>王章铁</cp:lastModifiedBy>
  <dcterms:modified xsi:type="dcterms:W3CDTF">2025-09-15T12:04:20Z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eyJoZGlkIjoiNWNhZDk0NDYyZDNjNmVkNjdiYzAyZjgwMWVlOGNjZmYiLCJ1c2VySWQiOiIxNjg4NzI5NjUwIn0=</vt:lpwstr>
  </property>
  <property fmtid="{D5CDD505-2E9C-101B-9397-08002B2CF9AE}" pid="4" name="ICV">
    <vt:lpwstr>250299AA3A004ACD888254EFFA08374D_12</vt:lpwstr>
  </property>
</Properties>
</file>