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07434">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4576D64B">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30"/>
        <w:gridCol w:w="6776"/>
      </w:tblGrid>
      <w:tr w14:paraId="0966F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730" w:type="dxa"/>
            <w:vAlign w:val="center"/>
          </w:tcPr>
          <w:p w14:paraId="7B07C832">
            <w:pPr>
              <w:jc w:val="center"/>
              <w:rPr>
                <w:rStyle w:val="36"/>
                <w:rFonts w:hint="eastAsia" w:ascii="仿宋" w:hAnsi="仿宋" w:eastAsia="仿宋"/>
                <w:b w:val="0"/>
                <w:color w:val="auto"/>
                <w:sz w:val="28"/>
                <w:szCs w:val="28"/>
              </w:rPr>
            </w:pPr>
            <w:r>
              <w:rPr>
                <w:rStyle w:val="36"/>
                <w:rFonts w:ascii="仿宋" w:hAnsi="仿宋" w:eastAsia="仿宋"/>
                <w:b w:val="0"/>
                <w:bCs w:val="0"/>
                <w:color w:val="auto"/>
                <w:sz w:val="28"/>
                <w:szCs w:val="28"/>
              </w:rPr>
              <w:t>成果名称</w:t>
            </w:r>
          </w:p>
        </w:tc>
        <w:tc>
          <w:tcPr>
            <w:tcW w:w="6776" w:type="dxa"/>
            <w:vAlign w:val="center"/>
          </w:tcPr>
          <w:p w14:paraId="749814E8">
            <w:pPr>
              <w:spacing w:line="400" w:lineRule="exact"/>
              <w:contextualSpacing/>
              <w:jc w:val="center"/>
              <w:rPr>
                <w:rFonts w:eastAsiaTheme="minorEastAsia"/>
                <w:color w:val="000000"/>
                <w:kern w:val="0"/>
                <w:sz w:val="24"/>
                <w:szCs w:val="24"/>
              </w:rPr>
            </w:pPr>
            <w:r>
              <w:rPr>
                <w:rFonts w:eastAsiaTheme="minorEastAsia"/>
                <w:color w:val="000000"/>
                <w:kern w:val="0"/>
                <w:sz w:val="24"/>
                <w:szCs w:val="24"/>
              </w:rPr>
              <w:t>儿童重症发热性疾病细胞因子诊疗体系的建立与临床应用</w:t>
            </w:r>
          </w:p>
        </w:tc>
      </w:tr>
      <w:tr w14:paraId="3F367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730" w:type="dxa"/>
            <w:vAlign w:val="center"/>
          </w:tcPr>
          <w:p w14:paraId="4DAF71F8">
            <w:pPr>
              <w:jc w:val="center"/>
              <w:rPr>
                <w:rStyle w:val="36"/>
                <w:rFonts w:hint="eastAsia" w:ascii="仿宋" w:hAnsi="仿宋" w:eastAsia="仿宋"/>
                <w:b w:val="0"/>
                <w:color w:val="auto"/>
                <w:sz w:val="28"/>
                <w:szCs w:val="28"/>
              </w:rPr>
            </w:pPr>
            <w:r>
              <w:rPr>
                <w:rStyle w:val="36"/>
                <w:rFonts w:ascii="仿宋" w:hAnsi="仿宋" w:eastAsia="仿宋"/>
                <w:b w:val="0"/>
                <w:bCs w:val="0"/>
                <w:color w:val="auto"/>
                <w:sz w:val="28"/>
                <w:szCs w:val="28"/>
              </w:rPr>
              <w:t>提名等级</w:t>
            </w:r>
          </w:p>
        </w:tc>
        <w:tc>
          <w:tcPr>
            <w:tcW w:w="6776" w:type="dxa"/>
            <w:vAlign w:val="center"/>
          </w:tcPr>
          <w:p w14:paraId="5EB41FD8">
            <w:pPr>
              <w:spacing w:line="400" w:lineRule="exact"/>
              <w:contextualSpacing/>
              <w:jc w:val="center"/>
              <w:rPr>
                <w:rFonts w:eastAsiaTheme="minorEastAsia"/>
                <w:color w:val="000000"/>
                <w:kern w:val="0"/>
                <w:sz w:val="24"/>
                <w:szCs w:val="24"/>
              </w:rPr>
            </w:pPr>
            <w:r>
              <w:rPr>
                <w:rFonts w:eastAsiaTheme="minorEastAsia"/>
                <w:color w:val="000000"/>
                <w:kern w:val="0"/>
                <w:sz w:val="24"/>
                <w:szCs w:val="24"/>
              </w:rPr>
              <w:t>一等奖</w:t>
            </w:r>
          </w:p>
        </w:tc>
      </w:tr>
      <w:tr w14:paraId="479EB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trPr>
        <w:tc>
          <w:tcPr>
            <w:tcW w:w="1730" w:type="dxa"/>
            <w:vAlign w:val="center"/>
          </w:tcPr>
          <w:p w14:paraId="27C39BC5">
            <w:pPr>
              <w:spacing w:line="440" w:lineRule="exact"/>
              <w:jc w:val="center"/>
              <w:rPr>
                <w:rFonts w:hint="eastAsia" w:ascii="仿宋" w:hAnsi="仿宋" w:eastAsia="仿宋"/>
                <w:bCs/>
                <w:sz w:val="28"/>
                <w:szCs w:val="28"/>
              </w:rPr>
            </w:pPr>
            <w:r>
              <w:rPr>
                <w:rFonts w:ascii="仿宋" w:hAnsi="仿宋" w:eastAsia="仿宋"/>
                <w:bCs/>
                <w:sz w:val="28"/>
                <w:szCs w:val="28"/>
              </w:rPr>
              <w:t>提名书</w:t>
            </w:r>
          </w:p>
          <w:p w14:paraId="163BA09F">
            <w:pPr>
              <w:spacing w:line="440" w:lineRule="exact"/>
              <w:jc w:val="center"/>
              <w:rPr>
                <w:rFonts w:hint="eastAsia" w:ascii="仿宋" w:hAnsi="仿宋" w:eastAsia="仿宋"/>
                <w:bCs/>
                <w:sz w:val="28"/>
                <w:szCs w:val="28"/>
              </w:rPr>
            </w:pPr>
            <w:r>
              <w:rPr>
                <w:rFonts w:ascii="仿宋" w:hAnsi="仿宋" w:eastAsia="仿宋"/>
                <w:bCs/>
                <w:sz w:val="28"/>
                <w:szCs w:val="28"/>
              </w:rPr>
              <w:t>相关内容</w:t>
            </w:r>
          </w:p>
        </w:tc>
        <w:tc>
          <w:tcPr>
            <w:tcW w:w="6776" w:type="dxa"/>
            <w:vAlign w:val="center"/>
          </w:tcPr>
          <w:p w14:paraId="5B9C890D">
            <w:pPr>
              <w:numPr>
                <w:ilvl w:val="0"/>
                <w:numId w:val="0"/>
              </w:numPr>
              <w:spacing w:line="400" w:lineRule="exact"/>
              <w:contextualSpacing/>
              <w:jc w:val="left"/>
              <w:rPr>
                <w:rFonts w:eastAsiaTheme="minorEastAsia"/>
                <w:b w:val="0"/>
                <w:bCs w:val="0"/>
                <w:color w:val="000000"/>
                <w:spacing w:val="-4"/>
                <w:kern w:val="0"/>
                <w:sz w:val="24"/>
                <w:szCs w:val="24"/>
              </w:rPr>
            </w:pPr>
            <w:r>
              <w:rPr>
                <w:rFonts w:eastAsiaTheme="minorEastAsia"/>
                <w:b/>
                <w:bCs/>
                <w:color w:val="000000"/>
                <w:spacing w:val="-4"/>
                <w:kern w:val="0"/>
                <w:sz w:val="24"/>
                <w:szCs w:val="24"/>
              </w:rPr>
              <w:t>主要知识产权和标准规范目录：</w:t>
            </w:r>
          </w:p>
          <w:p w14:paraId="73312930">
            <w:pPr>
              <w:numPr>
                <w:ilvl w:val="0"/>
                <w:numId w:val="1"/>
              </w:numPr>
              <w:spacing w:line="400" w:lineRule="exact"/>
              <w:contextualSpacing/>
              <w:jc w:val="left"/>
              <w:rPr>
                <w:rFonts w:hint="eastAsia" w:asciiTheme="majorEastAsia" w:hAnsiTheme="majorEastAsia" w:eastAsiaTheme="majorEastAsia" w:cstheme="majorEastAsia"/>
                <w:b w:val="0"/>
                <w:bCs w:val="0"/>
                <w:color w:val="000000"/>
                <w:spacing w:val="-4"/>
                <w:kern w:val="0"/>
                <w:sz w:val="24"/>
                <w:szCs w:val="24"/>
              </w:rPr>
            </w:pPr>
            <w:r>
              <w:rPr>
                <w:rFonts w:hint="eastAsia" w:asciiTheme="majorEastAsia" w:hAnsiTheme="majorEastAsia" w:eastAsiaTheme="majorEastAsia" w:cstheme="majorEastAsia"/>
                <w:b w:val="0"/>
                <w:bCs w:val="0"/>
                <w:color w:val="000000"/>
                <w:spacing w:val="-4"/>
                <w:kern w:val="0"/>
                <w:sz w:val="24"/>
                <w:szCs w:val="24"/>
                <w:lang w:val="en-US" w:eastAsia="zh-CN"/>
              </w:rPr>
              <w:t>发明专利：</w:t>
            </w:r>
            <w:r>
              <w:rPr>
                <w:rFonts w:hint="eastAsia" w:asciiTheme="majorEastAsia" w:hAnsiTheme="majorEastAsia" w:eastAsiaTheme="majorEastAsia" w:cstheme="majorEastAsia"/>
                <w:b w:val="0"/>
                <w:bCs w:val="0"/>
                <w:color w:val="000000"/>
                <w:spacing w:val="-4"/>
                <w:kern w:val="0"/>
                <w:sz w:val="24"/>
                <w:szCs w:val="24"/>
              </w:rPr>
              <w:t>基于流式细胞仪同时检测12种细胞因子的试剂盒及方法</w:t>
            </w:r>
            <w:r>
              <w:rPr>
                <w:rFonts w:hint="eastAsia" w:asciiTheme="majorEastAsia" w:hAnsiTheme="majorEastAsia" w:eastAsiaTheme="majorEastAsia" w:cstheme="majorEastAsia"/>
                <w:b w:val="0"/>
                <w:bCs w:val="0"/>
                <w:color w:val="000000"/>
                <w:spacing w:val="-4"/>
                <w:kern w:val="0"/>
                <w:sz w:val="24"/>
                <w:szCs w:val="24"/>
                <w:lang w:val="en-US" w:eastAsia="zh-CN"/>
              </w:rPr>
              <w:t>。专利号：ZL 202311645688.4。发明人：</w:t>
            </w:r>
            <w:r>
              <w:rPr>
                <w:rFonts w:hint="eastAsia" w:asciiTheme="majorEastAsia" w:hAnsiTheme="majorEastAsia" w:eastAsiaTheme="majorEastAsia" w:cstheme="majorEastAsia"/>
                <w:b w:val="0"/>
                <w:bCs w:val="0"/>
                <w:color w:val="000000"/>
                <w:spacing w:val="-4"/>
                <w:kern w:val="0"/>
                <w:sz w:val="24"/>
                <w:szCs w:val="24"/>
              </w:rPr>
              <w:t>陈善问、徐陈槐、周延庆、沈承昊、杨明</w:t>
            </w:r>
            <w:r>
              <w:rPr>
                <w:rFonts w:hint="eastAsia" w:asciiTheme="majorEastAsia" w:hAnsiTheme="majorEastAsia" w:eastAsiaTheme="majorEastAsia" w:cstheme="majorEastAsia"/>
                <w:b w:val="0"/>
                <w:bCs w:val="0"/>
                <w:color w:val="000000"/>
                <w:spacing w:val="-4"/>
                <w:kern w:val="0"/>
                <w:sz w:val="24"/>
                <w:szCs w:val="24"/>
                <w:lang w:val="en-US" w:eastAsia="zh-CN"/>
              </w:rPr>
              <w:t>，专利权人：江西赛基生物技术有限公司, 杭州赛基生物科技股份有限公司。</w:t>
            </w:r>
          </w:p>
          <w:p w14:paraId="157CA4B1">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发明专利：一种重组人IFN-γ蛋白冻干小球及其制备方法和应用。 专利号：ZL202311434151.3，发明人：熊霞、熊顺强、</w:t>
            </w:r>
            <w:bookmarkStart w:id="0" w:name="_GoBack"/>
            <w:bookmarkEnd w:id="0"/>
            <w:r>
              <w:rPr>
                <w:rFonts w:hint="eastAsia" w:asciiTheme="majorEastAsia" w:hAnsiTheme="majorEastAsia" w:eastAsiaTheme="majorEastAsia" w:cstheme="majorEastAsia"/>
                <w:sz w:val="24"/>
                <w:szCs w:val="24"/>
                <w:lang w:val="en-US" w:eastAsia="zh-CN"/>
              </w:rPr>
              <w:t xml:space="preserve">罗林翔. 专利权人：江西赛基生物技术有限公司，杭州赛基生物科技股份有限公司。   </w:t>
            </w:r>
          </w:p>
          <w:p w14:paraId="1934EF12">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 xml:space="preserve">发明专利：一种重组蛋白的编码基因、载体、细胞及制备方法。专利号：ZL202311203251.5。 发明人：徐陈槐、周延庆、沈承昊、胡默然、熊顺强。专利权人：江西赛基生物技术有限公司，杭州赛基生物科技股份有限公司。  </w:t>
            </w:r>
          </w:p>
          <w:p w14:paraId="4200ED9D">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发明专利：</w:t>
            </w:r>
            <w:r>
              <w:rPr>
                <w:rFonts w:hint="eastAsia" w:asciiTheme="majorEastAsia" w:hAnsiTheme="majorEastAsia" w:eastAsiaTheme="majorEastAsia" w:cstheme="majorEastAsia"/>
                <w:sz w:val="24"/>
                <w:szCs w:val="24"/>
                <w:lang w:eastAsia="zh-CN"/>
              </w:rPr>
              <w:t>一种人白细胞介素-5 重组蛋白及其制备方法。</w:t>
            </w:r>
            <w:r>
              <w:rPr>
                <w:rFonts w:hint="eastAsia" w:asciiTheme="majorEastAsia" w:hAnsiTheme="majorEastAsia" w:eastAsiaTheme="majorEastAsia" w:cstheme="majorEastAsia"/>
                <w:sz w:val="24"/>
                <w:szCs w:val="24"/>
                <w:lang w:val="en-US" w:eastAsia="zh-CN"/>
              </w:rPr>
              <w:t>专利号：ZL202310857994.8。发明人：陈扬、徐陈槐、周延庆。专利权人：杭州赛基生物科技股份有限公司</w:t>
            </w:r>
          </w:p>
          <w:p w14:paraId="5C8EABA3">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发明专利：人白细胞介素-5重组蛋白的制备方法。专利号：ZL202210453914.8。发明人：徐陈槐、陈扬、潘兴鑫、周延庆、丁雯雯。</w:t>
            </w:r>
          </w:p>
          <w:p w14:paraId="0DB937F0">
            <w:pPr>
              <w:numPr>
                <w:ilvl w:val="0"/>
                <w:numId w:val="0"/>
              </w:numPr>
              <w:spacing w:line="400" w:lineRule="exact"/>
              <w:ind w:leftChars="0"/>
              <w:contextualSpacing/>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专利权人：杭州赛基生物科技股份有限公司。</w:t>
            </w:r>
          </w:p>
          <w:p w14:paraId="3754DDD9">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发明专利：一种复溶IL-1β冻干品抗原的缓冲液。专利号：ZL202411776780.9。发明人：陈扬，徐陈槐，周延庆。专利权人：杭州赛基生物科技股份有限公司。</w:t>
            </w:r>
          </w:p>
          <w:p w14:paraId="1DCB4CC9">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发明专利：一种缓冲液在制备基于流式细胞仪检测细胞因子的试剂盒中的应用。专利号：ZL202510371126.8。发明人：徐陈槐，陈扬，周延庆，张鹏举。专利权人：杭州赛基生物科技股份有限公司。</w:t>
            </w:r>
          </w:p>
          <w:p w14:paraId="397B07EA">
            <w:pPr>
              <w:numPr>
                <w:ilvl w:val="0"/>
                <w:numId w:val="1"/>
              </w:numPr>
              <w:spacing w:line="400" w:lineRule="exact"/>
              <w:ind w:left="0" w:leftChars="0" w:firstLine="0" w:firstLineChars="0"/>
              <w:contextualSpacing/>
              <w:jc w:val="lef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试剂盒注册证：</w:t>
            </w:r>
          </w:p>
          <w:p w14:paraId="714F0850">
            <w:pPr>
              <w:numPr>
                <w:ilvl w:val="0"/>
                <w:numId w:val="2"/>
              </w:numPr>
              <w:spacing w:line="400" w:lineRule="exact"/>
              <w:ind w:left="315" w:leftChars="0" w:firstLine="0" w:firstLineChars="0"/>
              <w:contextualSpacing/>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人Th1/Th2/Th17亚群检测试剂盒（流式荧光发光法），注册证号：赣械注准20222400224；注册地点：江西省；注册时间：2022年10月14日</w:t>
            </w:r>
          </w:p>
          <w:p w14:paraId="0114DA9B">
            <w:pPr>
              <w:numPr>
                <w:ilvl w:val="0"/>
                <w:numId w:val="2"/>
              </w:numPr>
              <w:spacing w:line="400" w:lineRule="exact"/>
              <w:ind w:left="315" w:leftChars="0" w:firstLine="0" w:firstLineChars="0"/>
              <w:contextualSpacing/>
              <w:jc w:val="left"/>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细胞因子联合检测试剂盒（免疫荧光法），注册证号：赣械注准20192400359；注册地点：江西省；注册时间：2019年12月30日</w:t>
            </w:r>
          </w:p>
          <w:p w14:paraId="6A9CE8BD">
            <w:pPr>
              <w:numPr>
                <w:ilvl w:val="0"/>
                <w:numId w:val="2"/>
              </w:numPr>
              <w:spacing w:line="400" w:lineRule="exact"/>
              <w:ind w:left="315" w:leftChars="0" w:firstLine="0" w:firstLineChars="0"/>
              <w:contextualSpacing/>
              <w:jc w:val="left"/>
              <w:rPr>
                <w:rFonts w:hint="default"/>
                <w:sz w:val="21"/>
                <w:szCs w:val="21"/>
                <w:lang w:val="en-US" w:eastAsia="zh-CN"/>
              </w:rPr>
            </w:pPr>
            <w:r>
              <w:rPr>
                <w:rFonts w:hint="eastAsia" w:asciiTheme="majorEastAsia" w:hAnsiTheme="majorEastAsia" w:eastAsiaTheme="majorEastAsia" w:cstheme="majorEastAsia"/>
                <w:sz w:val="24"/>
                <w:szCs w:val="24"/>
                <w:lang w:val="en-US" w:eastAsia="zh-CN"/>
              </w:rPr>
              <w:t>细胞因子多项质控品，注册证号：赣械注准20222400227；注册地点：江西省；注册时间：2022年10月14日</w:t>
            </w:r>
          </w:p>
          <w:p w14:paraId="75BE3F78">
            <w:pPr>
              <w:spacing w:line="400" w:lineRule="exact"/>
              <w:contextualSpacing/>
              <w:jc w:val="left"/>
              <w:rPr>
                <w:rFonts w:hint="default"/>
                <w:sz w:val="21"/>
                <w:szCs w:val="21"/>
                <w:lang w:val="en-US" w:eastAsia="zh-CN"/>
              </w:rPr>
            </w:pPr>
          </w:p>
          <w:p w14:paraId="1497EEC4">
            <w:pPr>
              <w:spacing w:line="400" w:lineRule="exact"/>
              <w:contextualSpacing/>
              <w:jc w:val="left"/>
              <w:rPr>
                <w:rFonts w:eastAsiaTheme="minorEastAsia"/>
                <w:b/>
                <w:bCs/>
                <w:color w:val="000000"/>
                <w:spacing w:val="-4"/>
                <w:kern w:val="0"/>
                <w:sz w:val="24"/>
                <w:szCs w:val="24"/>
              </w:rPr>
            </w:pPr>
            <w:r>
              <w:rPr>
                <w:rFonts w:eastAsiaTheme="minorEastAsia"/>
                <w:b/>
                <w:bCs/>
                <w:color w:val="000000"/>
                <w:spacing w:val="-4"/>
                <w:kern w:val="0"/>
                <w:sz w:val="24"/>
                <w:szCs w:val="24"/>
              </w:rPr>
              <w:t>代表性论文专著目录</w:t>
            </w:r>
            <w:r>
              <w:rPr>
                <w:rFonts w:hint="eastAsia" w:eastAsiaTheme="minorEastAsia"/>
                <w:b/>
                <w:bCs/>
                <w:color w:val="000000"/>
                <w:spacing w:val="-4"/>
                <w:kern w:val="0"/>
                <w:sz w:val="24"/>
                <w:szCs w:val="24"/>
              </w:rPr>
              <w:t>：</w:t>
            </w:r>
          </w:p>
          <w:p w14:paraId="38D3DE51">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Xu XJ, Tang YM, Liao C, Song H, Yang SL, Xu WQ, Shi SW, Zhao N. Inflammatory cytokine measurement quickly discriminates gram-negative from gram-positive bacteremia in pediatric hematology/oncology patients with septic shock. Intensive Care Med. 2013; 39:319-26.</w:t>
            </w:r>
          </w:p>
          <w:p w14:paraId="272C59D8">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Tang Y, Liao C, Xu X, Song H, Shi S, Yang S, Zhao F, Xu W, Chen X, Mao J, Zhang L, Pan B. Evaluation of Th1/Th2 cytokines as a rapid diagnostic tool for severe infection in paediatric haematology/oncology patients by the use of cytometric bead array technology. Clin Microbiol Infect. 2011; 17:1666-73.</w:t>
            </w:r>
          </w:p>
          <w:p w14:paraId="5DE95708">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Xia T, Xu X, Zhao N, Luo Z, Tang Y. Comparison of the diagnostic power of cytokine patterns and procalcitonin for predicting infection among paediatric haematology/oncology patients. Clin Microbiol Infect. 2016; 22:996-1001.</w:t>
            </w:r>
          </w:p>
          <w:p w14:paraId="58CE76E9">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Xu XJ, Tang YM, Song H, Yang SL, Xu WQ, Shi SW, Zhao N, Liao C. A multiplex cytokine score for the prediction of disease severity in pediatric hematology/oncology patients with septic shock. Cytokine. 2013; 64:590-6.</w:t>
            </w:r>
          </w:p>
          <w:p w14:paraId="68D6F82B">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Xu XJ, Tang YM, Song H, Yang SL, Xu WQ, Shi SW. Corticosteroid administration is associated with improved outcome of patients presenting high inflammatory cytokine levels during septic shock. Pediatr Blood Cancer. 2014; 61:2243-8.</w:t>
            </w:r>
          </w:p>
          <w:p w14:paraId="78B2C2CB">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Tang Y, Xu X, Song H, Yang S, Shi S, Wei J, Pan B, Zhao F, Liao C, Luo C. Early diagnostic and prognostic significance of a specific Th1/Th2 cytokine pattern in children with haemophagocytic syndrome. Br J Haematol. 2008; 143:84-91.</w:t>
            </w:r>
          </w:p>
          <w:p w14:paraId="318A31B4">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Xu XJ, Tang YM, Song H, Yang SL, Xu WQ, Zhao N, Shi SW, Shen HP, Mao JQ, Zhang LY, Pan BH. Diagnostic accuracy of a specific cytokine pattern in hemophagocytic lymphohistiocytosis in children. J Pediatr. 2012; 160:984-90 e1.</w:t>
            </w:r>
          </w:p>
          <w:p w14:paraId="6A5F22F3">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Chen Y, Wang Z, Luo Z, Zhao N, Yang S, Tang Y. Comparison of Th1/Th2 cytokine profiles between primary and secondary haemophagocytic lymphohistiocytosis. Ital J Pediatr. 2016; 42:50.</w:t>
            </w:r>
          </w:p>
          <w:p w14:paraId="26773E53">
            <w:pPr>
              <w:pStyle w:val="32"/>
              <w:numPr>
                <w:ilvl w:val="0"/>
                <w:numId w:val="3"/>
              </w:numPr>
              <w:spacing w:line="400" w:lineRule="exact"/>
              <w:ind w:firstLineChars="0"/>
              <w:contextualSpacing/>
              <w:jc w:val="left"/>
              <w:rPr>
                <w:rFonts w:ascii="Times New Roman" w:eastAsiaTheme="minorEastAsia"/>
                <w:color w:val="000000"/>
                <w:kern w:val="0"/>
                <w:sz w:val="24"/>
                <w:szCs w:val="24"/>
              </w:rPr>
            </w:pPr>
            <w:r>
              <w:rPr>
                <w:rFonts w:ascii="Times New Roman" w:eastAsiaTheme="minorEastAsia"/>
                <w:color w:val="000000"/>
                <w:kern w:val="0"/>
                <w:sz w:val="24"/>
                <w:szCs w:val="24"/>
              </w:rPr>
              <w:t>Shen D, Song H, Xu X, Xu W, Wang D, Liang J, Fang M, Liao C, Chen X, Li S, Zhao N, Huang W, Tang Y. Chimeric antigen receptor T cell therapy can be administered safely under the real-time monitoring of Th1/Th2 cytokine pattern using the cytometric bead array technology for relapsed and refractory acute lymphoblastic leukemia in children. Pediatr Hematol Oncol. 2020; 37:288-99.</w:t>
            </w:r>
          </w:p>
        </w:tc>
      </w:tr>
      <w:tr w14:paraId="5A82A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1730" w:type="dxa"/>
            <w:tcBorders>
              <w:right w:val="single" w:color="auto" w:sz="4" w:space="0"/>
            </w:tcBorders>
            <w:vAlign w:val="center"/>
          </w:tcPr>
          <w:p w14:paraId="2FE0B481">
            <w:pPr>
              <w:spacing w:line="440" w:lineRule="exact"/>
              <w:jc w:val="center"/>
              <w:rPr>
                <w:rFonts w:hint="eastAsia" w:ascii="仿宋" w:hAnsi="仿宋" w:eastAsia="仿宋"/>
                <w:bCs/>
                <w:sz w:val="28"/>
                <w:szCs w:val="28"/>
              </w:rPr>
            </w:pPr>
            <w:r>
              <w:rPr>
                <w:rFonts w:ascii="仿宋" w:hAnsi="仿宋" w:eastAsia="仿宋"/>
                <w:bCs/>
                <w:sz w:val="28"/>
                <w:szCs w:val="28"/>
              </w:rPr>
              <w:t>主要完成人</w:t>
            </w:r>
          </w:p>
        </w:tc>
        <w:tc>
          <w:tcPr>
            <w:tcW w:w="6776" w:type="dxa"/>
            <w:tcBorders>
              <w:left w:val="single" w:color="auto" w:sz="4" w:space="0"/>
            </w:tcBorders>
            <w:vAlign w:val="center"/>
          </w:tcPr>
          <w:p w14:paraId="0057D0B4">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汤永民，排名1，主任医师，浙江大学医学院附属儿童医院；</w:t>
            </w:r>
          </w:p>
          <w:p w14:paraId="23AAD8F5">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徐晓军，排名2，主任医师，浙江大学医学院附属儿童医院；</w:t>
            </w:r>
          </w:p>
          <w:p w14:paraId="1D58EFA0">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廖婵，排名3，副主任医师，浙江大学医学院附属儿童医院；</w:t>
            </w:r>
          </w:p>
          <w:p w14:paraId="37BE71B9">
            <w:pPr>
              <w:adjustRightInd w:val="0"/>
              <w:spacing w:line="400" w:lineRule="exact"/>
              <w:contextualSpacing/>
              <w:rPr>
                <w:rFonts w:hint="eastAsia" w:eastAsia="宋体"/>
                <w:color w:val="000000"/>
                <w:kern w:val="0"/>
                <w:sz w:val="24"/>
                <w:szCs w:val="24"/>
                <w:lang w:val="en-US" w:eastAsia="zh-CN"/>
              </w:rPr>
            </w:pPr>
            <w:r>
              <w:rPr>
                <w:rFonts w:hint="eastAsia" w:eastAsiaTheme="minorEastAsia"/>
                <w:color w:val="000000"/>
                <w:kern w:val="0"/>
                <w:sz w:val="24"/>
                <w:szCs w:val="24"/>
                <w:lang w:val="en-US" w:eastAsia="zh-CN"/>
              </w:rPr>
              <w:t>陈善问，排名4，总经理，</w:t>
            </w:r>
            <w:r>
              <w:rPr>
                <w:rFonts w:hint="eastAsia"/>
                <w:szCs w:val="24"/>
              </w:rPr>
              <w:t>杭州赛基生物科技有限公司</w:t>
            </w:r>
            <w:r>
              <w:rPr>
                <w:rFonts w:hint="eastAsia"/>
                <w:szCs w:val="24"/>
                <w:lang w:eastAsia="zh-CN"/>
              </w:rPr>
              <w:t>；</w:t>
            </w:r>
          </w:p>
          <w:p w14:paraId="6DD8A0B3">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赵宁，排名</w:t>
            </w:r>
            <w:r>
              <w:rPr>
                <w:rFonts w:hint="eastAsia" w:eastAsiaTheme="minorEastAsia"/>
                <w:color w:val="000000"/>
                <w:kern w:val="0"/>
                <w:sz w:val="24"/>
                <w:szCs w:val="24"/>
                <w:lang w:val="en-US" w:eastAsia="zh-CN"/>
              </w:rPr>
              <w:t>5</w:t>
            </w:r>
            <w:r>
              <w:rPr>
                <w:rFonts w:eastAsiaTheme="minorEastAsia"/>
                <w:color w:val="000000"/>
                <w:kern w:val="0"/>
                <w:sz w:val="24"/>
                <w:szCs w:val="24"/>
              </w:rPr>
              <w:t>，主管技师，浙江大</w:t>
            </w:r>
            <w:r>
              <w:rPr>
                <w:rFonts w:hint="eastAsia" w:eastAsiaTheme="minorEastAsia"/>
                <w:color w:val="000000"/>
                <w:kern w:val="0"/>
                <w:sz w:val="24"/>
                <w:szCs w:val="24"/>
                <w:lang w:val="en-US" w:eastAsia="zh-CN"/>
              </w:rPr>
              <w:t>杭州</w:t>
            </w:r>
            <w:r>
              <w:rPr>
                <w:rFonts w:eastAsiaTheme="minorEastAsia"/>
                <w:color w:val="000000"/>
                <w:kern w:val="0"/>
                <w:sz w:val="24"/>
                <w:szCs w:val="24"/>
              </w:rPr>
              <w:t>学医学院附属儿童医院；</w:t>
            </w:r>
          </w:p>
          <w:p w14:paraId="6E8AF663">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梁娟，排名</w:t>
            </w:r>
            <w:r>
              <w:rPr>
                <w:rFonts w:hint="eastAsia" w:eastAsiaTheme="minorEastAsia"/>
                <w:color w:val="000000"/>
                <w:kern w:val="0"/>
                <w:sz w:val="24"/>
                <w:szCs w:val="24"/>
                <w:lang w:val="en-US" w:eastAsia="zh-CN"/>
              </w:rPr>
              <w:t>6</w:t>
            </w:r>
            <w:r>
              <w:rPr>
                <w:rFonts w:eastAsiaTheme="minorEastAsia"/>
                <w:color w:val="000000"/>
                <w:kern w:val="0"/>
                <w:sz w:val="24"/>
                <w:szCs w:val="24"/>
              </w:rPr>
              <w:t>，副主任医师，浙江大学医学院附属儿童医院；</w:t>
            </w:r>
          </w:p>
          <w:p w14:paraId="7ECD740F">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徐卫群，排名</w:t>
            </w:r>
            <w:r>
              <w:rPr>
                <w:rFonts w:hint="eastAsia" w:eastAsiaTheme="minorEastAsia"/>
                <w:color w:val="000000"/>
                <w:kern w:val="0"/>
                <w:sz w:val="24"/>
                <w:szCs w:val="24"/>
                <w:lang w:val="en-US" w:eastAsia="zh-CN"/>
              </w:rPr>
              <w:t>7</w:t>
            </w:r>
            <w:r>
              <w:rPr>
                <w:rFonts w:eastAsiaTheme="minorEastAsia"/>
                <w:color w:val="000000"/>
                <w:kern w:val="0"/>
                <w:sz w:val="24"/>
                <w:szCs w:val="24"/>
              </w:rPr>
              <w:t>，主任医师，浙江大学医学院附属儿童医院；</w:t>
            </w:r>
          </w:p>
          <w:p w14:paraId="799C966A">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张晶樱，排名</w:t>
            </w:r>
            <w:r>
              <w:rPr>
                <w:rFonts w:hint="eastAsia" w:eastAsiaTheme="minorEastAsia"/>
                <w:color w:val="000000"/>
                <w:kern w:val="0"/>
                <w:sz w:val="24"/>
                <w:szCs w:val="24"/>
                <w:lang w:val="en-US" w:eastAsia="zh-CN"/>
              </w:rPr>
              <w:t>8</w:t>
            </w:r>
            <w:r>
              <w:rPr>
                <w:rFonts w:eastAsiaTheme="minorEastAsia"/>
                <w:color w:val="000000"/>
                <w:kern w:val="0"/>
                <w:sz w:val="24"/>
                <w:szCs w:val="24"/>
              </w:rPr>
              <w:t>，副主任医师，浙江大学医学院附属儿童医院；</w:t>
            </w:r>
          </w:p>
          <w:p w14:paraId="3D132CC3">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宋华，排名</w:t>
            </w:r>
            <w:r>
              <w:rPr>
                <w:rFonts w:hint="eastAsia" w:eastAsiaTheme="minorEastAsia"/>
                <w:color w:val="000000"/>
                <w:kern w:val="0"/>
                <w:sz w:val="24"/>
                <w:szCs w:val="24"/>
                <w:lang w:val="en-US" w:eastAsia="zh-CN"/>
              </w:rPr>
              <w:t>9</w:t>
            </w:r>
            <w:r>
              <w:rPr>
                <w:rFonts w:eastAsiaTheme="minorEastAsia"/>
                <w:color w:val="000000"/>
                <w:kern w:val="0"/>
                <w:sz w:val="24"/>
                <w:szCs w:val="24"/>
              </w:rPr>
              <w:t>，主任医师，浙江大学医学院附属儿童医院；</w:t>
            </w:r>
          </w:p>
          <w:p w14:paraId="259CB24B">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沈笛颖，排名</w:t>
            </w:r>
            <w:r>
              <w:rPr>
                <w:rFonts w:hint="eastAsia" w:eastAsiaTheme="minorEastAsia"/>
                <w:color w:val="000000"/>
                <w:kern w:val="0"/>
                <w:sz w:val="24"/>
                <w:szCs w:val="24"/>
                <w:lang w:val="en-US" w:eastAsia="zh-CN"/>
              </w:rPr>
              <w:t>10</w:t>
            </w:r>
            <w:r>
              <w:rPr>
                <w:rFonts w:eastAsiaTheme="minorEastAsia"/>
                <w:color w:val="000000"/>
                <w:kern w:val="0"/>
                <w:sz w:val="24"/>
                <w:szCs w:val="24"/>
              </w:rPr>
              <w:t>，副主任医师，浙江大学医学院附属儿童医院；</w:t>
            </w:r>
          </w:p>
          <w:p w14:paraId="0867C04D">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骆泽斌，排名1</w:t>
            </w:r>
            <w:r>
              <w:rPr>
                <w:rFonts w:hint="eastAsia" w:eastAsiaTheme="minorEastAsia"/>
                <w:color w:val="000000"/>
                <w:kern w:val="0"/>
                <w:sz w:val="24"/>
                <w:szCs w:val="24"/>
                <w:lang w:val="en-US" w:eastAsia="zh-CN"/>
              </w:rPr>
              <w:t>1</w:t>
            </w:r>
            <w:r>
              <w:rPr>
                <w:rFonts w:eastAsiaTheme="minorEastAsia"/>
                <w:color w:val="000000"/>
                <w:kern w:val="0"/>
                <w:sz w:val="24"/>
                <w:szCs w:val="24"/>
              </w:rPr>
              <w:t>，主治医师，浙江大学医学院附属儿童医院；</w:t>
            </w:r>
          </w:p>
          <w:p w14:paraId="7F9D0605">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沈和萍，排名1</w:t>
            </w:r>
            <w:r>
              <w:rPr>
                <w:rFonts w:hint="eastAsia" w:eastAsiaTheme="minorEastAsia"/>
                <w:color w:val="000000"/>
                <w:kern w:val="0"/>
                <w:sz w:val="24"/>
                <w:szCs w:val="24"/>
                <w:lang w:val="en-US" w:eastAsia="zh-CN"/>
              </w:rPr>
              <w:t>2</w:t>
            </w:r>
            <w:r>
              <w:rPr>
                <w:rFonts w:eastAsiaTheme="minorEastAsia"/>
                <w:color w:val="000000"/>
                <w:kern w:val="0"/>
                <w:sz w:val="24"/>
                <w:szCs w:val="24"/>
              </w:rPr>
              <w:t>，副主任医师，浙江大学医学院附属儿童医院；</w:t>
            </w:r>
          </w:p>
          <w:p w14:paraId="1540D09A">
            <w:pPr>
              <w:adjustRightInd w:val="0"/>
              <w:spacing w:line="400" w:lineRule="exact"/>
              <w:contextualSpacing/>
              <w:rPr>
                <w:rFonts w:eastAsiaTheme="minorEastAsia"/>
                <w:color w:val="000000"/>
                <w:kern w:val="0"/>
                <w:sz w:val="24"/>
                <w:szCs w:val="24"/>
              </w:rPr>
            </w:pPr>
            <w:r>
              <w:rPr>
                <w:rFonts w:eastAsiaTheme="minorEastAsia"/>
                <w:color w:val="000000"/>
                <w:kern w:val="0"/>
                <w:sz w:val="24"/>
                <w:szCs w:val="24"/>
              </w:rPr>
              <w:t>陈园园，排名1</w:t>
            </w:r>
            <w:r>
              <w:rPr>
                <w:rFonts w:hint="eastAsia" w:eastAsiaTheme="minorEastAsia"/>
                <w:color w:val="000000"/>
                <w:kern w:val="0"/>
                <w:sz w:val="24"/>
                <w:szCs w:val="24"/>
                <w:lang w:val="en-US" w:eastAsia="zh-CN"/>
              </w:rPr>
              <w:t>3</w:t>
            </w:r>
            <w:r>
              <w:rPr>
                <w:rFonts w:eastAsiaTheme="minorEastAsia"/>
                <w:color w:val="000000"/>
                <w:kern w:val="0"/>
                <w:sz w:val="24"/>
                <w:szCs w:val="24"/>
              </w:rPr>
              <w:t>，副主任医师，浙江大学医学院附属儿童医院；</w:t>
            </w:r>
          </w:p>
          <w:p w14:paraId="274D45FC">
            <w:pPr>
              <w:adjustRightInd w:val="0"/>
              <w:spacing w:line="400" w:lineRule="exact"/>
              <w:contextualSpacing/>
              <w:rPr>
                <w:rFonts w:eastAsiaTheme="minorEastAsia"/>
                <w:bCs/>
                <w:sz w:val="24"/>
                <w:szCs w:val="24"/>
              </w:rPr>
            </w:pPr>
          </w:p>
        </w:tc>
      </w:tr>
      <w:tr w14:paraId="2CF4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1730" w:type="dxa"/>
            <w:tcBorders>
              <w:right w:val="single" w:color="auto" w:sz="4" w:space="0"/>
            </w:tcBorders>
            <w:vAlign w:val="center"/>
          </w:tcPr>
          <w:p w14:paraId="605DB52C">
            <w:pPr>
              <w:spacing w:line="440" w:lineRule="exact"/>
              <w:jc w:val="center"/>
              <w:rPr>
                <w:rFonts w:hint="eastAsia" w:ascii="仿宋" w:hAnsi="仿宋" w:eastAsia="仿宋"/>
                <w:bCs/>
                <w:sz w:val="28"/>
                <w:szCs w:val="28"/>
              </w:rPr>
            </w:pPr>
            <w:r>
              <w:rPr>
                <w:rFonts w:ascii="仿宋" w:hAnsi="仿宋" w:eastAsia="仿宋"/>
                <w:bCs/>
                <w:sz w:val="28"/>
                <w:szCs w:val="28"/>
              </w:rPr>
              <w:t>主要完成单位</w:t>
            </w:r>
          </w:p>
        </w:tc>
        <w:tc>
          <w:tcPr>
            <w:tcW w:w="6776" w:type="dxa"/>
            <w:tcBorders>
              <w:left w:val="single" w:color="auto" w:sz="4" w:space="0"/>
            </w:tcBorders>
            <w:vAlign w:val="center"/>
          </w:tcPr>
          <w:p w14:paraId="51FE89AF">
            <w:pPr>
              <w:numPr>
                <w:ilvl w:val="0"/>
                <w:numId w:val="4"/>
              </w:numPr>
              <w:spacing w:line="400" w:lineRule="exact"/>
              <w:contextualSpacing/>
              <w:jc w:val="left"/>
              <w:rPr>
                <w:rFonts w:hint="eastAsia" w:ascii="宋体" w:hAnsi="宋体" w:eastAsia="宋体" w:cs="宋体"/>
                <w:bCs/>
                <w:sz w:val="24"/>
                <w:szCs w:val="24"/>
              </w:rPr>
            </w:pPr>
            <w:r>
              <w:rPr>
                <w:rFonts w:hint="eastAsia" w:ascii="宋体" w:hAnsi="宋体" w:eastAsia="宋体" w:cs="宋体"/>
                <w:bCs/>
                <w:sz w:val="24"/>
                <w:szCs w:val="24"/>
              </w:rPr>
              <w:t>浙江大学医学院附属儿童医院</w:t>
            </w:r>
          </w:p>
          <w:p w14:paraId="4039CAA2">
            <w:pPr>
              <w:numPr>
                <w:ilvl w:val="0"/>
                <w:numId w:val="4"/>
              </w:numPr>
              <w:spacing w:line="400" w:lineRule="exact"/>
              <w:contextualSpacing/>
              <w:jc w:val="left"/>
              <w:rPr>
                <w:rFonts w:hint="eastAsia" w:ascii="宋体" w:hAnsi="宋体" w:eastAsia="宋体" w:cs="宋体"/>
                <w:bCs/>
                <w:sz w:val="24"/>
                <w:szCs w:val="24"/>
              </w:rPr>
            </w:pPr>
            <w:r>
              <w:rPr>
                <w:rFonts w:hint="eastAsia" w:ascii="宋体" w:hAnsi="宋体" w:eastAsia="宋体" w:cs="宋体"/>
                <w:sz w:val="24"/>
                <w:szCs w:val="24"/>
              </w:rPr>
              <w:t>杭州赛基生物科技有限公司</w:t>
            </w:r>
          </w:p>
          <w:p w14:paraId="2B55F1ED">
            <w:pPr>
              <w:spacing w:line="400" w:lineRule="exact"/>
              <w:contextualSpacing/>
              <w:jc w:val="center"/>
              <w:rPr>
                <w:rFonts w:eastAsiaTheme="minorEastAsia"/>
                <w:bCs/>
                <w:sz w:val="24"/>
                <w:szCs w:val="24"/>
              </w:rPr>
            </w:pPr>
          </w:p>
        </w:tc>
      </w:tr>
      <w:tr w14:paraId="4CB5E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730" w:type="dxa"/>
            <w:vAlign w:val="center"/>
          </w:tcPr>
          <w:p w14:paraId="49D41886">
            <w:pPr>
              <w:jc w:val="center"/>
              <w:rPr>
                <w:rStyle w:val="36"/>
                <w:rFonts w:hint="eastAsia" w:ascii="仿宋" w:hAnsi="仿宋" w:eastAsia="仿宋"/>
                <w:b w:val="0"/>
                <w:color w:val="auto"/>
                <w:sz w:val="28"/>
                <w:szCs w:val="28"/>
              </w:rPr>
            </w:pPr>
            <w:r>
              <w:rPr>
                <w:rStyle w:val="36"/>
                <w:rFonts w:ascii="仿宋" w:hAnsi="仿宋" w:eastAsia="仿宋"/>
                <w:b w:val="0"/>
                <w:color w:val="auto"/>
                <w:sz w:val="28"/>
                <w:szCs w:val="28"/>
              </w:rPr>
              <w:t>提名单位</w:t>
            </w:r>
          </w:p>
        </w:tc>
        <w:tc>
          <w:tcPr>
            <w:tcW w:w="6776" w:type="dxa"/>
            <w:vAlign w:val="center"/>
          </w:tcPr>
          <w:p w14:paraId="68BD997B">
            <w:pPr>
              <w:spacing w:line="400" w:lineRule="exact"/>
              <w:contextualSpacing/>
              <w:jc w:val="center"/>
              <w:rPr>
                <w:rStyle w:val="36"/>
                <w:rFonts w:eastAsiaTheme="minorEastAsia"/>
                <w:b w:val="0"/>
                <w:color w:val="auto"/>
              </w:rPr>
            </w:pPr>
            <w:r>
              <w:rPr>
                <w:rStyle w:val="36"/>
                <w:rFonts w:eastAsiaTheme="minorEastAsia"/>
                <w:b w:val="0"/>
                <w:color w:val="auto"/>
              </w:rPr>
              <w:t>浙江大学</w:t>
            </w:r>
          </w:p>
        </w:tc>
      </w:tr>
      <w:tr w14:paraId="7AF66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1" w:hRule="atLeast"/>
        </w:trPr>
        <w:tc>
          <w:tcPr>
            <w:tcW w:w="1730" w:type="dxa"/>
            <w:vAlign w:val="center"/>
          </w:tcPr>
          <w:p w14:paraId="790B8352">
            <w:pPr>
              <w:jc w:val="center"/>
              <w:rPr>
                <w:rStyle w:val="36"/>
                <w:rFonts w:hint="eastAsia" w:ascii="仿宋" w:hAnsi="仿宋" w:eastAsia="仿宋"/>
                <w:b w:val="0"/>
                <w:color w:val="auto"/>
                <w:sz w:val="28"/>
                <w:szCs w:val="28"/>
              </w:rPr>
            </w:pPr>
            <w:r>
              <w:rPr>
                <w:rStyle w:val="36"/>
                <w:rFonts w:ascii="仿宋" w:hAnsi="仿宋" w:eastAsia="仿宋"/>
                <w:b w:val="0"/>
                <w:color w:val="auto"/>
                <w:sz w:val="28"/>
                <w:szCs w:val="28"/>
              </w:rPr>
              <w:t>提名意见</w:t>
            </w:r>
          </w:p>
        </w:tc>
        <w:tc>
          <w:tcPr>
            <w:tcW w:w="6776" w:type="dxa"/>
            <w:vAlign w:val="center"/>
          </w:tcPr>
          <w:p w14:paraId="3AE261C0">
            <w:pPr>
              <w:keepNext w:val="0"/>
              <w:keepLines w:val="0"/>
              <w:pageBreakBefore w:val="0"/>
              <w:widowControl w:val="0"/>
              <w:kinsoku/>
              <w:wordWrap/>
              <w:overflowPunct/>
              <w:topLinePunct w:val="0"/>
              <w:autoSpaceDE/>
              <w:autoSpaceDN/>
              <w:bidi w:val="0"/>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儿童发热性重症严重威胁患儿的生命安全，多数病例存在高细胞因子血症，病情进展迅速，死亡率高。汤永民团队从2005年开始创建了基于流式细胞微球阵列（CBA）技术快速检测血清细胞因子谱的技术平台，单中心完成30余万例次检测，开创性地建立了细胞因子谱用于感染、HLH及免疫治疗相关CRS临床诊治方面的理论体系，取得了如下重大成果：（1）重症感染：在全球率先发现了革兰氏阳性菌、阴性菌、病毒、真菌感染的细胞因子谱；建立了基于细胞因子水平的儿童脓毒症评分体系；指导合理应用糖皮质激素抢救脓毒性休克，病死率由25%降至8%。（2）HLH：在全球率先提出基于细胞因子谱的HLH诊治体系，包括提出了HLH的细胞因子谱</w:t>
            </w:r>
            <w:r>
              <w:rPr>
                <w:rFonts w:hint="eastAsia" w:ascii="宋体" w:hAnsi="宋体" w:eastAsia="宋体" w:cs="宋体"/>
                <w:sz w:val="21"/>
                <w:szCs w:val="21"/>
                <w:lang w:val="en-US" w:eastAsia="zh-CN"/>
              </w:rPr>
              <w:t>诊断</w:t>
            </w:r>
            <w:r>
              <w:rPr>
                <w:rFonts w:hint="eastAsia" w:ascii="宋体" w:hAnsi="宋体" w:eastAsia="宋体" w:cs="宋体"/>
                <w:sz w:val="21"/>
                <w:szCs w:val="21"/>
              </w:rPr>
              <w:t>标准、不同HLH亚型的细胞因子谱特点和利用细胞因子谱对HLH进行分层精准治疗，使儿童HLH的治愈率从原来的60%提高到80%以上，结果被纳入国际国内HLH诊疗指南。（3）免疫治疗相关CRS：</w:t>
            </w:r>
            <w:r>
              <w:rPr>
                <w:rFonts w:hint="eastAsia" w:ascii="宋体" w:hAnsi="宋体" w:eastAsia="宋体" w:cs="宋体"/>
                <w:sz w:val="21"/>
                <w:szCs w:val="21"/>
                <w:lang w:val="en-US" w:eastAsia="zh-CN"/>
              </w:rPr>
              <w:t>最</w:t>
            </w:r>
            <w:r>
              <w:rPr>
                <w:rFonts w:hint="eastAsia" w:ascii="宋体" w:hAnsi="宋体" w:eastAsia="宋体" w:cs="宋体"/>
                <w:sz w:val="21"/>
                <w:szCs w:val="21"/>
              </w:rPr>
              <w:t>早提出了利用细胞因子谱全程动态监测免疫治疗过程的理念，使CAR-T细胞治疗成功率达到70%~98%。该成果经国内26个省市40余家儿童医疗中心2万余例的临床应用，取得了与该团队类似的诊治结果。</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通过前期临床数据，向国家药监局提议推进细胞因子谱检测试剂盒的创新注册3项，获得国家发明专利7项，大大推动了产业化发展，截止2024年，全国已有2000余家三甲医院开展该检测，每年（不限于儿童）约有1000万人次通过细胞因子谱的检测而获益。</w:t>
            </w:r>
            <w:r>
              <w:rPr>
                <w:rFonts w:hint="eastAsia" w:ascii="宋体" w:hAnsi="宋体" w:eastAsia="宋体" w:cs="宋体"/>
                <w:sz w:val="21"/>
                <w:szCs w:val="21"/>
              </w:rPr>
              <w:t>成果具有理论创新性、技术先进性和临床实用性，总体达到了国际领先或先进水平，为推动医学进步作出了重要贡献。</w:t>
            </w:r>
          </w:p>
          <w:p w14:paraId="5D527C43">
            <w:pPr>
              <w:keepNext w:val="0"/>
              <w:keepLines w:val="0"/>
              <w:pageBreakBefore w:val="0"/>
              <w:widowControl w:val="0"/>
              <w:kinsoku/>
              <w:wordWrap/>
              <w:overflowPunct/>
              <w:topLinePunct w:val="0"/>
              <w:autoSpaceDE/>
              <w:autoSpaceDN/>
              <w:bidi w:val="0"/>
              <w:adjustRightInd w:val="0"/>
              <w:snapToGrid/>
              <w:spacing w:line="240" w:lineRule="auto"/>
              <w:ind w:firstLine="420" w:firstLineChars="200"/>
              <w:contextualSpacing/>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期间共发表相关论文21篇。本成果受国家自然科学基金3项，浙江省自然科学基金2项资助，纵向科研经费200万元。培养博士研究生20名，硕士研究生30名，为学科建设和人才培养发挥了重要的作用。</w:t>
            </w:r>
            <w:r>
              <w:rPr>
                <w:rFonts w:hint="eastAsia" w:ascii="宋体" w:hAnsi="宋体" w:eastAsia="宋体" w:cs="宋体"/>
                <w:color w:val="000000"/>
                <w:kern w:val="0"/>
                <w:sz w:val="21"/>
                <w:szCs w:val="21"/>
                <w:lang w:val="en-US" w:eastAsia="zh-CN"/>
              </w:rPr>
              <w:t>企业方试剂盒2021-2023</w:t>
            </w:r>
            <w:r>
              <w:rPr>
                <w:rFonts w:hint="eastAsia" w:ascii="宋体" w:hAnsi="宋体" w:cs="宋体"/>
                <w:color w:val="000000"/>
                <w:kern w:val="0"/>
                <w:sz w:val="21"/>
                <w:szCs w:val="21"/>
                <w:lang w:val="en-US" w:eastAsia="zh-CN"/>
              </w:rPr>
              <w:t>三</w:t>
            </w:r>
            <w:r>
              <w:rPr>
                <w:rFonts w:hint="eastAsia" w:ascii="宋体" w:hAnsi="宋体" w:eastAsia="宋体" w:cs="宋体"/>
                <w:color w:val="000000"/>
                <w:kern w:val="0"/>
                <w:sz w:val="21"/>
                <w:szCs w:val="21"/>
                <w:lang w:val="en-US" w:eastAsia="zh-CN"/>
              </w:rPr>
              <w:t>年销售额</w:t>
            </w:r>
            <w:r>
              <w:rPr>
                <w:rFonts w:hint="eastAsia" w:ascii="宋体" w:hAnsi="宋体" w:eastAsia="宋体" w:cs="宋体"/>
                <w:sz w:val="21"/>
                <w:szCs w:val="21"/>
              </w:rPr>
              <w:t>5</w:t>
            </w:r>
            <w:r>
              <w:rPr>
                <w:rFonts w:hint="eastAsia" w:ascii="宋体" w:hAnsi="宋体" w:cs="宋体"/>
                <w:sz w:val="21"/>
                <w:szCs w:val="21"/>
                <w:lang w:val="en-US" w:eastAsia="zh-CN"/>
              </w:rPr>
              <w:t>.6亿</w:t>
            </w:r>
            <w:r>
              <w:rPr>
                <w:rFonts w:hint="eastAsia" w:ascii="宋体" w:hAnsi="宋体" w:eastAsia="宋体" w:cs="宋体"/>
                <w:sz w:val="21"/>
                <w:szCs w:val="21"/>
                <w:lang w:val="en-US" w:eastAsia="zh-CN"/>
              </w:rPr>
              <w:t>元，取得了良好的社会经济效益。</w:t>
            </w:r>
          </w:p>
          <w:p w14:paraId="4DF8EF44">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pPr>
            <w:r>
              <w:rPr>
                <w:rFonts w:hint="eastAsia" w:ascii="宋体" w:hAnsi="宋体" w:eastAsia="宋体" w:cs="宋体"/>
                <w:sz w:val="21"/>
                <w:szCs w:val="21"/>
              </w:rPr>
              <w:t>提名申报浙江省科技进步奖一等奖。</w:t>
            </w:r>
          </w:p>
          <w:p w14:paraId="301F933D">
            <w:pPr>
              <w:adjustRightInd w:val="0"/>
              <w:spacing w:line="400" w:lineRule="exact"/>
              <w:contextualSpacing/>
              <w:rPr>
                <w:rStyle w:val="36"/>
                <w:rFonts w:eastAsiaTheme="minorEastAsia"/>
                <w:b w:val="0"/>
                <w:bCs w:val="0"/>
                <w:color w:val="000000"/>
                <w:kern w:val="0"/>
              </w:rPr>
            </w:pPr>
          </w:p>
        </w:tc>
      </w:tr>
    </w:tbl>
    <w:p w14:paraId="22655834">
      <w:pPr>
        <w:adjustRightInd w:val="0"/>
        <w:snapToGrid w:val="0"/>
        <w:spacing w:line="500" w:lineRule="exact"/>
        <w:jc w:val="left"/>
        <w:rPr>
          <w:b/>
          <w:bCs/>
          <w:color w:val="000000"/>
          <w:kern w:val="0"/>
          <w:sz w:val="28"/>
          <w:szCs w:val="28"/>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214266-8959-4C6B-B111-97EA3B9020FF}"/>
  </w:font>
  <w:font w:name="Arial">
    <w:panose1 w:val="020B0604020202020204"/>
    <w:charset w:val="01"/>
    <w:family w:val="swiss"/>
    <w:pitch w:val="default"/>
    <w:sig w:usb0="E0002EFF" w:usb1="C000785B" w:usb2="00000009" w:usb3="00000000" w:csb0="400001FF" w:csb1="FFFF0000"/>
    <w:embedRegular r:id="rId2" w:fontKey="{671B4EEB-70B8-4AAC-9004-82698E5642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825D807-74B1-4C2F-AC85-B7442A46E758}"/>
  </w:font>
  <w:font w:name="Symbol">
    <w:panose1 w:val="05050102010706020507"/>
    <w:charset w:val="02"/>
    <w:family w:val="roman"/>
    <w:pitch w:val="default"/>
    <w:sig w:usb0="00000000" w:usb1="00000000" w:usb2="00000000" w:usb3="00000000" w:csb0="80000000" w:csb1="00000000"/>
    <w:embedRegular r:id="rId4" w:fontKey="{3F22F02E-3ED5-4DD7-9678-934F76D12657}"/>
  </w:font>
  <w:font w:name="Calibri">
    <w:panose1 w:val="020F0502020204030204"/>
    <w:charset w:val="00"/>
    <w:family w:val="swiss"/>
    <w:pitch w:val="default"/>
    <w:sig w:usb0="E4002EFF" w:usb1="C000247B" w:usb2="00000009" w:usb3="00000000" w:csb0="200001FF" w:csb1="00000000"/>
    <w:embedRegular r:id="rId5" w:fontKey="{01C17362-09F1-41DD-A018-42579C84CCEB}"/>
  </w:font>
  <w:font w:name="Cambria">
    <w:panose1 w:val="02040503050406030204"/>
    <w:charset w:val="00"/>
    <w:family w:val="roman"/>
    <w:pitch w:val="default"/>
    <w:sig w:usb0="E00006FF" w:usb1="420024FF" w:usb2="02000000" w:usb3="00000000" w:csb0="2000019F" w:csb1="00000000"/>
    <w:embedRegular r:id="rId6" w:fontKey="{63E9E0C8-CFF5-4FBD-9B5B-128AC43B58E2}"/>
  </w:font>
  <w:font w:name="仿宋_GB2312">
    <w:panose1 w:val="02010609030101010101"/>
    <w:charset w:val="86"/>
    <w:family w:val="modern"/>
    <w:pitch w:val="default"/>
    <w:sig w:usb0="00000001" w:usb1="080E0000" w:usb2="00000000" w:usb3="00000000" w:csb0="00040000" w:csb1="00000000"/>
    <w:embedRegular r:id="rId7" w:fontKey="{41022A83-474A-4F52-A190-2D863D24C7F2}"/>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F01124F2-C553-482D-B409-1C52B4B278C0}"/>
  </w:font>
  <w:font w:name="仿宋">
    <w:panose1 w:val="02010609060101010101"/>
    <w:charset w:val="86"/>
    <w:family w:val="modern"/>
    <w:pitch w:val="default"/>
    <w:sig w:usb0="800002BF" w:usb1="38CF7CFA" w:usb2="00000016" w:usb3="00000000" w:csb0="00040001" w:csb1="00000000"/>
    <w:embedRegular r:id="rId9" w:fontKey="{81B38C1D-266D-4695-A414-90C85C1E6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BDBBB8A">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DCCDC">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F1F2B">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19374">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A34320"/>
    <w:multiLevelType w:val="singleLevel"/>
    <w:tmpl w:val="D4A34320"/>
    <w:lvl w:ilvl="0" w:tentative="0">
      <w:start w:val="1"/>
      <w:numFmt w:val="decimal"/>
      <w:suff w:val="space"/>
      <w:lvlText w:val="%1."/>
      <w:lvlJc w:val="left"/>
    </w:lvl>
  </w:abstractNum>
  <w:abstractNum w:abstractNumId="1">
    <w:nsid w:val="4E91DB78"/>
    <w:multiLevelType w:val="singleLevel"/>
    <w:tmpl w:val="4E91DB78"/>
    <w:lvl w:ilvl="0" w:tentative="0">
      <w:start w:val="1"/>
      <w:numFmt w:val="decimal"/>
      <w:suff w:val="nothing"/>
      <w:lvlText w:val="（%1）"/>
      <w:lvlJc w:val="left"/>
      <w:pPr>
        <w:ind w:left="315" w:leftChars="0" w:firstLine="0" w:firstLineChars="0"/>
      </w:pPr>
    </w:lvl>
  </w:abstractNum>
  <w:abstractNum w:abstractNumId="2">
    <w:nsid w:val="57030C8B"/>
    <w:multiLevelType w:val="singleLevel"/>
    <w:tmpl w:val="57030C8B"/>
    <w:lvl w:ilvl="0" w:tentative="0">
      <w:start w:val="1"/>
      <w:numFmt w:val="decimal"/>
      <w:suff w:val="space"/>
      <w:lvlText w:val="%1."/>
      <w:lvlJc w:val="left"/>
    </w:lvl>
  </w:abstractNum>
  <w:abstractNum w:abstractNumId="3">
    <w:nsid w:val="5F9C31A3"/>
    <w:multiLevelType w:val="multilevel"/>
    <w:tmpl w:val="5F9C31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 w:name="KY_MEDREF_DOCUID" w:val="{1A8525FD-745E-4B68-9CE4-6C15EDC26B1A}"/>
    <w:docVar w:name="KY_MEDREF_VERSION" w:val="3"/>
  </w:docVars>
  <w:rsids>
    <w:rsidRoot w:val="007C28FF"/>
    <w:rsid w:val="00006056"/>
    <w:rsid w:val="00007BBE"/>
    <w:rsid w:val="00011207"/>
    <w:rsid w:val="000165DC"/>
    <w:rsid w:val="00031E44"/>
    <w:rsid w:val="00033288"/>
    <w:rsid w:val="0004004D"/>
    <w:rsid w:val="00051BE3"/>
    <w:rsid w:val="00053F24"/>
    <w:rsid w:val="0006546D"/>
    <w:rsid w:val="00067E32"/>
    <w:rsid w:val="00083906"/>
    <w:rsid w:val="000847FC"/>
    <w:rsid w:val="000929AE"/>
    <w:rsid w:val="00097650"/>
    <w:rsid w:val="000A0FE4"/>
    <w:rsid w:val="000B70B3"/>
    <w:rsid w:val="000C632A"/>
    <w:rsid w:val="000F1229"/>
    <w:rsid w:val="000F2CC3"/>
    <w:rsid w:val="000F6066"/>
    <w:rsid w:val="000F6517"/>
    <w:rsid w:val="000F6B39"/>
    <w:rsid w:val="000F7732"/>
    <w:rsid w:val="001039E9"/>
    <w:rsid w:val="00104F03"/>
    <w:rsid w:val="0011098D"/>
    <w:rsid w:val="00116D24"/>
    <w:rsid w:val="0012430D"/>
    <w:rsid w:val="001323DD"/>
    <w:rsid w:val="00137E54"/>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1FF9"/>
    <w:rsid w:val="001D3908"/>
    <w:rsid w:val="001D3F93"/>
    <w:rsid w:val="001E05B3"/>
    <w:rsid w:val="001F032B"/>
    <w:rsid w:val="001F0854"/>
    <w:rsid w:val="001F1C56"/>
    <w:rsid w:val="001F2C76"/>
    <w:rsid w:val="001F7F40"/>
    <w:rsid w:val="00203507"/>
    <w:rsid w:val="00212129"/>
    <w:rsid w:val="00213CE9"/>
    <w:rsid w:val="0021734C"/>
    <w:rsid w:val="002242B0"/>
    <w:rsid w:val="002247F4"/>
    <w:rsid w:val="00230FE9"/>
    <w:rsid w:val="0023223F"/>
    <w:rsid w:val="00244749"/>
    <w:rsid w:val="00247A49"/>
    <w:rsid w:val="00251808"/>
    <w:rsid w:val="002579D1"/>
    <w:rsid w:val="002745F8"/>
    <w:rsid w:val="00283031"/>
    <w:rsid w:val="00292771"/>
    <w:rsid w:val="0029509E"/>
    <w:rsid w:val="00296134"/>
    <w:rsid w:val="002A2925"/>
    <w:rsid w:val="002A7955"/>
    <w:rsid w:val="002B3198"/>
    <w:rsid w:val="002B4E0F"/>
    <w:rsid w:val="002C17A0"/>
    <w:rsid w:val="002C6803"/>
    <w:rsid w:val="002C6E65"/>
    <w:rsid w:val="002D1FA7"/>
    <w:rsid w:val="002D3BA3"/>
    <w:rsid w:val="002E42A8"/>
    <w:rsid w:val="002E43DB"/>
    <w:rsid w:val="002F1911"/>
    <w:rsid w:val="002F74D2"/>
    <w:rsid w:val="0030543F"/>
    <w:rsid w:val="003063D6"/>
    <w:rsid w:val="00311F89"/>
    <w:rsid w:val="003125EF"/>
    <w:rsid w:val="00313BD3"/>
    <w:rsid w:val="00326352"/>
    <w:rsid w:val="00330554"/>
    <w:rsid w:val="00331B99"/>
    <w:rsid w:val="00336678"/>
    <w:rsid w:val="00340314"/>
    <w:rsid w:val="00343DF4"/>
    <w:rsid w:val="00347614"/>
    <w:rsid w:val="00356B8A"/>
    <w:rsid w:val="00362ADA"/>
    <w:rsid w:val="00363C7E"/>
    <w:rsid w:val="00370977"/>
    <w:rsid w:val="00377C1C"/>
    <w:rsid w:val="00382214"/>
    <w:rsid w:val="00382EDD"/>
    <w:rsid w:val="00386819"/>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5952"/>
    <w:rsid w:val="003F76A0"/>
    <w:rsid w:val="00401E30"/>
    <w:rsid w:val="004179C8"/>
    <w:rsid w:val="00427A6E"/>
    <w:rsid w:val="004300EE"/>
    <w:rsid w:val="00436EAC"/>
    <w:rsid w:val="00442705"/>
    <w:rsid w:val="00444A55"/>
    <w:rsid w:val="0044700B"/>
    <w:rsid w:val="0044760A"/>
    <w:rsid w:val="00453528"/>
    <w:rsid w:val="00453C0E"/>
    <w:rsid w:val="004612D7"/>
    <w:rsid w:val="00461A90"/>
    <w:rsid w:val="00474F26"/>
    <w:rsid w:val="004820BD"/>
    <w:rsid w:val="00484A1D"/>
    <w:rsid w:val="00484D69"/>
    <w:rsid w:val="004929AC"/>
    <w:rsid w:val="00492EAC"/>
    <w:rsid w:val="004A6419"/>
    <w:rsid w:val="004B531C"/>
    <w:rsid w:val="004C2337"/>
    <w:rsid w:val="004D3106"/>
    <w:rsid w:val="004D55B5"/>
    <w:rsid w:val="004E11C6"/>
    <w:rsid w:val="004E27FD"/>
    <w:rsid w:val="004E36AB"/>
    <w:rsid w:val="004F503B"/>
    <w:rsid w:val="004F551A"/>
    <w:rsid w:val="005002DF"/>
    <w:rsid w:val="00500EBD"/>
    <w:rsid w:val="00504232"/>
    <w:rsid w:val="00506540"/>
    <w:rsid w:val="00510C66"/>
    <w:rsid w:val="00511F4B"/>
    <w:rsid w:val="0051372C"/>
    <w:rsid w:val="00521ED7"/>
    <w:rsid w:val="00526964"/>
    <w:rsid w:val="00532D5A"/>
    <w:rsid w:val="005354E4"/>
    <w:rsid w:val="00552729"/>
    <w:rsid w:val="005663D6"/>
    <w:rsid w:val="00570701"/>
    <w:rsid w:val="00570FAA"/>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1106"/>
    <w:rsid w:val="00600FA4"/>
    <w:rsid w:val="00605720"/>
    <w:rsid w:val="00611BDC"/>
    <w:rsid w:val="006127E2"/>
    <w:rsid w:val="006177DC"/>
    <w:rsid w:val="00623BD2"/>
    <w:rsid w:val="00626265"/>
    <w:rsid w:val="006269F8"/>
    <w:rsid w:val="00642EBC"/>
    <w:rsid w:val="00643B2E"/>
    <w:rsid w:val="00646AD1"/>
    <w:rsid w:val="00670053"/>
    <w:rsid w:val="00673E71"/>
    <w:rsid w:val="006823DB"/>
    <w:rsid w:val="0069093C"/>
    <w:rsid w:val="00692309"/>
    <w:rsid w:val="0069476E"/>
    <w:rsid w:val="00694DDB"/>
    <w:rsid w:val="006A18AF"/>
    <w:rsid w:val="006A1E31"/>
    <w:rsid w:val="006A2B9B"/>
    <w:rsid w:val="006A390F"/>
    <w:rsid w:val="006A580A"/>
    <w:rsid w:val="006B34CD"/>
    <w:rsid w:val="006C528F"/>
    <w:rsid w:val="006C691E"/>
    <w:rsid w:val="006C6CA7"/>
    <w:rsid w:val="006D59C3"/>
    <w:rsid w:val="006E4386"/>
    <w:rsid w:val="006E5310"/>
    <w:rsid w:val="006F0C81"/>
    <w:rsid w:val="006F1418"/>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3C9C"/>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1460"/>
    <w:rsid w:val="008527A7"/>
    <w:rsid w:val="00853603"/>
    <w:rsid w:val="00854DF9"/>
    <w:rsid w:val="008550E7"/>
    <w:rsid w:val="00856D92"/>
    <w:rsid w:val="00866267"/>
    <w:rsid w:val="008666C1"/>
    <w:rsid w:val="00866773"/>
    <w:rsid w:val="008706BC"/>
    <w:rsid w:val="00872CCF"/>
    <w:rsid w:val="00873C32"/>
    <w:rsid w:val="00890A44"/>
    <w:rsid w:val="00891DDA"/>
    <w:rsid w:val="00894724"/>
    <w:rsid w:val="008A09D1"/>
    <w:rsid w:val="008A37FE"/>
    <w:rsid w:val="008B5F0B"/>
    <w:rsid w:val="008B78AD"/>
    <w:rsid w:val="008C37F3"/>
    <w:rsid w:val="008C5BE5"/>
    <w:rsid w:val="008C7FED"/>
    <w:rsid w:val="008F5607"/>
    <w:rsid w:val="0090595F"/>
    <w:rsid w:val="0090670A"/>
    <w:rsid w:val="00906781"/>
    <w:rsid w:val="009211BA"/>
    <w:rsid w:val="00922838"/>
    <w:rsid w:val="00924B71"/>
    <w:rsid w:val="009339E2"/>
    <w:rsid w:val="00942CCA"/>
    <w:rsid w:val="00945930"/>
    <w:rsid w:val="00947118"/>
    <w:rsid w:val="009529F5"/>
    <w:rsid w:val="009572C9"/>
    <w:rsid w:val="009607CA"/>
    <w:rsid w:val="0096088C"/>
    <w:rsid w:val="009728CB"/>
    <w:rsid w:val="00975273"/>
    <w:rsid w:val="009764E0"/>
    <w:rsid w:val="0098148B"/>
    <w:rsid w:val="00981B70"/>
    <w:rsid w:val="00983F16"/>
    <w:rsid w:val="00984A71"/>
    <w:rsid w:val="00985B39"/>
    <w:rsid w:val="009866EC"/>
    <w:rsid w:val="0099382A"/>
    <w:rsid w:val="00994C12"/>
    <w:rsid w:val="009A3A67"/>
    <w:rsid w:val="009D1070"/>
    <w:rsid w:val="009D2804"/>
    <w:rsid w:val="009D3350"/>
    <w:rsid w:val="009D66DD"/>
    <w:rsid w:val="009E1315"/>
    <w:rsid w:val="009F0766"/>
    <w:rsid w:val="009F19B6"/>
    <w:rsid w:val="009F4B40"/>
    <w:rsid w:val="00A03853"/>
    <w:rsid w:val="00A11F99"/>
    <w:rsid w:val="00A12210"/>
    <w:rsid w:val="00A156D9"/>
    <w:rsid w:val="00A243BC"/>
    <w:rsid w:val="00A27943"/>
    <w:rsid w:val="00A27E20"/>
    <w:rsid w:val="00A31D43"/>
    <w:rsid w:val="00A36061"/>
    <w:rsid w:val="00A402C6"/>
    <w:rsid w:val="00A5008B"/>
    <w:rsid w:val="00A65CD4"/>
    <w:rsid w:val="00A70F4C"/>
    <w:rsid w:val="00A736E3"/>
    <w:rsid w:val="00A97ADD"/>
    <w:rsid w:val="00AA6478"/>
    <w:rsid w:val="00AA6A67"/>
    <w:rsid w:val="00AB2670"/>
    <w:rsid w:val="00AB2B0F"/>
    <w:rsid w:val="00AC096E"/>
    <w:rsid w:val="00AC5736"/>
    <w:rsid w:val="00AC69B7"/>
    <w:rsid w:val="00AC7691"/>
    <w:rsid w:val="00AD689E"/>
    <w:rsid w:val="00AD7D6F"/>
    <w:rsid w:val="00AE5A16"/>
    <w:rsid w:val="00AF0A71"/>
    <w:rsid w:val="00AF0F45"/>
    <w:rsid w:val="00AF2833"/>
    <w:rsid w:val="00AF2A0E"/>
    <w:rsid w:val="00B03355"/>
    <w:rsid w:val="00B03B5D"/>
    <w:rsid w:val="00B0469B"/>
    <w:rsid w:val="00B127DF"/>
    <w:rsid w:val="00B14566"/>
    <w:rsid w:val="00B237EB"/>
    <w:rsid w:val="00B24D94"/>
    <w:rsid w:val="00B268E1"/>
    <w:rsid w:val="00B269D7"/>
    <w:rsid w:val="00B303C2"/>
    <w:rsid w:val="00B362C3"/>
    <w:rsid w:val="00B43F7F"/>
    <w:rsid w:val="00B60361"/>
    <w:rsid w:val="00B63A00"/>
    <w:rsid w:val="00B651CC"/>
    <w:rsid w:val="00B73F27"/>
    <w:rsid w:val="00B74C14"/>
    <w:rsid w:val="00B92BAD"/>
    <w:rsid w:val="00B9520A"/>
    <w:rsid w:val="00B95BC1"/>
    <w:rsid w:val="00B97852"/>
    <w:rsid w:val="00B979F5"/>
    <w:rsid w:val="00BA07A7"/>
    <w:rsid w:val="00BA3056"/>
    <w:rsid w:val="00BB47F3"/>
    <w:rsid w:val="00BC52B9"/>
    <w:rsid w:val="00BC7A30"/>
    <w:rsid w:val="00BD0ED0"/>
    <w:rsid w:val="00BE7259"/>
    <w:rsid w:val="00C10571"/>
    <w:rsid w:val="00C24E7B"/>
    <w:rsid w:val="00C36E42"/>
    <w:rsid w:val="00C51DAF"/>
    <w:rsid w:val="00C52425"/>
    <w:rsid w:val="00C555AC"/>
    <w:rsid w:val="00C56CDE"/>
    <w:rsid w:val="00C5764E"/>
    <w:rsid w:val="00C64274"/>
    <w:rsid w:val="00C65487"/>
    <w:rsid w:val="00C65987"/>
    <w:rsid w:val="00C708C8"/>
    <w:rsid w:val="00C74F01"/>
    <w:rsid w:val="00C83D98"/>
    <w:rsid w:val="00C87EB0"/>
    <w:rsid w:val="00C9140D"/>
    <w:rsid w:val="00C92139"/>
    <w:rsid w:val="00C94906"/>
    <w:rsid w:val="00CA0830"/>
    <w:rsid w:val="00CA08E7"/>
    <w:rsid w:val="00CA0BB3"/>
    <w:rsid w:val="00CA7C56"/>
    <w:rsid w:val="00CB7617"/>
    <w:rsid w:val="00CC2CF9"/>
    <w:rsid w:val="00CC55CE"/>
    <w:rsid w:val="00CD3458"/>
    <w:rsid w:val="00CE7048"/>
    <w:rsid w:val="00CF0ED4"/>
    <w:rsid w:val="00CF10A0"/>
    <w:rsid w:val="00D043A5"/>
    <w:rsid w:val="00D06294"/>
    <w:rsid w:val="00D170C8"/>
    <w:rsid w:val="00D20CA5"/>
    <w:rsid w:val="00D22F7F"/>
    <w:rsid w:val="00D23039"/>
    <w:rsid w:val="00D25796"/>
    <w:rsid w:val="00D27104"/>
    <w:rsid w:val="00D35DA8"/>
    <w:rsid w:val="00D4161B"/>
    <w:rsid w:val="00D41A51"/>
    <w:rsid w:val="00D44CCF"/>
    <w:rsid w:val="00D4719D"/>
    <w:rsid w:val="00D47863"/>
    <w:rsid w:val="00D51301"/>
    <w:rsid w:val="00D619CB"/>
    <w:rsid w:val="00D66E92"/>
    <w:rsid w:val="00D740E8"/>
    <w:rsid w:val="00D75966"/>
    <w:rsid w:val="00D76DA8"/>
    <w:rsid w:val="00D76EB9"/>
    <w:rsid w:val="00D81F5F"/>
    <w:rsid w:val="00D97840"/>
    <w:rsid w:val="00DC0F80"/>
    <w:rsid w:val="00DC1C67"/>
    <w:rsid w:val="00DD7D0E"/>
    <w:rsid w:val="00DE31D6"/>
    <w:rsid w:val="00DF02D4"/>
    <w:rsid w:val="00DF2AD8"/>
    <w:rsid w:val="00DF7DFF"/>
    <w:rsid w:val="00DF7FCB"/>
    <w:rsid w:val="00E066BD"/>
    <w:rsid w:val="00E1736F"/>
    <w:rsid w:val="00E17FF5"/>
    <w:rsid w:val="00E26009"/>
    <w:rsid w:val="00E3162A"/>
    <w:rsid w:val="00E33CF9"/>
    <w:rsid w:val="00E362D0"/>
    <w:rsid w:val="00E37C85"/>
    <w:rsid w:val="00E407C9"/>
    <w:rsid w:val="00E46BD6"/>
    <w:rsid w:val="00E5280E"/>
    <w:rsid w:val="00E5401A"/>
    <w:rsid w:val="00E55EDB"/>
    <w:rsid w:val="00E56172"/>
    <w:rsid w:val="00E60002"/>
    <w:rsid w:val="00E6280D"/>
    <w:rsid w:val="00E63C4E"/>
    <w:rsid w:val="00E730DF"/>
    <w:rsid w:val="00E74D76"/>
    <w:rsid w:val="00E754A7"/>
    <w:rsid w:val="00E81909"/>
    <w:rsid w:val="00E83D4E"/>
    <w:rsid w:val="00E84A18"/>
    <w:rsid w:val="00E84C25"/>
    <w:rsid w:val="00E84FF9"/>
    <w:rsid w:val="00E918F5"/>
    <w:rsid w:val="00E93BC2"/>
    <w:rsid w:val="00EA12BD"/>
    <w:rsid w:val="00EA7020"/>
    <w:rsid w:val="00EB2FD4"/>
    <w:rsid w:val="00EB7300"/>
    <w:rsid w:val="00EC5664"/>
    <w:rsid w:val="00ED1DAF"/>
    <w:rsid w:val="00EE0CE1"/>
    <w:rsid w:val="00EE1078"/>
    <w:rsid w:val="00EF0BDF"/>
    <w:rsid w:val="00EF79B0"/>
    <w:rsid w:val="00F024DB"/>
    <w:rsid w:val="00F143B1"/>
    <w:rsid w:val="00F1451E"/>
    <w:rsid w:val="00F15071"/>
    <w:rsid w:val="00F1562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4971"/>
    <w:rsid w:val="00FC7BB3"/>
    <w:rsid w:val="00FC7D4F"/>
    <w:rsid w:val="00FD0130"/>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9966B3"/>
    <w:rsid w:val="1AAB4A91"/>
    <w:rsid w:val="1B0E4ACA"/>
    <w:rsid w:val="1B8B48E8"/>
    <w:rsid w:val="1C3E3265"/>
    <w:rsid w:val="1C8659B7"/>
    <w:rsid w:val="1C9808FD"/>
    <w:rsid w:val="1CAE4960"/>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52829ED"/>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E2B125B"/>
    <w:rsid w:val="5F2D2C93"/>
    <w:rsid w:val="5FBF5A6B"/>
    <w:rsid w:val="5FC23025"/>
    <w:rsid w:val="6098413C"/>
    <w:rsid w:val="60E63616"/>
    <w:rsid w:val="60FB2C8B"/>
    <w:rsid w:val="61907CF7"/>
    <w:rsid w:val="61C548D6"/>
    <w:rsid w:val="62195ACC"/>
    <w:rsid w:val="63123A52"/>
    <w:rsid w:val="631303F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010D4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9B81624"/>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2299</Words>
  <Characters>4074</Characters>
  <Lines>28</Lines>
  <Paragraphs>8</Paragraphs>
  <TotalTime>970</TotalTime>
  <ScaleCrop>false</ScaleCrop>
  <LinksUpToDate>false</LinksUpToDate>
  <CharactersWithSpaces>4440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2024-08-09T10:05:00Z</dcterms:created>
  <dc:creator>胡胜链</dc:creator>
  <cp:lastModifiedBy>葛格</cp:lastModifiedBy>
  <cp:lastPrinted>2022-01-27T01:53:00Z</cp:lastPrinted>
  <dcterms:modified xsi:type="dcterms:W3CDTF">2025-09-17T07:15:38Z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7DA4BFB1E272448491AFCC6EFE134A8C_13</vt:lpwstr>
  </property>
  <property fmtid="{D5CDD505-2E9C-101B-9397-08002B2CF9AE}" pid="4" name="KSOTemplateDocerSaveRecord">
    <vt:lpwstr>eyJoZGlkIjoiNjE0Y2FiYWFmMDI0MGUzMWJlN2ZiOTFmNGY3ZDc4YTUiLCJ1c2VySWQiOiI0MzU4MjIzNTEifQ==</vt:lpwstr>
  </property>
</Properties>
</file>