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21F4BD">
      <w:pPr>
        <w:jc w:val="center"/>
        <w:rPr>
          <w:rStyle w:val="36"/>
          <w:rFonts w:eastAsia="方正小标宋简体"/>
          <w:bCs w:val="0"/>
          <w:color w:val="auto"/>
          <w:sz w:val="36"/>
          <w:szCs w:val="36"/>
        </w:rPr>
      </w:pPr>
      <w:bookmarkStart w:id="1" w:name="_GoBack"/>
      <w:bookmarkEnd w:id="1"/>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20B6D97E">
      <w:pPr>
        <w:spacing w:line="440" w:lineRule="exact"/>
        <w:rPr>
          <w:rFonts w:eastAsia="仿宋_GB2312"/>
          <w:sz w:val="28"/>
          <w:szCs w:val="24"/>
        </w:rPr>
      </w:pPr>
      <w:r>
        <w:rPr>
          <w:rFonts w:eastAsia="仿宋_GB2312"/>
          <w:sz w:val="28"/>
          <w:szCs w:val="24"/>
        </w:rPr>
        <w:t>提名奖项：科学技术进步奖</w:t>
      </w:r>
    </w:p>
    <w:tbl>
      <w:tblPr>
        <w:tblStyle w:val="16"/>
        <w:tblW w:w="981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7541"/>
      </w:tblGrid>
      <w:tr w14:paraId="31E8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21C280A8">
            <w:pPr>
              <w:jc w:val="center"/>
              <w:rPr>
                <w:rStyle w:val="36"/>
                <w:rFonts w:eastAsia="仿宋_GB2312"/>
                <w:b w:val="0"/>
                <w:color w:val="auto"/>
                <w:sz w:val="28"/>
              </w:rPr>
            </w:pPr>
            <w:r>
              <w:rPr>
                <w:rStyle w:val="36"/>
                <w:rFonts w:eastAsia="仿宋_GB2312"/>
                <w:b w:val="0"/>
                <w:bCs w:val="0"/>
                <w:color w:val="auto"/>
                <w:sz w:val="28"/>
              </w:rPr>
              <w:t>成果名称</w:t>
            </w:r>
          </w:p>
        </w:tc>
        <w:tc>
          <w:tcPr>
            <w:tcW w:w="7541" w:type="dxa"/>
            <w:vAlign w:val="center"/>
          </w:tcPr>
          <w:p w14:paraId="3DCE6441">
            <w:pPr>
              <w:jc w:val="center"/>
              <w:rPr>
                <w:rStyle w:val="36"/>
                <w:rFonts w:eastAsia="仿宋_GB2312"/>
                <w:b w:val="0"/>
                <w:color w:val="auto"/>
                <w:sz w:val="28"/>
              </w:rPr>
            </w:pPr>
            <w:r>
              <w:rPr>
                <w:rStyle w:val="36"/>
                <w:rFonts w:hint="eastAsia" w:eastAsia="仿宋_GB2312"/>
                <w:b w:val="0"/>
                <w:color w:val="auto"/>
                <w:sz w:val="28"/>
              </w:rPr>
              <w:t>帕金森病规范化精准诊疗体系的创新及推广</w:t>
            </w:r>
          </w:p>
        </w:tc>
      </w:tr>
      <w:tr w14:paraId="6B4F7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4EDCFB7A">
            <w:pPr>
              <w:jc w:val="center"/>
              <w:rPr>
                <w:rStyle w:val="36"/>
                <w:rFonts w:eastAsia="仿宋_GB2312"/>
                <w:b w:val="0"/>
                <w:color w:val="auto"/>
                <w:sz w:val="28"/>
              </w:rPr>
            </w:pPr>
            <w:r>
              <w:rPr>
                <w:rStyle w:val="36"/>
                <w:rFonts w:eastAsia="仿宋_GB2312"/>
                <w:b w:val="0"/>
                <w:bCs w:val="0"/>
                <w:color w:val="auto"/>
                <w:sz w:val="28"/>
              </w:rPr>
              <w:t>提名等级</w:t>
            </w:r>
          </w:p>
        </w:tc>
        <w:tc>
          <w:tcPr>
            <w:tcW w:w="7541" w:type="dxa"/>
            <w:vAlign w:val="center"/>
          </w:tcPr>
          <w:p w14:paraId="0EA85848">
            <w:pPr>
              <w:jc w:val="center"/>
              <w:rPr>
                <w:rStyle w:val="36"/>
                <w:rFonts w:eastAsia="仿宋_GB2312"/>
                <w:b w:val="0"/>
                <w:color w:val="auto"/>
                <w:sz w:val="28"/>
              </w:rPr>
            </w:pPr>
            <w:r>
              <w:rPr>
                <w:rStyle w:val="36"/>
                <w:rFonts w:hint="eastAsia" w:eastAsia="仿宋_GB2312"/>
                <w:b w:val="0"/>
                <w:color w:val="auto"/>
                <w:sz w:val="28"/>
              </w:rPr>
              <w:t>一等奖</w:t>
            </w:r>
          </w:p>
        </w:tc>
      </w:tr>
      <w:tr w14:paraId="7F1BA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629FD6AD">
            <w:pPr>
              <w:spacing w:line="440" w:lineRule="exact"/>
              <w:jc w:val="center"/>
              <w:rPr>
                <w:rFonts w:eastAsia="仿宋_GB2312"/>
                <w:bCs/>
                <w:sz w:val="28"/>
                <w:szCs w:val="24"/>
              </w:rPr>
            </w:pPr>
            <w:r>
              <w:rPr>
                <w:rFonts w:eastAsia="仿宋_GB2312"/>
                <w:bCs/>
                <w:sz w:val="28"/>
                <w:szCs w:val="24"/>
              </w:rPr>
              <w:t>提名书</w:t>
            </w:r>
          </w:p>
          <w:p w14:paraId="28FB9CAA">
            <w:pPr>
              <w:spacing w:line="440" w:lineRule="exact"/>
              <w:jc w:val="center"/>
              <w:rPr>
                <w:rFonts w:eastAsia="仿宋_GB2312"/>
                <w:bCs/>
                <w:sz w:val="28"/>
                <w:szCs w:val="24"/>
              </w:rPr>
            </w:pPr>
            <w:r>
              <w:rPr>
                <w:rFonts w:eastAsia="仿宋_GB2312"/>
                <w:bCs/>
                <w:sz w:val="28"/>
                <w:szCs w:val="24"/>
              </w:rPr>
              <w:t>相关内容</w:t>
            </w:r>
          </w:p>
        </w:tc>
        <w:tc>
          <w:tcPr>
            <w:tcW w:w="7541" w:type="dxa"/>
            <w:vAlign w:val="center"/>
          </w:tcPr>
          <w:p w14:paraId="5F3493EC">
            <w:pPr>
              <w:spacing w:line="440" w:lineRule="exact"/>
              <w:jc w:val="left"/>
              <w:rPr>
                <w:rFonts w:eastAsia="仿宋_GB2312"/>
                <w:bCs/>
                <w:sz w:val="24"/>
                <w:szCs w:val="24"/>
              </w:rPr>
            </w:pPr>
            <w:r>
              <w:rPr>
                <w:rFonts w:hint="eastAsia" w:eastAsia="仿宋_GB2312"/>
                <w:bCs/>
                <w:sz w:val="28"/>
                <w:szCs w:val="24"/>
              </w:rPr>
              <w:t>见附件。</w:t>
            </w:r>
          </w:p>
        </w:tc>
      </w:tr>
      <w:tr w14:paraId="10B0B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631AAE00">
            <w:pPr>
              <w:spacing w:line="440" w:lineRule="exact"/>
              <w:jc w:val="center"/>
              <w:rPr>
                <w:rFonts w:eastAsia="仿宋_GB2312"/>
                <w:bCs/>
                <w:sz w:val="28"/>
                <w:szCs w:val="24"/>
              </w:rPr>
            </w:pPr>
            <w:r>
              <w:rPr>
                <w:rFonts w:eastAsia="仿宋_GB2312"/>
                <w:bCs/>
                <w:sz w:val="28"/>
                <w:szCs w:val="24"/>
              </w:rPr>
              <w:t>主要完成人</w:t>
            </w:r>
          </w:p>
        </w:tc>
        <w:tc>
          <w:tcPr>
            <w:tcW w:w="7541" w:type="dxa"/>
            <w:tcBorders>
              <w:left w:val="single" w:color="auto" w:sz="4" w:space="0"/>
            </w:tcBorders>
            <w:vAlign w:val="center"/>
          </w:tcPr>
          <w:p w14:paraId="11922F03">
            <w:pPr>
              <w:spacing w:line="440" w:lineRule="exact"/>
              <w:rPr>
                <w:rFonts w:eastAsia="仿宋_GB2312"/>
                <w:bCs/>
                <w:sz w:val="28"/>
                <w:szCs w:val="28"/>
              </w:rPr>
            </w:pPr>
            <w:r>
              <w:rPr>
                <w:rFonts w:eastAsia="仿宋_GB2312"/>
                <w:bCs/>
                <w:sz w:val="28"/>
                <w:szCs w:val="28"/>
              </w:rPr>
              <w:t>张宝荣，排名1，主任医师，浙江大学医学院附属第二医院；</w:t>
            </w:r>
          </w:p>
          <w:p w14:paraId="302246FB">
            <w:pPr>
              <w:spacing w:line="440" w:lineRule="exact"/>
              <w:rPr>
                <w:rFonts w:eastAsia="仿宋_GB2312"/>
                <w:bCs/>
                <w:sz w:val="28"/>
                <w:szCs w:val="28"/>
              </w:rPr>
            </w:pPr>
            <w:r>
              <w:rPr>
                <w:rFonts w:eastAsia="仿宋_GB2312"/>
                <w:bCs/>
                <w:sz w:val="28"/>
                <w:szCs w:val="28"/>
              </w:rPr>
              <w:t>浦佳丽，排名2，副主任医师，浙江大学医学院附属第二医院；</w:t>
            </w:r>
          </w:p>
          <w:p w14:paraId="15A3ACE8">
            <w:pPr>
              <w:spacing w:line="440" w:lineRule="exact"/>
              <w:rPr>
                <w:rFonts w:eastAsia="仿宋_GB2312"/>
                <w:bCs/>
                <w:sz w:val="28"/>
                <w:szCs w:val="28"/>
              </w:rPr>
            </w:pPr>
            <w:r>
              <w:rPr>
                <w:rFonts w:eastAsia="仿宋_GB2312"/>
                <w:sz w:val="28"/>
                <w:szCs w:val="28"/>
              </w:rPr>
              <w:t>徐评议</w:t>
            </w:r>
            <w:r>
              <w:rPr>
                <w:rFonts w:eastAsia="仿宋_GB2312"/>
                <w:bCs/>
                <w:sz w:val="28"/>
                <w:szCs w:val="28"/>
              </w:rPr>
              <w:t>，排名3，主任医师，广州医科大学附属第一医院；</w:t>
            </w:r>
          </w:p>
          <w:p w14:paraId="69862749">
            <w:pPr>
              <w:spacing w:line="440" w:lineRule="exact"/>
              <w:rPr>
                <w:rFonts w:eastAsia="仿宋_GB2312"/>
                <w:bCs/>
                <w:sz w:val="28"/>
                <w:szCs w:val="28"/>
              </w:rPr>
            </w:pPr>
            <w:r>
              <w:rPr>
                <w:rFonts w:eastAsia="仿宋_GB2312"/>
                <w:sz w:val="28"/>
                <w:szCs w:val="28"/>
              </w:rPr>
              <w:t>胡美钦</w:t>
            </w:r>
            <w:r>
              <w:rPr>
                <w:rFonts w:eastAsia="仿宋_GB2312"/>
                <w:bCs/>
                <w:sz w:val="28"/>
                <w:szCs w:val="28"/>
              </w:rPr>
              <w:t>，排名4，研究员，浙江大学医学院附属第二医院；</w:t>
            </w:r>
          </w:p>
          <w:p w14:paraId="46874A9A">
            <w:pPr>
              <w:spacing w:line="440" w:lineRule="exact"/>
              <w:rPr>
                <w:rFonts w:eastAsia="仿宋_GB2312"/>
                <w:bCs/>
                <w:sz w:val="28"/>
                <w:szCs w:val="28"/>
              </w:rPr>
            </w:pPr>
            <w:r>
              <w:rPr>
                <w:rFonts w:eastAsia="仿宋_GB2312"/>
                <w:sz w:val="28"/>
                <w:szCs w:val="28"/>
              </w:rPr>
              <w:t>田均</w:t>
            </w:r>
            <w:r>
              <w:rPr>
                <w:rFonts w:eastAsia="仿宋_GB2312"/>
                <w:bCs/>
                <w:sz w:val="28"/>
                <w:szCs w:val="28"/>
              </w:rPr>
              <w:t>，排名5，主任医师，浙江大学医学院附属第二医院；</w:t>
            </w:r>
          </w:p>
          <w:p w14:paraId="71252438">
            <w:pPr>
              <w:spacing w:line="440" w:lineRule="exact"/>
              <w:rPr>
                <w:rFonts w:eastAsia="仿宋_GB2312"/>
                <w:bCs/>
                <w:sz w:val="28"/>
                <w:szCs w:val="28"/>
              </w:rPr>
            </w:pPr>
            <w:r>
              <w:rPr>
                <w:rFonts w:eastAsia="仿宋_GB2312"/>
                <w:sz w:val="28"/>
                <w:szCs w:val="28"/>
              </w:rPr>
              <w:t>包飞翔</w:t>
            </w:r>
            <w:r>
              <w:rPr>
                <w:rFonts w:eastAsia="仿宋_GB2312"/>
                <w:bCs/>
                <w:sz w:val="28"/>
                <w:szCs w:val="28"/>
              </w:rPr>
              <w:t>，排名6，副研究员，中国科学院广州生物医药与健康研究院；</w:t>
            </w:r>
          </w:p>
          <w:p w14:paraId="43546A15">
            <w:pPr>
              <w:spacing w:line="440" w:lineRule="exact"/>
              <w:rPr>
                <w:rFonts w:eastAsia="仿宋_GB2312"/>
                <w:bCs/>
                <w:sz w:val="28"/>
                <w:szCs w:val="28"/>
              </w:rPr>
            </w:pPr>
            <w:r>
              <w:rPr>
                <w:rFonts w:eastAsia="仿宋_GB2312"/>
                <w:sz w:val="28"/>
                <w:szCs w:val="28"/>
              </w:rPr>
              <w:t>杨晓东</w:t>
            </w:r>
            <w:r>
              <w:rPr>
                <w:rFonts w:eastAsia="仿宋_GB2312"/>
                <w:bCs/>
                <w:sz w:val="28"/>
                <w:szCs w:val="28"/>
              </w:rPr>
              <w:t>，排名7，副研究员，上海交通大学医学院附属瑞金医院；</w:t>
            </w:r>
          </w:p>
          <w:p w14:paraId="5B5292E4">
            <w:pPr>
              <w:spacing w:line="440" w:lineRule="exact"/>
              <w:rPr>
                <w:rFonts w:eastAsia="仿宋_GB2312"/>
                <w:bCs/>
                <w:sz w:val="28"/>
                <w:szCs w:val="28"/>
              </w:rPr>
            </w:pPr>
            <w:r>
              <w:rPr>
                <w:rFonts w:eastAsia="仿宋_GB2312"/>
                <w:sz w:val="28"/>
                <w:szCs w:val="28"/>
              </w:rPr>
              <w:t>陈瑛</w:t>
            </w:r>
            <w:r>
              <w:rPr>
                <w:rFonts w:eastAsia="仿宋_GB2312"/>
                <w:bCs/>
                <w:sz w:val="28"/>
                <w:szCs w:val="28"/>
              </w:rPr>
              <w:t>，排名8，主治医师，浙江大学医学院附属第二医院；</w:t>
            </w:r>
          </w:p>
          <w:p w14:paraId="76DB87AC">
            <w:pPr>
              <w:spacing w:line="440" w:lineRule="exact"/>
              <w:rPr>
                <w:rFonts w:eastAsia="仿宋_GB2312"/>
                <w:bCs/>
                <w:sz w:val="28"/>
                <w:szCs w:val="28"/>
              </w:rPr>
            </w:pPr>
            <w:r>
              <w:rPr>
                <w:rFonts w:eastAsia="仿宋_GB2312"/>
                <w:sz w:val="28"/>
                <w:szCs w:val="28"/>
              </w:rPr>
              <w:t>张锋</w:t>
            </w:r>
            <w:r>
              <w:rPr>
                <w:rFonts w:eastAsia="仿宋_GB2312"/>
                <w:bCs/>
                <w:sz w:val="28"/>
                <w:szCs w:val="28"/>
              </w:rPr>
              <w:t>，排名9，特聘研究员，浙江大学医学院附属第二医院；</w:t>
            </w:r>
          </w:p>
          <w:p w14:paraId="089F4690">
            <w:pPr>
              <w:spacing w:line="440" w:lineRule="exact"/>
              <w:rPr>
                <w:rFonts w:eastAsia="仿宋_GB2312"/>
                <w:bCs/>
                <w:sz w:val="28"/>
                <w:szCs w:val="28"/>
              </w:rPr>
            </w:pPr>
            <w:r>
              <w:rPr>
                <w:rFonts w:eastAsia="仿宋_GB2312"/>
                <w:sz w:val="28"/>
                <w:szCs w:val="28"/>
              </w:rPr>
              <w:t>赵国华</w:t>
            </w:r>
            <w:r>
              <w:rPr>
                <w:rFonts w:eastAsia="仿宋_GB2312"/>
                <w:bCs/>
                <w:sz w:val="28"/>
                <w:szCs w:val="28"/>
              </w:rPr>
              <w:t>，排名10，主任医师，浙江大学医学院附属第二医院；</w:t>
            </w:r>
          </w:p>
          <w:p w14:paraId="0A6235CE">
            <w:pPr>
              <w:spacing w:line="440" w:lineRule="exact"/>
              <w:rPr>
                <w:rFonts w:eastAsia="仿宋_GB2312"/>
                <w:bCs/>
                <w:sz w:val="28"/>
                <w:szCs w:val="28"/>
              </w:rPr>
            </w:pPr>
            <w:r>
              <w:rPr>
                <w:rFonts w:eastAsia="仿宋_GB2312"/>
                <w:sz w:val="28"/>
                <w:szCs w:val="28"/>
              </w:rPr>
              <w:t>郑冉，</w:t>
            </w:r>
            <w:r>
              <w:rPr>
                <w:rFonts w:eastAsia="仿宋_GB2312"/>
                <w:bCs/>
                <w:sz w:val="28"/>
                <w:szCs w:val="28"/>
              </w:rPr>
              <w:t>排名11，住院医师，浙江大学医学院附属第二医院；</w:t>
            </w:r>
          </w:p>
          <w:p w14:paraId="1D2AE418">
            <w:pPr>
              <w:spacing w:line="440" w:lineRule="exact"/>
              <w:rPr>
                <w:rFonts w:eastAsia="仿宋_GB2312"/>
                <w:bCs/>
                <w:sz w:val="28"/>
                <w:szCs w:val="28"/>
              </w:rPr>
            </w:pPr>
            <w:r>
              <w:rPr>
                <w:rFonts w:eastAsia="仿宋_GB2312"/>
                <w:sz w:val="28"/>
                <w:szCs w:val="28"/>
              </w:rPr>
              <w:t>斯晓莉，</w:t>
            </w:r>
            <w:r>
              <w:rPr>
                <w:rFonts w:eastAsia="仿宋_GB2312"/>
                <w:bCs/>
                <w:sz w:val="28"/>
                <w:szCs w:val="28"/>
              </w:rPr>
              <w:t>排名12，主治医师，浙江大学医学院附属第二医院；</w:t>
            </w:r>
          </w:p>
          <w:p w14:paraId="489ED726">
            <w:pPr>
              <w:spacing w:line="440" w:lineRule="exact"/>
              <w:rPr>
                <w:rFonts w:eastAsia="仿宋_GB2312"/>
                <w:bCs/>
                <w:sz w:val="28"/>
                <w:szCs w:val="28"/>
              </w:rPr>
            </w:pPr>
            <w:r>
              <w:rPr>
                <w:rFonts w:eastAsia="仿宋_GB2312"/>
                <w:sz w:val="28"/>
                <w:szCs w:val="28"/>
              </w:rPr>
              <w:t>温轶，</w:t>
            </w:r>
            <w:r>
              <w:rPr>
                <w:rFonts w:eastAsia="仿宋_GB2312"/>
                <w:bCs/>
                <w:sz w:val="28"/>
                <w:szCs w:val="28"/>
              </w:rPr>
              <w:t>排名13，高级工程师，浙江养生堂天然药物研究所有限公司</w:t>
            </w:r>
          </w:p>
        </w:tc>
      </w:tr>
      <w:tr w14:paraId="02AD8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66853C20">
            <w:pPr>
              <w:spacing w:line="440" w:lineRule="exact"/>
              <w:jc w:val="center"/>
              <w:rPr>
                <w:rFonts w:eastAsia="仿宋"/>
                <w:bCs/>
                <w:sz w:val="24"/>
                <w:szCs w:val="24"/>
              </w:rPr>
            </w:pPr>
            <w:r>
              <w:rPr>
                <w:rFonts w:eastAsia="仿宋"/>
                <w:bCs/>
                <w:sz w:val="28"/>
                <w:szCs w:val="24"/>
              </w:rPr>
              <w:t>主要完成单位</w:t>
            </w:r>
          </w:p>
        </w:tc>
        <w:tc>
          <w:tcPr>
            <w:tcW w:w="7541" w:type="dxa"/>
            <w:tcBorders>
              <w:left w:val="single" w:color="auto" w:sz="4" w:space="0"/>
            </w:tcBorders>
            <w:vAlign w:val="center"/>
          </w:tcPr>
          <w:p w14:paraId="20608480">
            <w:pPr>
              <w:spacing w:after="0" w:line="240" w:lineRule="auto"/>
              <w:rPr>
                <w:rFonts w:eastAsia="仿宋_GB2312"/>
                <w:bCs/>
                <w:sz w:val="28"/>
                <w:szCs w:val="28"/>
              </w:rPr>
            </w:pPr>
            <w:r>
              <w:rPr>
                <w:rFonts w:eastAsia="仿宋_GB2312"/>
                <w:bCs/>
                <w:sz w:val="28"/>
                <w:szCs w:val="28"/>
              </w:rPr>
              <w:t>1. 浙江大学医学院附属第二医院</w:t>
            </w:r>
          </w:p>
          <w:p w14:paraId="31C7D30E">
            <w:pPr>
              <w:spacing w:after="0" w:line="240" w:lineRule="auto"/>
              <w:rPr>
                <w:rFonts w:eastAsia="仿宋_GB2312"/>
                <w:bCs/>
                <w:sz w:val="28"/>
                <w:szCs w:val="28"/>
              </w:rPr>
            </w:pPr>
            <w:r>
              <w:rPr>
                <w:rFonts w:eastAsia="仿宋_GB2312"/>
                <w:bCs/>
                <w:sz w:val="28"/>
                <w:szCs w:val="28"/>
              </w:rPr>
              <w:t>2. 广州医科大学附属第一医院</w:t>
            </w:r>
          </w:p>
          <w:p w14:paraId="7F37E087">
            <w:pPr>
              <w:spacing w:after="0" w:line="240" w:lineRule="auto"/>
              <w:rPr>
                <w:rFonts w:eastAsia="仿宋_GB2312"/>
                <w:bCs/>
                <w:sz w:val="28"/>
                <w:szCs w:val="28"/>
              </w:rPr>
            </w:pPr>
            <w:r>
              <w:rPr>
                <w:rFonts w:eastAsia="仿宋_GB2312"/>
                <w:bCs/>
                <w:sz w:val="28"/>
                <w:szCs w:val="28"/>
              </w:rPr>
              <w:t>3. 中国科学院广州生物医药与健康研究院</w:t>
            </w:r>
          </w:p>
          <w:p w14:paraId="129A5F16">
            <w:pPr>
              <w:spacing w:after="0" w:line="240" w:lineRule="auto"/>
              <w:rPr>
                <w:rFonts w:eastAsia="仿宋_GB2312"/>
                <w:bCs/>
                <w:sz w:val="28"/>
                <w:szCs w:val="28"/>
              </w:rPr>
            </w:pPr>
            <w:r>
              <w:rPr>
                <w:rFonts w:eastAsia="仿宋_GB2312"/>
                <w:bCs/>
                <w:sz w:val="28"/>
                <w:szCs w:val="28"/>
              </w:rPr>
              <w:t>4. 上海交通大学医学院附属瑞金医院</w:t>
            </w:r>
          </w:p>
          <w:p w14:paraId="2F80FE6E">
            <w:pPr>
              <w:spacing w:after="0" w:line="240" w:lineRule="auto"/>
              <w:rPr>
                <w:rFonts w:eastAsia="仿宋_GB2312"/>
                <w:bCs/>
                <w:sz w:val="28"/>
                <w:szCs w:val="28"/>
              </w:rPr>
            </w:pPr>
            <w:r>
              <w:rPr>
                <w:rFonts w:eastAsia="仿宋_GB2312"/>
                <w:bCs/>
                <w:sz w:val="28"/>
                <w:szCs w:val="28"/>
              </w:rPr>
              <w:t>5. 浙江养生堂天然药物研究所有限公司</w:t>
            </w:r>
          </w:p>
        </w:tc>
      </w:tr>
      <w:tr w14:paraId="08EAD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5550C668">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7541" w:type="dxa"/>
            <w:vAlign w:val="center"/>
          </w:tcPr>
          <w:p w14:paraId="16D8741B">
            <w:pPr>
              <w:spacing w:line="440" w:lineRule="exact"/>
              <w:jc w:val="center"/>
              <w:rPr>
                <w:rStyle w:val="36"/>
                <w:b w:val="0"/>
                <w:color w:val="auto"/>
              </w:rPr>
            </w:pPr>
            <w:r>
              <w:rPr>
                <w:rFonts w:hint="eastAsia" w:eastAsia="仿宋_GB2312"/>
                <w:bCs/>
                <w:sz w:val="28"/>
                <w:szCs w:val="24"/>
              </w:rPr>
              <w:t>浙江大学</w:t>
            </w:r>
          </w:p>
        </w:tc>
      </w:tr>
      <w:tr w14:paraId="79044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356C0136">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7541" w:type="dxa"/>
            <w:vAlign w:val="center"/>
          </w:tcPr>
          <w:p w14:paraId="06E89157">
            <w:pPr>
              <w:ind w:firstLine="560" w:firstLineChars="200"/>
              <w:contextualSpacing/>
              <w:jc w:val="left"/>
              <w:rPr>
                <w:rFonts w:eastAsia="仿宋_GB2312"/>
                <w:bCs/>
                <w:sz w:val="28"/>
                <w:szCs w:val="24"/>
              </w:rPr>
            </w:pPr>
            <w:r>
              <w:rPr>
                <w:rFonts w:hint="eastAsia" w:eastAsia="仿宋_GB2312"/>
                <w:bCs/>
                <w:sz w:val="28"/>
                <w:szCs w:val="24"/>
              </w:rPr>
              <w:t>本项目围绕帕金森病（PD）发病机制、早期预警与进展预测开展系统化和创新性研究，取得多项原创成果并实现成果转化。</w:t>
            </w:r>
          </w:p>
          <w:p w14:paraId="20668F0A">
            <w:pPr>
              <w:ind w:firstLine="560" w:firstLineChars="200"/>
              <w:contextualSpacing/>
              <w:jc w:val="left"/>
              <w:rPr>
                <w:rFonts w:eastAsia="仿宋_GB2312"/>
                <w:bCs/>
                <w:sz w:val="28"/>
                <w:szCs w:val="24"/>
              </w:rPr>
            </w:pPr>
            <w:r>
              <w:rPr>
                <w:rFonts w:hint="eastAsia" w:eastAsia="仿宋_GB2312"/>
                <w:bCs/>
                <w:sz w:val="28"/>
                <w:szCs w:val="24"/>
              </w:rPr>
              <w:t>团队首次描述了线粒-溶酶体胞吐为独立的线粒体清除途径，鉴定溶</w:t>
            </w:r>
            <w:r>
              <w:rPr>
                <w:rFonts w:eastAsia="仿宋_GB2312"/>
                <w:bCs/>
                <w:sz w:val="28"/>
                <w:szCs w:val="24"/>
              </w:rPr>
              <w:t>酶体氢离子通道TMEM175在保持溶酶体酸碱稳态与调控α-Syn代谢中的关键作用；阐明ASC斑点放大NLRP3炎症小体活性及Parkin介导NLRP3泛素化降解的炎症调控机制，提出新</w:t>
            </w:r>
            <w:r>
              <w:rPr>
                <w:rFonts w:hint="eastAsia" w:eastAsia="仿宋_GB2312"/>
                <w:bCs/>
                <w:sz w:val="28"/>
                <w:szCs w:val="24"/>
              </w:rPr>
              <w:t>的</w:t>
            </w:r>
            <w:r>
              <w:rPr>
                <w:rFonts w:eastAsia="仿宋_GB2312"/>
                <w:bCs/>
                <w:sz w:val="28"/>
                <w:szCs w:val="24"/>
              </w:rPr>
              <w:t>治疗靶点。技术创新方面，开发溶酶体膜片钳用于亚细胞通道原位记录，创立QSAA实现α-Syn病理组织的原位扩增与可视化检测；构建PD肠道微</w:t>
            </w:r>
            <w:r>
              <w:rPr>
                <w:rFonts w:hint="eastAsia" w:eastAsia="仿宋_GB2312"/>
                <w:bCs/>
                <w:sz w:val="28"/>
                <w:szCs w:val="24"/>
              </w:rPr>
              <w:t>生物基因图谱并将25项基因标志转化为qPCR临床检测，结合致病/易感遗传图谱、APOE分子分型与类淋巴系统MRI，建立“遗传-分子标志物-无创影像”多维预测体系。</w:t>
            </w:r>
          </w:p>
          <w:p w14:paraId="597E1EFA">
            <w:pPr>
              <w:ind w:firstLine="560" w:firstLineChars="200"/>
              <w:contextualSpacing/>
              <w:jc w:val="left"/>
              <w:rPr>
                <w:rFonts w:eastAsia="仿宋_GB2312"/>
                <w:bCs/>
                <w:sz w:val="28"/>
                <w:szCs w:val="24"/>
              </w:rPr>
            </w:pPr>
            <w:r>
              <w:rPr>
                <w:rFonts w:hint="eastAsia" w:eastAsia="仿宋_GB2312"/>
                <w:bCs/>
                <w:sz w:val="28"/>
                <w:szCs w:val="24"/>
              </w:rPr>
              <w:t>项目在国际权威期刊发表论文50余篇，获国家重点研发计划与国家自然科学基金等资助，形成4项核心专利并完成专利转让，相关体系已在20余家医院推广，惠及患者</w:t>
            </w:r>
            <w:r>
              <w:rPr>
                <w:rFonts w:eastAsia="仿宋_GB2312"/>
                <w:bCs/>
                <w:sz w:val="28"/>
                <w:szCs w:val="24"/>
              </w:rPr>
              <w:t>2000</w:t>
            </w:r>
            <w:r>
              <w:rPr>
                <w:rFonts w:hint="eastAsia" w:eastAsia="仿宋_GB2312"/>
                <w:bCs/>
                <w:sz w:val="28"/>
                <w:szCs w:val="24"/>
              </w:rPr>
              <w:t>余例，学术和社会效益显著。</w:t>
            </w:r>
          </w:p>
          <w:p w14:paraId="0B7740F9">
            <w:pPr>
              <w:ind w:firstLine="560" w:firstLineChars="200"/>
              <w:contextualSpacing/>
              <w:jc w:val="left"/>
              <w:rPr>
                <w:rFonts w:eastAsia="仿宋_GB2312"/>
                <w:bCs/>
                <w:sz w:val="28"/>
                <w:szCs w:val="24"/>
              </w:rPr>
            </w:pPr>
            <w:r>
              <w:rPr>
                <w:rFonts w:hint="eastAsia" w:eastAsia="仿宋_GB2312"/>
                <w:bCs/>
                <w:sz w:val="28"/>
                <w:szCs w:val="24"/>
              </w:rPr>
              <w:t>成果原创性、系统性与良好推广示范意义，申报内容真实，提名2</w:t>
            </w:r>
            <w:r>
              <w:rPr>
                <w:rFonts w:eastAsia="仿宋_GB2312"/>
                <w:bCs/>
                <w:sz w:val="28"/>
                <w:szCs w:val="24"/>
              </w:rPr>
              <w:t>024</w:t>
            </w:r>
            <w:r>
              <w:rPr>
                <w:rFonts w:hint="eastAsia" w:eastAsia="仿宋_GB2312"/>
                <w:bCs/>
                <w:sz w:val="28"/>
                <w:szCs w:val="24"/>
              </w:rPr>
              <w:t>年度浙江省科学技术进步奖一等奖。</w:t>
            </w:r>
          </w:p>
        </w:tc>
      </w:tr>
    </w:tbl>
    <w:p w14:paraId="723BB7D1">
      <w:pPr>
        <w:widowControl/>
        <w:jc w:val="left"/>
        <w:rPr>
          <w:rFonts w:eastAsia="仿宋_GB2312"/>
          <w:sz w:val="32"/>
          <w:szCs w:val="32"/>
        </w:rPr>
        <w:sectPr>
          <w:pgSz w:w="12242" w:h="15842"/>
          <w:pgMar w:top="1418" w:right="1247" w:bottom="1134" w:left="1247" w:header="851" w:footer="850" w:gutter="0"/>
          <w:cols w:space="720" w:num="1"/>
        </w:sectPr>
      </w:pPr>
    </w:p>
    <w:p w14:paraId="127C4D3E">
      <w:pPr>
        <w:pStyle w:val="4"/>
        <w:rPr>
          <w:rFonts w:eastAsia="方正黑体简体"/>
          <w:sz w:val="24"/>
          <w:szCs w:val="24"/>
        </w:rPr>
      </w:pPr>
      <w:r>
        <w:rPr>
          <w:rFonts w:hint="eastAsia" w:eastAsia="方正黑体简体"/>
          <w:sz w:val="24"/>
          <w:szCs w:val="24"/>
        </w:rPr>
        <w:t>附件1</w:t>
      </w:r>
    </w:p>
    <w:p w14:paraId="2B84A505">
      <w:pPr>
        <w:pStyle w:val="4"/>
        <w:jc w:val="center"/>
        <w:rPr>
          <w:rFonts w:eastAsia="方正黑体简体"/>
          <w:sz w:val="32"/>
          <w:szCs w:val="22"/>
        </w:rPr>
      </w:pPr>
      <w:r>
        <w:rPr>
          <w:rFonts w:eastAsia="方正黑体简体"/>
          <w:sz w:val="32"/>
          <w:szCs w:val="22"/>
        </w:rPr>
        <w:t>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32BB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1ABB8291">
            <w:pPr>
              <w:jc w:val="center"/>
              <w:rPr>
                <w:rFonts w:eastAsia="仿宋_GB2312"/>
                <w:sz w:val="24"/>
                <w:szCs w:val="21"/>
              </w:rPr>
            </w:pPr>
            <w:r>
              <w:rPr>
                <w:rFonts w:eastAsia="仿宋_GB2312"/>
                <w:sz w:val="24"/>
                <w:szCs w:val="21"/>
              </w:rPr>
              <w:t>知识产权</w:t>
            </w:r>
          </w:p>
          <w:p w14:paraId="268CAEAC">
            <w:pPr>
              <w:jc w:val="center"/>
              <w:rPr>
                <w:rFonts w:eastAsia="仿宋_GB2312"/>
                <w:sz w:val="24"/>
                <w:szCs w:val="21"/>
              </w:rPr>
            </w:pPr>
            <w:r>
              <w:rPr>
                <w:rFonts w:eastAsia="仿宋_GB2312"/>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7E15C696">
            <w:pPr>
              <w:jc w:val="center"/>
              <w:rPr>
                <w:rFonts w:eastAsia="仿宋_GB2312"/>
                <w:sz w:val="24"/>
                <w:szCs w:val="21"/>
              </w:rPr>
            </w:pPr>
            <w:r>
              <w:rPr>
                <w:rFonts w:eastAsia="仿宋_GB2312"/>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24705AFC">
            <w:pPr>
              <w:jc w:val="center"/>
              <w:rPr>
                <w:rFonts w:eastAsia="仿宋_GB2312"/>
                <w:sz w:val="24"/>
                <w:szCs w:val="21"/>
              </w:rPr>
            </w:pPr>
            <w:r>
              <w:rPr>
                <w:rFonts w:eastAsia="仿宋_GB2312"/>
                <w:sz w:val="24"/>
                <w:szCs w:val="21"/>
              </w:rPr>
              <w:t>国家</w:t>
            </w:r>
          </w:p>
          <w:p w14:paraId="055F3E02">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31DA78A4">
            <w:pPr>
              <w:jc w:val="center"/>
              <w:rPr>
                <w:rFonts w:eastAsia="仿宋_GB2312"/>
                <w:sz w:val="24"/>
                <w:szCs w:val="21"/>
              </w:rPr>
            </w:pPr>
            <w:r>
              <w:rPr>
                <w:rFonts w:eastAsia="仿宋_GB2312"/>
                <w:sz w:val="24"/>
                <w:szCs w:val="21"/>
              </w:rPr>
              <w:t>授权号</w:t>
            </w:r>
          </w:p>
          <w:p w14:paraId="255301F9">
            <w:pPr>
              <w:jc w:val="center"/>
              <w:rPr>
                <w:rFonts w:eastAsia="仿宋_GB2312"/>
                <w:sz w:val="24"/>
                <w:szCs w:val="21"/>
              </w:rPr>
            </w:pPr>
            <w:r>
              <w:rPr>
                <w:rFonts w:eastAsia="仿宋_GB2312"/>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14:paraId="7C7F717D">
            <w:pPr>
              <w:jc w:val="center"/>
              <w:rPr>
                <w:rFonts w:eastAsia="仿宋_GB2312"/>
                <w:sz w:val="24"/>
                <w:szCs w:val="21"/>
              </w:rPr>
            </w:pPr>
            <w:r>
              <w:rPr>
                <w:rFonts w:eastAsia="仿宋_GB2312"/>
                <w:sz w:val="24"/>
                <w:szCs w:val="21"/>
              </w:rPr>
              <w:t>授权</w:t>
            </w:r>
          </w:p>
          <w:p w14:paraId="4031C5EA">
            <w:pPr>
              <w:jc w:val="center"/>
              <w:rPr>
                <w:rFonts w:eastAsia="仿宋_GB2312"/>
                <w:sz w:val="24"/>
                <w:szCs w:val="21"/>
              </w:rPr>
            </w:pPr>
            <w:r>
              <w:rPr>
                <w:rFonts w:eastAsia="仿宋_GB2312"/>
                <w:sz w:val="24"/>
                <w:szCs w:val="21"/>
              </w:rPr>
              <w:t>（标准发布）</w:t>
            </w:r>
          </w:p>
          <w:p w14:paraId="50828570">
            <w:pPr>
              <w:jc w:val="center"/>
              <w:rPr>
                <w:rFonts w:eastAsia="仿宋_GB2312"/>
                <w:sz w:val="24"/>
                <w:szCs w:val="21"/>
              </w:rPr>
            </w:pPr>
            <w:r>
              <w:rPr>
                <w:rFonts w:eastAsia="仿宋_GB2312"/>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14:paraId="3A45F4F3">
            <w:pPr>
              <w:jc w:val="center"/>
              <w:rPr>
                <w:rFonts w:eastAsia="仿宋_GB2312"/>
                <w:sz w:val="24"/>
                <w:szCs w:val="21"/>
              </w:rPr>
            </w:pPr>
            <w:r>
              <w:rPr>
                <w:rFonts w:eastAsia="仿宋_GB2312"/>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28D2F142">
            <w:pPr>
              <w:jc w:val="center"/>
              <w:rPr>
                <w:rFonts w:eastAsia="仿宋_GB2312"/>
                <w:sz w:val="24"/>
                <w:szCs w:val="21"/>
              </w:rPr>
            </w:pPr>
            <w:r>
              <w:rPr>
                <w:rFonts w:eastAsia="仿宋_GB2312"/>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3F7E48CB">
            <w:pPr>
              <w:jc w:val="center"/>
              <w:rPr>
                <w:rFonts w:eastAsia="仿宋_GB2312"/>
                <w:sz w:val="24"/>
                <w:szCs w:val="21"/>
              </w:rPr>
            </w:pPr>
            <w:r>
              <w:rPr>
                <w:rFonts w:eastAsia="仿宋_GB2312"/>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14:paraId="6ABB6916">
            <w:pPr>
              <w:jc w:val="center"/>
              <w:rPr>
                <w:rFonts w:eastAsia="仿宋_GB2312"/>
                <w:sz w:val="24"/>
                <w:szCs w:val="21"/>
              </w:rPr>
            </w:pPr>
            <w:r>
              <w:rPr>
                <w:rFonts w:eastAsia="仿宋_GB2312"/>
                <w:sz w:val="24"/>
                <w:szCs w:val="21"/>
              </w:rPr>
              <w:t>发明专利（标准规范）有效状态</w:t>
            </w:r>
          </w:p>
        </w:tc>
      </w:tr>
      <w:tr w14:paraId="4F99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5B4E8435">
            <w:pPr>
              <w:jc w:val="left"/>
              <w:rPr>
                <w:rFonts w:eastAsia="仿宋_GB2312"/>
                <w:sz w:val="24"/>
                <w:szCs w:val="21"/>
              </w:rPr>
            </w:pPr>
            <w:r>
              <w:rPr>
                <w:rFonts w:eastAsia="仿宋_GB2312"/>
                <w:sz w:val="24"/>
                <w:szCs w:val="21"/>
              </w:rPr>
              <w:t>发明专利</w:t>
            </w:r>
          </w:p>
        </w:tc>
        <w:tc>
          <w:tcPr>
            <w:tcW w:w="2577" w:type="dxa"/>
            <w:tcBorders>
              <w:top w:val="single" w:color="auto" w:sz="4" w:space="0"/>
              <w:left w:val="single" w:color="auto" w:sz="4" w:space="0"/>
              <w:bottom w:val="single" w:color="auto" w:sz="4" w:space="0"/>
              <w:right w:val="single" w:color="auto" w:sz="4" w:space="0"/>
            </w:tcBorders>
          </w:tcPr>
          <w:p w14:paraId="6E32C35D">
            <w:pPr>
              <w:jc w:val="left"/>
              <w:rPr>
                <w:rFonts w:eastAsia="仿宋_GB2312"/>
                <w:sz w:val="24"/>
                <w:szCs w:val="21"/>
              </w:rPr>
            </w:pPr>
            <w:r>
              <w:rPr>
                <w:rFonts w:eastAsia="仿宋_GB2312"/>
                <w:sz w:val="24"/>
                <w:szCs w:val="21"/>
              </w:rPr>
              <w:t>一种血清预处理剂及其应用和α-突触核蛋白体的体外扩增方法</w:t>
            </w:r>
          </w:p>
        </w:tc>
        <w:tc>
          <w:tcPr>
            <w:tcW w:w="992" w:type="dxa"/>
            <w:tcBorders>
              <w:top w:val="single" w:color="auto" w:sz="4" w:space="0"/>
              <w:left w:val="single" w:color="auto" w:sz="4" w:space="0"/>
              <w:bottom w:val="single" w:color="auto" w:sz="4" w:space="0"/>
              <w:right w:val="single" w:color="auto" w:sz="4" w:space="0"/>
            </w:tcBorders>
          </w:tcPr>
          <w:p w14:paraId="2C7DA605">
            <w:pPr>
              <w:jc w:val="left"/>
              <w:rPr>
                <w:rFonts w:eastAsia="仿宋_GB2312"/>
                <w:sz w:val="24"/>
                <w:szCs w:val="21"/>
              </w:rPr>
            </w:pPr>
            <w:r>
              <w:rPr>
                <w:rFonts w:eastAsia="仿宋_GB2312"/>
                <w:sz w:val="24"/>
                <w:szCs w:val="21"/>
              </w:rPr>
              <w:t>中国</w:t>
            </w:r>
          </w:p>
        </w:tc>
        <w:tc>
          <w:tcPr>
            <w:tcW w:w="1655" w:type="dxa"/>
            <w:tcBorders>
              <w:top w:val="single" w:color="auto" w:sz="4" w:space="0"/>
              <w:left w:val="single" w:color="auto" w:sz="4" w:space="0"/>
              <w:bottom w:val="single" w:color="auto" w:sz="4" w:space="0"/>
              <w:right w:val="single" w:color="auto" w:sz="4" w:space="0"/>
            </w:tcBorders>
          </w:tcPr>
          <w:p w14:paraId="6B56E28F">
            <w:pPr>
              <w:jc w:val="left"/>
              <w:rPr>
                <w:rFonts w:eastAsia="仿宋_GB2312"/>
                <w:sz w:val="24"/>
                <w:szCs w:val="21"/>
              </w:rPr>
            </w:pPr>
            <w:r>
              <w:rPr>
                <w:rFonts w:eastAsia="仿宋_GB2312"/>
                <w:sz w:val="24"/>
                <w:szCs w:val="21"/>
              </w:rPr>
              <w:t>ZL202411477067.4</w:t>
            </w:r>
          </w:p>
        </w:tc>
        <w:tc>
          <w:tcPr>
            <w:tcW w:w="1213" w:type="dxa"/>
            <w:tcBorders>
              <w:top w:val="single" w:color="auto" w:sz="4" w:space="0"/>
              <w:left w:val="single" w:color="auto" w:sz="4" w:space="0"/>
              <w:bottom w:val="single" w:color="auto" w:sz="4" w:space="0"/>
              <w:right w:val="single" w:color="auto" w:sz="4" w:space="0"/>
            </w:tcBorders>
          </w:tcPr>
          <w:p w14:paraId="7F3E727E">
            <w:pPr>
              <w:jc w:val="left"/>
              <w:rPr>
                <w:rFonts w:eastAsia="仿宋_GB2312"/>
                <w:sz w:val="24"/>
                <w:szCs w:val="21"/>
              </w:rPr>
            </w:pPr>
            <w:r>
              <w:rPr>
                <w:rFonts w:eastAsia="仿宋_GB2312"/>
                <w:sz w:val="24"/>
                <w:szCs w:val="21"/>
              </w:rPr>
              <w:t>2025年05月06日</w:t>
            </w:r>
          </w:p>
        </w:tc>
        <w:tc>
          <w:tcPr>
            <w:tcW w:w="1213" w:type="dxa"/>
            <w:tcBorders>
              <w:top w:val="single" w:color="auto" w:sz="4" w:space="0"/>
              <w:left w:val="single" w:color="auto" w:sz="4" w:space="0"/>
              <w:bottom w:val="single" w:color="auto" w:sz="4" w:space="0"/>
              <w:right w:val="single" w:color="auto" w:sz="4" w:space="0"/>
            </w:tcBorders>
          </w:tcPr>
          <w:p w14:paraId="19BB5738">
            <w:pPr>
              <w:jc w:val="left"/>
              <w:rPr>
                <w:rFonts w:eastAsia="仿宋_GB2312"/>
                <w:sz w:val="24"/>
                <w:szCs w:val="21"/>
              </w:rPr>
            </w:pPr>
            <w:r>
              <w:rPr>
                <w:rFonts w:eastAsia="仿宋_GB2312"/>
                <w:sz w:val="24"/>
                <w:szCs w:val="21"/>
              </w:rPr>
              <w:t>证书号第7918339号</w:t>
            </w:r>
          </w:p>
        </w:tc>
        <w:tc>
          <w:tcPr>
            <w:tcW w:w="1213" w:type="dxa"/>
            <w:tcBorders>
              <w:top w:val="single" w:color="auto" w:sz="4" w:space="0"/>
              <w:left w:val="single" w:color="auto" w:sz="4" w:space="0"/>
              <w:bottom w:val="single" w:color="auto" w:sz="4" w:space="0"/>
              <w:right w:val="single" w:color="auto" w:sz="4" w:space="0"/>
            </w:tcBorders>
          </w:tcPr>
          <w:p w14:paraId="430DB42B">
            <w:pPr>
              <w:jc w:val="left"/>
              <w:rPr>
                <w:rFonts w:eastAsia="仿宋_GB2312"/>
                <w:sz w:val="24"/>
                <w:szCs w:val="21"/>
              </w:rPr>
            </w:pPr>
            <w:r>
              <w:rPr>
                <w:rFonts w:eastAsia="仿宋_GB2312"/>
                <w:sz w:val="24"/>
                <w:szCs w:val="21"/>
              </w:rPr>
              <w:t>广州医科大学附属第一医院（广州呼吸中心）</w:t>
            </w:r>
          </w:p>
        </w:tc>
        <w:tc>
          <w:tcPr>
            <w:tcW w:w="2215" w:type="dxa"/>
            <w:tcBorders>
              <w:top w:val="single" w:color="auto" w:sz="4" w:space="0"/>
              <w:left w:val="single" w:color="auto" w:sz="4" w:space="0"/>
              <w:bottom w:val="single" w:color="auto" w:sz="4" w:space="0"/>
              <w:right w:val="single" w:color="auto" w:sz="4" w:space="0"/>
            </w:tcBorders>
          </w:tcPr>
          <w:p w14:paraId="7FC5B1A1">
            <w:pPr>
              <w:jc w:val="left"/>
              <w:rPr>
                <w:rFonts w:eastAsia="仿宋_GB2312"/>
                <w:sz w:val="24"/>
                <w:szCs w:val="21"/>
              </w:rPr>
            </w:pPr>
            <w:r>
              <w:rPr>
                <w:rFonts w:eastAsia="仿宋_GB2312"/>
                <w:sz w:val="24"/>
                <w:szCs w:val="21"/>
              </w:rPr>
              <w:t>况耀</w:t>
            </w:r>
            <w:r>
              <w:rPr>
                <w:rFonts w:eastAsia="微软雅黑"/>
                <w:sz w:val="24"/>
                <w:szCs w:val="21"/>
              </w:rPr>
              <w:t>鋆</w:t>
            </w:r>
            <w:r>
              <w:rPr>
                <w:rFonts w:eastAsia="仿宋_GB2312"/>
                <w:sz w:val="24"/>
                <w:szCs w:val="21"/>
              </w:rPr>
              <w:t>;毛珩旭;甘婷婷;戴玮;林浩;王嘉琪;李冲;董晓莉;杨新玲;徐评议</w:t>
            </w:r>
          </w:p>
        </w:tc>
        <w:tc>
          <w:tcPr>
            <w:tcW w:w="2215" w:type="dxa"/>
            <w:tcBorders>
              <w:top w:val="single" w:color="auto" w:sz="4" w:space="0"/>
              <w:left w:val="single" w:color="auto" w:sz="4" w:space="0"/>
              <w:bottom w:val="single" w:color="auto" w:sz="4" w:space="0"/>
              <w:right w:val="single" w:color="auto" w:sz="4" w:space="0"/>
            </w:tcBorders>
          </w:tcPr>
          <w:p w14:paraId="5E3C6FC9">
            <w:pPr>
              <w:jc w:val="left"/>
              <w:rPr>
                <w:rFonts w:eastAsia="仿宋_GB2312"/>
                <w:sz w:val="24"/>
                <w:szCs w:val="21"/>
              </w:rPr>
            </w:pPr>
            <w:r>
              <w:rPr>
                <w:rFonts w:hint="eastAsia" w:eastAsia="仿宋_GB2312"/>
                <w:sz w:val="24"/>
                <w:szCs w:val="21"/>
              </w:rPr>
              <w:t>有效</w:t>
            </w:r>
          </w:p>
        </w:tc>
      </w:tr>
      <w:tr w14:paraId="6E00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4C07CEA8">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628FD7A0">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434FF1BD">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6CF9A69D">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079D5C3">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D0A75EE">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55AE801">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B833F35">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51CD414">
            <w:pPr>
              <w:rPr>
                <w:sz w:val="28"/>
                <w:szCs w:val="28"/>
              </w:rPr>
            </w:pPr>
          </w:p>
        </w:tc>
      </w:tr>
      <w:tr w14:paraId="0661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373CAC5C">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2DAD18D2">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649DEA22">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192BFCE3">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7913E7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A166FAA">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9C6A014">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3F7F882">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B055384">
            <w:pPr>
              <w:rPr>
                <w:sz w:val="28"/>
                <w:szCs w:val="28"/>
              </w:rPr>
            </w:pPr>
          </w:p>
        </w:tc>
      </w:tr>
      <w:tr w14:paraId="7B49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F80AF81">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36D9CFCA">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D054FD3">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2FD42A8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96FF42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6F55839">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1D46726D">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32A092C5">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52B5ADE">
            <w:pPr>
              <w:rPr>
                <w:sz w:val="28"/>
                <w:szCs w:val="28"/>
              </w:rPr>
            </w:pPr>
          </w:p>
        </w:tc>
      </w:tr>
      <w:tr w14:paraId="43C2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5CF7D8BD">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2B42C35F">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3B4DDEE4">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356CA05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34F85A4">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CC6B739">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2E6FECF6">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16E25862">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0465783A">
            <w:pPr>
              <w:rPr>
                <w:sz w:val="28"/>
                <w:szCs w:val="28"/>
              </w:rPr>
            </w:pPr>
          </w:p>
        </w:tc>
      </w:tr>
      <w:tr w14:paraId="3AC8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0691BB0C">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1FC181DF">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D9FF890">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5D0FA120">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3BA52948">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4A2D9522">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51BF1B5B">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B896261">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508FE16E">
            <w:pPr>
              <w:rPr>
                <w:sz w:val="28"/>
                <w:szCs w:val="28"/>
              </w:rPr>
            </w:pPr>
          </w:p>
        </w:tc>
      </w:tr>
      <w:tr w14:paraId="68CB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272763ED">
            <w:pPr>
              <w:rPr>
                <w:sz w:val="28"/>
                <w:szCs w:val="28"/>
              </w:rPr>
            </w:pPr>
          </w:p>
        </w:tc>
        <w:tc>
          <w:tcPr>
            <w:tcW w:w="2577" w:type="dxa"/>
            <w:tcBorders>
              <w:top w:val="single" w:color="auto" w:sz="4" w:space="0"/>
              <w:left w:val="single" w:color="auto" w:sz="4" w:space="0"/>
              <w:bottom w:val="single" w:color="auto" w:sz="4" w:space="0"/>
              <w:right w:val="single" w:color="auto" w:sz="4" w:space="0"/>
            </w:tcBorders>
          </w:tcPr>
          <w:p w14:paraId="2D31322C">
            <w:pPr>
              <w:rPr>
                <w:sz w:val="28"/>
                <w:szCs w:val="28"/>
              </w:rPr>
            </w:pPr>
          </w:p>
        </w:tc>
        <w:tc>
          <w:tcPr>
            <w:tcW w:w="992" w:type="dxa"/>
            <w:tcBorders>
              <w:top w:val="single" w:color="auto" w:sz="4" w:space="0"/>
              <w:left w:val="single" w:color="auto" w:sz="4" w:space="0"/>
              <w:bottom w:val="single" w:color="auto" w:sz="4" w:space="0"/>
              <w:right w:val="single" w:color="auto" w:sz="4" w:space="0"/>
            </w:tcBorders>
          </w:tcPr>
          <w:p w14:paraId="535E88DE">
            <w:pPr>
              <w:rPr>
                <w:sz w:val="28"/>
                <w:szCs w:val="28"/>
              </w:rPr>
            </w:pPr>
          </w:p>
        </w:tc>
        <w:tc>
          <w:tcPr>
            <w:tcW w:w="1655" w:type="dxa"/>
            <w:tcBorders>
              <w:top w:val="single" w:color="auto" w:sz="4" w:space="0"/>
              <w:left w:val="single" w:color="auto" w:sz="4" w:space="0"/>
              <w:bottom w:val="single" w:color="auto" w:sz="4" w:space="0"/>
              <w:right w:val="single" w:color="auto" w:sz="4" w:space="0"/>
            </w:tcBorders>
          </w:tcPr>
          <w:p w14:paraId="6CB5800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09FE0635">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7140DB6B">
            <w:pPr>
              <w:rPr>
                <w:sz w:val="28"/>
                <w:szCs w:val="28"/>
              </w:rPr>
            </w:pPr>
          </w:p>
        </w:tc>
        <w:tc>
          <w:tcPr>
            <w:tcW w:w="1213" w:type="dxa"/>
            <w:tcBorders>
              <w:top w:val="single" w:color="auto" w:sz="4" w:space="0"/>
              <w:left w:val="single" w:color="auto" w:sz="4" w:space="0"/>
              <w:bottom w:val="single" w:color="auto" w:sz="4" w:space="0"/>
              <w:right w:val="single" w:color="auto" w:sz="4" w:space="0"/>
            </w:tcBorders>
          </w:tcPr>
          <w:p w14:paraId="602E929A">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75BB0C03">
            <w:pPr>
              <w:rPr>
                <w:sz w:val="28"/>
                <w:szCs w:val="28"/>
              </w:rPr>
            </w:pPr>
          </w:p>
        </w:tc>
        <w:tc>
          <w:tcPr>
            <w:tcW w:w="2215" w:type="dxa"/>
            <w:tcBorders>
              <w:top w:val="single" w:color="auto" w:sz="4" w:space="0"/>
              <w:left w:val="single" w:color="auto" w:sz="4" w:space="0"/>
              <w:bottom w:val="single" w:color="auto" w:sz="4" w:space="0"/>
              <w:right w:val="single" w:color="auto" w:sz="4" w:space="0"/>
            </w:tcBorders>
          </w:tcPr>
          <w:p w14:paraId="23C8C8C7">
            <w:pPr>
              <w:rPr>
                <w:sz w:val="28"/>
                <w:szCs w:val="28"/>
              </w:rPr>
            </w:pPr>
          </w:p>
        </w:tc>
      </w:tr>
    </w:tbl>
    <w:p w14:paraId="726169F8">
      <w:pPr>
        <w:rPr>
          <w:rFonts w:eastAsia="黑体"/>
          <w:sz w:val="32"/>
          <w:szCs w:val="32"/>
        </w:rPr>
      </w:pPr>
    </w:p>
    <w:p w14:paraId="1F299D98">
      <w:pPr>
        <w:spacing w:beforeAutospacing="1" w:afterAutospacing="1"/>
        <w:rPr>
          <w:rFonts w:eastAsia="黑体"/>
          <w:kern w:val="0"/>
          <w:sz w:val="32"/>
          <w:szCs w:val="32"/>
        </w:rPr>
        <w:sectPr>
          <w:pgSz w:w="15842" w:h="12242" w:orient="landscape"/>
          <w:pgMar w:top="1418" w:right="1247" w:bottom="1134" w:left="1247" w:header="851" w:footer="794" w:gutter="0"/>
          <w:cols w:space="720" w:num="1"/>
        </w:sectPr>
      </w:pPr>
    </w:p>
    <w:p w14:paraId="2150535C">
      <w:pPr>
        <w:pStyle w:val="4"/>
        <w:rPr>
          <w:rFonts w:eastAsia="方正黑体简体"/>
          <w:sz w:val="24"/>
          <w:szCs w:val="24"/>
        </w:rPr>
      </w:pPr>
      <w:r>
        <w:rPr>
          <w:rFonts w:hint="eastAsia" w:eastAsia="方正黑体简体"/>
          <w:sz w:val="24"/>
          <w:szCs w:val="24"/>
        </w:rPr>
        <w:t>附件2</w:t>
      </w:r>
    </w:p>
    <w:p w14:paraId="2A106811">
      <w:pPr>
        <w:pStyle w:val="4"/>
        <w:jc w:val="center"/>
        <w:rPr>
          <w:rFonts w:eastAsia="方正黑体简体"/>
          <w:sz w:val="32"/>
          <w:szCs w:val="22"/>
        </w:rPr>
      </w:pPr>
      <w:r>
        <w:rPr>
          <w:rFonts w:eastAsia="方正黑体简体"/>
          <w:sz w:val="32"/>
          <w:szCs w:val="22"/>
        </w:rPr>
        <w:t>代表性论文专著目录</w:t>
      </w:r>
    </w:p>
    <w:tbl>
      <w:tblPr>
        <w:tblStyle w:val="16"/>
        <w:tblW w:w="93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87"/>
        <w:gridCol w:w="2835"/>
        <w:gridCol w:w="1262"/>
        <w:gridCol w:w="993"/>
        <w:gridCol w:w="22"/>
        <w:gridCol w:w="842"/>
      </w:tblGrid>
      <w:tr w14:paraId="222C0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3387" w:type="dxa"/>
            <w:tcBorders>
              <w:top w:val="single" w:color="auto" w:sz="12" w:space="0"/>
              <w:left w:val="single" w:color="auto" w:sz="12" w:space="0"/>
              <w:bottom w:val="single" w:color="auto" w:sz="6" w:space="0"/>
              <w:right w:val="single" w:color="auto" w:sz="6" w:space="0"/>
            </w:tcBorders>
            <w:vAlign w:val="center"/>
          </w:tcPr>
          <w:p w14:paraId="52752998">
            <w:pPr>
              <w:ind w:right="178" w:rightChars="85"/>
              <w:jc w:val="center"/>
              <w:rPr>
                <w:rFonts w:eastAsia="仿宋_GB2312"/>
                <w:sz w:val="24"/>
              </w:rPr>
            </w:pPr>
            <w:r>
              <w:rPr>
                <w:rFonts w:eastAsia="仿宋_GB2312"/>
                <w:sz w:val="24"/>
              </w:rPr>
              <w:t>作 者</w:t>
            </w:r>
          </w:p>
        </w:tc>
        <w:tc>
          <w:tcPr>
            <w:tcW w:w="2835" w:type="dxa"/>
            <w:tcBorders>
              <w:top w:val="single" w:color="auto" w:sz="12" w:space="0"/>
              <w:left w:val="single" w:color="auto" w:sz="6" w:space="0"/>
              <w:bottom w:val="single" w:color="auto" w:sz="6" w:space="0"/>
              <w:right w:val="single" w:color="auto" w:sz="6" w:space="0"/>
            </w:tcBorders>
            <w:vAlign w:val="center"/>
          </w:tcPr>
          <w:p w14:paraId="73C988C1">
            <w:pPr>
              <w:jc w:val="center"/>
              <w:rPr>
                <w:rFonts w:eastAsia="仿宋_GB2312"/>
                <w:sz w:val="24"/>
              </w:rPr>
            </w:pPr>
            <w:r>
              <w:rPr>
                <w:rFonts w:eastAsia="仿宋_GB2312"/>
                <w:sz w:val="24"/>
              </w:rPr>
              <w:t>论文专著名称/刊物</w:t>
            </w:r>
          </w:p>
        </w:tc>
        <w:tc>
          <w:tcPr>
            <w:tcW w:w="1262"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15903A78">
            <w:pPr>
              <w:jc w:val="center"/>
              <w:rPr>
                <w:rFonts w:eastAsia="仿宋_GB2312"/>
                <w:sz w:val="24"/>
              </w:rPr>
            </w:pPr>
            <w:r>
              <w:rPr>
                <w:rFonts w:eastAsia="仿宋_GB2312"/>
                <w:sz w:val="24"/>
              </w:rPr>
              <w:t>年卷</w:t>
            </w:r>
          </w:p>
          <w:p w14:paraId="591FC5B7">
            <w:pPr>
              <w:jc w:val="center"/>
              <w:rPr>
                <w:rFonts w:eastAsia="仿宋_GB2312"/>
                <w:szCs w:val="21"/>
              </w:rPr>
            </w:pPr>
            <w:r>
              <w:rPr>
                <w:rFonts w:eastAsia="仿宋_GB2312"/>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2F0D932">
            <w:pPr>
              <w:jc w:val="center"/>
              <w:rPr>
                <w:rFonts w:eastAsia="仿宋_GB2312"/>
                <w:sz w:val="24"/>
              </w:rPr>
            </w:pPr>
            <w:r>
              <w:rPr>
                <w:rFonts w:eastAsia="仿宋_GB2312"/>
                <w:sz w:val="24"/>
              </w:rPr>
              <w:t>发表</w:t>
            </w:r>
          </w:p>
          <w:p w14:paraId="5CC9133A">
            <w:pPr>
              <w:jc w:val="center"/>
              <w:rPr>
                <w:rFonts w:eastAsia="仿宋_GB2312"/>
                <w:sz w:val="24"/>
              </w:rPr>
            </w:pPr>
            <w:r>
              <w:rPr>
                <w:rFonts w:eastAsia="仿宋_GB2312"/>
                <w:sz w:val="24"/>
              </w:rPr>
              <w:t>时间</w:t>
            </w:r>
          </w:p>
          <w:p w14:paraId="28F37D86">
            <w:pPr>
              <w:jc w:val="center"/>
              <w:rPr>
                <w:rFonts w:eastAsia="仿宋_GB2312"/>
                <w:sz w:val="24"/>
              </w:rPr>
            </w:pPr>
            <w:r>
              <w:rPr>
                <w:rFonts w:eastAsia="仿宋_GB2312"/>
                <w:sz w:val="24"/>
              </w:rPr>
              <w:t>（年、月）</w:t>
            </w:r>
          </w:p>
        </w:tc>
        <w:tc>
          <w:tcPr>
            <w:tcW w:w="864" w:type="dxa"/>
            <w:gridSpan w:val="2"/>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0235546">
            <w:pPr>
              <w:jc w:val="center"/>
              <w:rPr>
                <w:rFonts w:eastAsia="仿宋_GB2312"/>
                <w:sz w:val="24"/>
              </w:rPr>
            </w:pPr>
            <w:r>
              <w:rPr>
                <w:rFonts w:eastAsia="仿宋_GB2312"/>
                <w:sz w:val="24"/>
              </w:rPr>
              <w:t>他引</w:t>
            </w:r>
          </w:p>
          <w:p w14:paraId="068B1EDF">
            <w:pPr>
              <w:jc w:val="center"/>
              <w:rPr>
                <w:rFonts w:eastAsia="仿宋_GB2312"/>
                <w:sz w:val="24"/>
              </w:rPr>
            </w:pPr>
            <w:r>
              <w:rPr>
                <w:rFonts w:eastAsia="仿宋_GB2312"/>
                <w:sz w:val="24"/>
              </w:rPr>
              <w:t>总次数</w:t>
            </w:r>
          </w:p>
        </w:tc>
      </w:tr>
      <w:tr w14:paraId="23771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0EEB731E">
            <w:pPr>
              <w:rPr>
                <w:szCs w:val="21"/>
              </w:rPr>
            </w:pPr>
            <w:r>
              <w:rPr>
                <w:szCs w:val="21"/>
              </w:rPr>
              <w:t>Jia-Li Pu, Chong-Yao Jin, Zhong-Xuan Wang, Yi Fang, Yao-Lin Li, Nai-Jia Xue, Ran Zheng, Zhi-Hao Lin, Yi-Qun Yan, Xiao-Li Si, Ying Chen, Yi Liu, Zhe Song, Ya-Ping Yan, Jun Tian, Xin-Zhen Yin, Bao-Rong Zhang</w:t>
            </w:r>
          </w:p>
        </w:tc>
        <w:tc>
          <w:tcPr>
            <w:tcW w:w="2835" w:type="dxa"/>
            <w:tcBorders>
              <w:top w:val="single" w:color="auto" w:sz="6" w:space="0"/>
              <w:left w:val="single" w:color="auto" w:sz="6" w:space="0"/>
              <w:bottom w:val="single" w:color="auto" w:sz="6" w:space="0"/>
              <w:right w:val="single" w:color="auto" w:sz="6" w:space="0"/>
            </w:tcBorders>
            <w:vAlign w:val="center"/>
          </w:tcPr>
          <w:p w14:paraId="29D8A8AC">
            <w:pPr>
              <w:rPr>
                <w:szCs w:val="16"/>
              </w:rPr>
            </w:pPr>
            <w:bookmarkStart w:id="0" w:name="OLE_LINK1"/>
            <w:r>
              <w:rPr>
                <w:szCs w:val="16"/>
              </w:rPr>
              <w:t>Apolipoprotein E Genotype Contributes to Motor Progression in Parkinson's Disease</w:t>
            </w:r>
          </w:p>
          <w:bookmarkEnd w:id="0"/>
          <w:p w14:paraId="79AC0835">
            <w:pPr>
              <w:rPr>
                <w:szCs w:val="16"/>
              </w:rPr>
            </w:pPr>
            <w:r>
              <w:rPr>
                <w:szCs w:val="16"/>
              </w:rPr>
              <w:t>M</w:t>
            </w:r>
            <w:r>
              <w:rPr>
                <w:rFonts w:hint="eastAsia"/>
                <w:szCs w:val="16"/>
              </w:rPr>
              <w:t>OVEMENT DISORDERS</w:t>
            </w:r>
          </w:p>
        </w:tc>
        <w:tc>
          <w:tcPr>
            <w:tcW w:w="1262" w:type="dxa"/>
            <w:tcBorders>
              <w:top w:val="single" w:color="auto" w:sz="6" w:space="0"/>
              <w:left w:val="single" w:color="auto" w:sz="6" w:space="0"/>
              <w:bottom w:val="single" w:color="auto" w:sz="6" w:space="0"/>
              <w:right w:val="single" w:color="auto" w:sz="6" w:space="0"/>
            </w:tcBorders>
            <w:vAlign w:val="center"/>
          </w:tcPr>
          <w:p w14:paraId="57C3CFF0">
            <w:pPr>
              <w:spacing w:after="0"/>
              <w:rPr>
                <w:szCs w:val="21"/>
              </w:rPr>
            </w:pPr>
            <w:r>
              <w:rPr>
                <w:szCs w:val="21"/>
              </w:rPr>
              <w:t>Year: 2022 Volume:37 Issue:1 Page: 196-200</w:t>
            </w:r>
          </w:p>
        </w:tc>
        <w:tc>
          <w:tcPr>
            <w:tcW w:w="993" w:type="dxa"/>
            <w:tcBorders>
              <w:top w:val="single" w:color="auto" w:sz="6" w:space="0"/>
              <w:left w:val="single" w:color="auto" w:sz="6" w:space="0"/>
              <w:bottom w:val="single" w:color="auto" w:sz="6" w:space="0"/>
              <w:right w:val="single" w:color="auto" w:sz="6" w:space="0"/>
            </w:tcBorders>
            <w:vAlign w:val="center"/>
          </w:tcPr>
          <w:p w14:paraId="0E0D1F9A">
            <w:pPr>
              <w:rPr>
                <w:sz w:val="24"/>
              </w:rPr>
            </w:pPr>
            <w:r>
              <w:rPr>
                <w:sz w:val="24"/>
              </w:rPr>
              <w:t>2022</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288222A0">
            <w:pPr>
              <w:rPr>
                <w:sz w:val="24"/>
              </w:rPr>
            </w:pPr>
            <w:r>
              <w:rPr>
                <w:sz w:val="24"/>
              </w:rPr>
              <w:t>17</w:t>
            </w:r>
          </w:p>
        </w:tc>
      </w:tr>
      <w:tr w14:paraId="04998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2B0C125B">
            <w:pPr>
              <w:rPr>
                <w:szCs w:val="21"/>
              </w:rPr>
            </w:pPr>
            <w:r>
              <w:rPr>
                <w:szCs w:val="21"/>
              </w:rPr>
              <w:t>Xiaoli Si, Tao Guo, Zhiyun Wang, Yi Fang, Luyan Gu, Lanxiao Cao, Wenyi Yang, Ting Gao, Zhe Song, Jun Tian, Xinzhen Yin, Xiaojun Guan, Cheng Zhou, Jingjing Wu, Xueqin Bai, Xiaocao Liu, Guohua Zhao, Minming Zhang, Jiali Pu, Baorong Zhang</w:t>
            </w:r>
          </w:p>
        </w:tc>
        <w:tc>
          <w:tcPr>
            <w:tcW w:w="2835" w:type="dxa"/>
            <w:tcBorders>
              <w:top w:val="single" w:color="auto" w:sz="6" w:space="0"/>
              <w:left w:val="single" w:color="auto" w:sz="6" w:space="0"/>
              <w:bottom w:val="single" w:color="auto" w:sz="6" w:space="0"/>
              <w:right w:val="single" w:color="auto" w:sz="6" w:space="0"/>
            </w:tcBorders>
            <w:vAlign w:val="center"/>
          </w:tcPr>
          <w:p w14:paraId="323815DE">
            <w:pPr>
              <w:rPr>
                <w:szCs w:val="21"/>
              </w:rPr>
            </w:pPr>
            <w:r>
              <w:rPr>
                <w:szCs w:val="21"/>
              </w:rPr>
              <w:t>Neuroimaging evidence of glymphatic system dysfunction in possible REM sleep behavior disorder and Parkinson's disease</w:t>
            </w:r>
          </w:p>
          <w:p w14:paraId="09290135">
            <w:pPr>
              <w:rPr>
                <w:szCs w:val="21"/>
              </w:rPr>
            </w:pPr>
            <w:r>
              <w:rPr>
                <w:szCs w:val="21"/>
              </w:rPr>
              <w:t>NPJ PARKINSONS DISEASE</w:t>
            </w:r>
          </w:p>
        </w:tc>
        <w:tc>
          <w:tcPr>
            <w:tcW w:w="1262" w:type="dxa"/>
            <w:tcBorders>
              <w:top w:val="single" w:color="auto" w:sz="6" w:space="0"/>
              <w:left w:val="single" w:color="auto" w:sz="6" w:space="0"/>
              <w:bottom w:val="single" w:color="auto" w:sz="6" w:space="0"/>
              <w:right w:val="single" w:color="auto" w:sz="6" w:space="0"/>
            </w:tcBorders>
            <w:vAlign w:val="center"/>
          </w:tcPr>
          <w:p w14:paraId="7BB8EF9B">
            <w:pPr>
              <w:spacing w:after="0"/>
              <w:rPr>
                <w:szCs w:val="21"/>
              </w:rPr>
            </w:pPr>
            <w:r>
              <w:rPr>
                <w:szCs w:val="21"/>
              </w:rPr>
              <w:t>Year:2022 Volume:8 Issue: 1</w:t>
            </w:r>
          </w:p>
          <w:p w14:paraId="0520010F">
            <w:pPr>
              <w:spacing w:after="0"/>
              <w:rPr>
                <w:szCs w:val="21"/>
              </w:rPr>
            </w:pPr>
            <w:r>
              <w:rPr>
                <w:szCs w:val="21"/>
              </w:rPr>
              <w:t xml:space="preserve">Page: </w:t>
            </w:r>
            <w:r>
              <w:rPr>
                <w:rFonts w:hint="eastAsia"/>
                <w:szCs w:val="21"/>
              </w:rPr>
              <w:t>54</w:t>
            </w:r>
          </w:p>
        </w:tc>
        <w:tc>
          <w:tcPr>
            <w:tcW w:w="993" w:type="dxa"/>
            <w:tcBorders>
              <w:top w:val="single" w:color="auto" w:sz="6" w:space="0"/>
              <w:left w:val="single" w:color="auto" w:sz="6" w:space="0"/>
              <w:bottom w:val="single" w:color="auto" w:sz="6" w:space="0"/>
              <w:right w:val="single" w:color="auto" w:sz="6" w:space="0"/>
            </w:tcBorders>
            <w:vAlign w:val="center"/>
          </w:tcPr>
          <w:p w14:paraId="37D555C5">
            <w:pPr>
              <w:rPr>
                <w:szCs w:val="21"/>
              </w:rPr>
            </w:pPr>
            <w:r>
              <w:rPr>
                <w:szCs w:val="21"/>
              </w:rPr>
              <w:t>2022</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0E483EAF">
            <w:pPr>
              <w:rPr>
                <w:szCs w:val="21"/>
              </w:rPr>
            </w:pPr>
            <w:r>
              <w:rPr>
                <w:szCs w:val="21"/>
              </w:rPr>
              <w:t>85</w:t>
            </w:r>
          </w:p>
        </w:tc>
      </w:tr>
      <w:tr w14:paraId="6F550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1160630C">
            <w:pPr>
              <w:rPr>
                <w:szCs w:val="21"/>
              </w:rPr>
            </w:pPr>
            <w:r>
              <w:rPr>
                <w:szCs w:val="21"/>
              </w:rPr>
              <w:t>Xiaoli Si, Shaobing Dai, Yi Fang, Jiahui Tang, Zhiyun Wang, Yaolin Li, Zhe Song, Ying Chen, Yi Liu, Guohua Zhao, Baorong Zhang, Jiali Pu</w:t>
            </w:r>
          </w:p>
        </w:tc>
        <w:tc>
          <w:tcPr>
            <w:tcW w:w="2835" w:type="dxa"/>
            <w:tcBorders>
              <w:top w:val="single" w:color="auto" w:sz="6" w:space="0"/>
              <w:left w:val="single" w:color="auto" w:sz="6" w:space="0"/>
              <w:bottom w:val="single" w:color="auto" w:sz="6" w:space="0"/>
              <w:right w:val="single" w:color="auto" w:sz="6" w:space="0"/>
            </w:tcBorders>
            <w:vAlign w:val="center"/>
          </w:tcPr>
          <w:p w14:paraId="79F8C6A2">
            <w:pPr>
              <w:rPr>
                <w:szCs w:val="21"/>
              </w:rPr>
            </w:pPr>
            <w:r>
              <w:rPr>
                <w:szCs w:val="21"/>
              </w:rPr>
              <w:t>Matrix metalloproteinase-9 inhibition prevents</w:t>
            </w:r>
            <w:r>
              <w:rPr>
                <w:rFonts w:hint="eastAsia"/>
                <w:szCs w:val="21"/>
              </w:rPr>
              <w:t xml:space="preserve"> </w:t>
            </w:r>
            <w:r>
              <w:rPr>
                <w:szCs w:val="21"/>
              </w:rPr>
              <w:t>aquaporin-4</w:t>
            </w:r>
            <w:r>
              <w:rPr>
                <w:rFonts w:hint="eastAsia"/>
                <w:szCs w:val="21"/>
              </w:rPr>
              <w:t xml:space="preserve"> </w:t>
            </w:r>
            <w:r>
              <w:rPr>
                <w:szCs w:val="21"/>
              </w:rPr>
              <w:t>depolarization-mediated</w:t>
            </w:r>
            <w:r>
              <w:rPr>
                <w:rFonts w:hint="eastAsia"/>
                <w:szCs w:val="21"/>
              </w:rPr>
              <w:t xml:space="preserve"> </w:t>
            </w:r>
            <w:r>
              <w:rPr>
                <w:szCs w:val="21"/>
              </w:rPr>
              <w:t>glymphatic dysfunction in Parkinson's disease</w:t>
            </w:r>
          </w:p>
          <w:p w14:paraId="39C488F8">
            <w:pPr>
              <w:rPr>
                <w:szCs w:val="21"/>
              </w:rPr>
            </w:pPr>
            <w:r>
              <w:rPr>
                <w:szCs w:val="21"/>
              </w:rPr>
              <w:t>JOURNAL OF ADVANCED RESEARCH</w:t>
            </w:r>
          </w:p>
        </w:tc>
        <w:tc>
          <w:tcPr>
            <w:tcW w:w="1262" w:type="dxa"/>
            <w:tcBorders>
              <w:top w:val="single" w:color="auto" w:sz="6" w:space="0"/>
              <w:left w:val="single" w:color="auto" w:sz="6" w:space="0"/>
              <w:bottom w:val="single" w:color="auto" w:sz="6" w:space="0"/>
              <w:right w:val="single" w:color="auto" w:sz="6" w:space="0"/>
            </w:tcBorders>
            <w:vAlign w:val="center"/>
          </w:tcPr>
          <w:p w14:paraId="43C7621E">
            <w:pPr>
              <w:spacing w:after="0"/>
              <w:rPr>
                <w:szCs w:val="21"/>
              </w:rPr>
            </w:pPr>
            <w:r>
              <w:rPr>
                <w:szCs w:val="21"/>
              </w:rPr>
              <w:t>Year:2024 Volume:56 Page: 125-136</w:t>
            </w:r>
          </w:p>
        </w:tc>
        <w:tc>
          <w:tcPr>
            <w:tcW w:w="993" w:type="dxa"/>
            <w:tcBorders>
              <w:top w:val="single" w:color="auto" w:sz="6" w:space="0"/>
              <w:left w:val="single" w:color="auto" w:sz="6" w:space="0"/>
              <w:bottom w:val="single" w:color="auto" w:sz="6" w:space="0"/>
              <w:right w:val="single" w:color="auto" w:sz="6" w:space="0"/>
            </w:tcBorders>
            <w:vAlign w:val="center"/>
          </w:tcPr>
          <w:p w14:paraId="530BF270">
            <w:pPr>
              <w:rPr>
                <w:szCs w:val="21"/>
              </w:rPr>
            </w:pPr>
            <w:r>
              <w:rPr>
                <w:rFonts w:hint="eastAsia"/>
                <w:szCs w:val="21"/>
              </w:rPr>
              <w:t>2024</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0C608EDA">
            <w:pPr>
              <w:rPr>
                <w:szCs w:val="21"/>
              </w:rPr>
            </w:pPr>
            <w:r>
              <w:rPr>
                <w:rFonts w:hint="eastAsia"/>
                <w:szCs w:val="21"/>
              </w:rPr>
              <w:t>37</w:t>
            </w:r>
          </w:p>
        </w:tc>
      </w:tr>
      <w:tr w14:paraId="229F4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2BA2607B">
            <w:pPr>
              <w:rPr>
                <w:szCs w:val="21"/>
              </w:rPr>
            </w:pPr>
            <w:r>
              <w:rPr>
                <w:szCs w:val="21"/>
              </w:rPr>
              <w:t>Feixiang Bao, Lingyan Zhou, Rui Zhou, Qiaoying Huang, Junguo Chen, Sheng Zeng, Yi Wu, Liang Yang, Shufang Qian, Mengfei Wang, Xueying He, Shan Liang, Juntao Qi, Ge Xiang, Qi Long, Jingyi Guo, Zhongfu Ying, Yanshuang Zhou, Qiuge Zhao, Jiwei Zhang, Di Zhang, Wei Sun, Mi Gao, Hao Wu, Yifan Zhao, Jinfu Nie, Min Li, Quan Chen, Jiekai Chen, Xiao Zhang, Guangjin Pan, Hong Zhang, Mingtao Li, Mei Tian, Xingguo Liu</w:t>
            </w:r>
          </w:p>
        </w:tc>
        <w:tc>
          <w:tcPr>
            <w:tcW w:w="2835" w:type="dxa"/>
            <w:tcBorders>
              <w:top w:val="single" w:color="auto" w:sz="6" w:space="0"/>
              <w:left w:val="single" w:color="auto" w:sz="6" w:space="0"/>
              <w:bottom w:val="single" w:color="auto" w:sz="6" w:space="0"/>
              <w:right w:val="single" w:color="auto" w:sz="6" w:space="0"/>
            </w:tcBorders>
            <w:vAlign w:val="center"/>
          </w:tcPr>
          <w:p w14:paraId="697AF139">
            <w:pPr>
              <w:rPr>
                <w:szCs w:val="21"/>
                <w:lang w:val="de-DE"/>
              </w:rPr>
            </w:pPr>
            <w:r>
              <w:rPr>
                <w:szCs w:val="21"/>
                <w:lang w:val="de-DE"/>
              </w:rPr>
              <w:t>Mitolysosome exocytosis, a mitophagy-independent mitochondrial quality control in flunarizine-induced parkinsonism-like symptoms</w:t>
            </w:r>
          </w:p>
          <w:p w14:paraId="0F5C2887">
            <w:pPr>
              <w:rPr>
                <w:szCs w:val="21"/>
                <w:lang w:val="de-DE"/>
              </w:rPr>
            </w:pPr>
            <w:r>
              <w:rPr>
                <w:szCs w:val="21"/>
                <w:lang w:val="de-DE"/>
              </w:rPr>
              <w:t>SCIENCE ADVANCES</w:t>
            </w:r>
          </w:p>
        </w:tc>
        <w:tc>
          <w:tcPr>
            <w:tcW w:w="1262" w:type="dxa"/>
            <w:tcBorders>
              <w:top w:val="single" w:color="auto" w:sz="6" w:space="0"/>
              <w:left w:val="single" w:color="auto" w:sz="6" w:space="0"/>
              <w:bottom w:val="single" w:color="auto" w:sz="6" w:space="0"/>
              <w:right w:val="single" w:color="auto" w:sz="6" w:space="0"/>
            </w:tcBorders>
            <w:vAlign w:val="center"/>
          </w:tcPr>
          <w:p w14:paraId="5D8B6E5A">
            <w:pPr>
              <w:spacing w:after="0"/>
              <w:rPr>
                <w:szCs w:val="21"/>
                <w:lang w:val="de-DE"/>
              </w:rPr>
            </w:pPr>
            <w:r>
              <w:rPr>
                <w:szCs w:val="21"/>
                <w:lang w:val="de-DE"/>
              </w:rPr>
              <w:t>Year:2022 Volume:8 Issue: 15</w:t>
            </w:r>
          </w:p>
        </w:tc>
        <w:tc>
          <w:tcPr>
            <w:tcW w:w="993" w:type="dxa"/>
            <w:tcBorders>
              <w:top w:val="single" w:color="auto" w:sz="6" w:space="0"/>
              <w:left w:val="single" w:color="auto" w:sz="6" w:space="0"/>
              <w:bottom w:val="single" w:color="auto" w:sz="6" w:space="0"/>
              <w:right w:val="single" w:color="auto" w:sz="6" w:space="0"/>
            </w:tcBorders>
            <w:vAlign w:val="center"/>
          </w:tcPr>
          <w:p w14:paraId="49154C16">
            <w:pPr>
              <w:rPr>
                <w:szCs w:val="21"/>
                <w:lang w:val="de-DE"/>
              </w:rPr>
            </w:pPr>
            <w:r>
              <w:rPr>
                <w:szCs w:val="21"/>
                <w:lang w:val="de-DE"/>
              </w:rPr>
              <w:t>2022</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5114B637">
            <w:pPr>
              <w:rPr>
                <w:szCs w:val="21"/>
                <w:lang w:val="de-DE"/>
              </w:rPr>
            </w:pPr>
            <w:r>
              <w:rPr>
                <w:szCs w:val="21"/>
                <w:lang w:val="de-DE"/>
              </w:rPr>
              <w:t>32</w:t>
            </w:r>
          </w:p>
        </w:tc>
      </w:tr>
      <w:tr w14:paraId="7D771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5483E10F">
            <w:pPr>
              <w:rPr>
                <w:szCs w:val="21"/>
                <w:lang w:val="de-DE"/>
              </w:rPr>
            </w:pPr>
            <w:r>
              <w:rPr>
                <w:szCs w:val="21"/>
                <w:lang w:val="de-DE"/>
              </w:rPr>
              <w:t>Meiqin Hu, Ping Li, Ce Wang, Xinghua Feng, Qi Geng, Wei Chen, Matangi Marthi, Wenlong Zhang, Chenlang Gao, Whitney Reid, Joel Swanson, Wanlu Du, Richard I Hume, Haoxing Xu</w:t>
            </w:r>
          </w:p>
        </w:tc>
        <w:tc>
          <w:tcPr>
            <w:tcW w:w="2835" w:type="dxa"/>
            <w:tcBorders>
              <w:top w:val="single" w:color="auto" w:sz="6" w:space="0"/>
              <w:left w:val="single" w:color="auto" w:sz="6" w:space="0"/>
              <w:bottom w:val="single" w:color="auto" w:sz="6" w:space="0"/>
              <w:right w:val="single" w:color="auto" w:sz="6" w:space="0"/>
            </w:tcBorders>
            <w:vAlign w:val="center"/>
          </w:tcPr>
          <w:p w14:paraId="3C5D9DCD">
            <w:pPr>
              <w:rPr>
                <w:szCs w:val="21"/>
              </w:rPr>
            </w:pPr>
            <w:r>
              <w:rPr>
                <w:szCs w:val="21"/>
              </w:rPr>
              <w:t>Parkinson's disease-risk protein TMEM175 is a proton-activated proton channel in lysosomes</w:t>
            </w:r>
          </w:p>
          <w:p w14:paraId="625DDD54">
            <w:pPr>
              <w:rPr>
                <w:szCs w:val="21"/>
              </w:rPr>
            </w:pPr>
            <w:r>
              <w:rPr>
                <w:szCs w:val="21"/>
              </w:rPr>
              <w:t>CELL</w:t>
            </w:r>
          </w:p>
        </w:tc>
        <w:tc>
          <w:tcPr>
            <w:tcW w:w="1262" w:type="dxa"/>
            <w:tcBorders>
              <w:top w:val="single" w:color="auto" w:sz="6" w:space="0"/>
              <w:left w:val="single" w:color="auto" w:sz="6" w:space="0"/>
              <w:bottom w:val="single" w:color="auto" w:sz="6" w:space="0"/>
              <w:right w:val="single" w:color="auto" w:sz="6" w:space="0"/>
            </w:tcBorders>
            <w:vAlign w:val="center"/>
          </w:tcPr>
          <w:p w14:paraId="4600DA66">
            <w:pPr>
              <w:spacing w:after="0"/>
              <w:rPr>
                <w:szCs w:val="21"/>
              </w:rPr>
            </w:pPr>
            <w:r>
              <w:rPr>
                <w:szCs w:val="21"/>
              </w:rPr>
              <w:t>Year:2022 Volume:185 Issue:13 Page:2292-2308</w:t>
            </w:r>
          </w:p>
        </w:tc>
        <w:tc>
          <w:tcPr>
            <w:tcW w:w="993" w:type="dxa"/>
            <w:tcBorders>
              <w:top w:val="single" w:color="auto" w:sz="6" w:space="0"/>
              <w:left w:val="single" w:color="auto" w:sz="6" w:space="0"/>
              <w:bottom w:val="single" w:color="auto" w:sz="6" w:space="0"/>
              <w:right w:val="single" w:color="auto" w:sz="6" w:space="0"/>
            </w:tcBorders>
            <w:vAlign w:val="center"/>
          </w:tcPr>
          <w:p w14:paraId="29C750B3">
            <w:pPr>
              <w:rPr>
                <w:szCs w:val="21"/>
              </w:rPr>
            </w:pPr>
            <w:r>
              <w:rPr>
                <w:szCs w:val="21"/>
              </w:rPr>
              <w:t>2022</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5E6FAE1B">
            <w:pPr>
              <w:rPr>
                <w:szCs w:val="21"/>
              </w:rPr>
            </w:pPr>
            <w:r>
              <w:rPr>
                <w:szCs w:val="21"/>
              </w:rPr>
              <w:t>109</w:t>
            </w:r>
          </w:p>
        </w:tc>
      </w:tr>
      <w:tr w14:paraId="51C59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5D7240B7">
            <w:pPr>
              <w:rPr>
                <w:szCs w:val="21"/>
              </w:rPr>
            </w:pPr>
            <w:r>
              <w:rPr>
                <w:szCs w:val="21"/>
              </w:rPr>
              <w:t>Hengxu Mao, Yaoyun Kuang, Du Feng, Xiang Chen, Lin Lu, Wencheng Xia, Tingting Gan, Weimeng Huang, Wenyuan Guo, Hancun Yi, Yirong Yang, Zhuohua Wu, Wei Dai, Hui Sun, Jieyuan Wu, Rui Zhang, Shenqing Zhang, Xiuli Lin, Yuxuan Yong, Xinling Yang, Hongyan Li, Wenjun Wu, Xiaoyun Huang, Zhaoxiang Bian, Hoi Leong Xavier Wong, Xin-Lu Wang, Michael Poppell, Yi Ren, Cong Liu, Wen-Quan Zou, Shengdi Chen, Ping-Yi Xu</w:t>
            </w:r>
          </w:p>
        </w:tc>
        <w:tc>
          <w:tcPr>
            <w:tcW w:w="2835" w:type="dxa"/>
            <w:tcBorders>
              <w:top w:val="single" w:color="auto" w:sz="6" w:space="0"/>
              <w:left w:val="single" w:color="auto" w:sz="6" w:space="0"/>
              <w:bottom w:val="single" w:color="auto" w:sz="6" w:space="0"/>
              <w:right w:val="single" w:color="auto" w:sz="6" w:space="0"/>
            </w:tcBorders>
            <w:vAlign w:val="center"/>
          </w:tcPr>
          <w:p w14:paraId="3E09297E">
            <w:pPr>
              <w:rPr>
                <w:szCs w:val="21"/>
              </w:rPr>
            </w:pPr>
            <w:r>
              <w:rPr>
                <w:szCs w:val="21"/>
              </w:rPr>
              <w:t>Ultrasensitive detection of aggregated α-synuclein using quiescent seed amplification assay for the diagnosis of Parkinson's disease</w:t>
            </w:r>
          </w:p>
          <w:p w14:paraId="0329A3FF">
            <w:pPr>
              <w:rPr>
                <w:szCs w:val="21"/>
              </w:rPr>
            </w:pPr>
            <w:r>
              <w:rPr>
                <w:szCs w:val="21"/>
              </w:rPr>
              <w:t>TRANSLATIONAL NEURODEGENERATION</w:t>
            </w:r>
          </w:p>
        </w:tc>
        <w:tc>
          <w:tcPr>
            <w:tcW w:w="1262" w:type="dxa"/>
            <w:tcBorders>
              <w:top w:val="single" w:color="auto" w:sz="6" w:space="0"/>
              <w:left w:val="single" w:color="auto" w:sz="6" w:space="0"/>
              <w:bottom w:val="single" w:color="auto" w:sz="6" w:space="0"/>
              <w:right w:val="single" w:color="auto" w:sz="6" w:space="0"/>
            </w:tcBorders>
            <w:vAlign w:val="center"/>
          </w:tcPr>
          <w:p w14:paraId="35F04E9A">
            <w:pPr>
              <w:spacing w:after="0"/>
              <w:rPr>
                <w:szCs w:val="21"/>
              </w:rPr>
            </w:pPr>
            <w:r>
              <w:rPr>
                <w:szCs w:val="21"/>
              </w:rPr>
              <w:t>Year:2024 Volume: 13 Issue: 1</w:t>
            </w:r>
          </w:p>
          <w:p w14:paraId="6F85163F">
            <w:pPr>
              <w:spacing w:after="0"/>
              <w:rPr>
                <w:szCs w:val="21"/>
              </w:rPr>
            </w:pPr>
            <w:r>
              <w:rPr>
                <w:szCs w:val="21"/>
              </w:rPr>
              <w:t>Page:</w:t>
            </w:r>
            <w:r>
              <w:rPr>
                <w:rFonts w:hint="eastAsia"/>
                <w:szCs w:val="21"/>
              </w:rPr>
              <w:t>35</w:t>
            </w:r>
          </w:p>
        </w:tc>
        <w:tc>
          <w:tcPr>
            <w:tcW w:w="993" w:type="dxa"/>
            <w:tcBorders>
              <w:top w:val="single" w:color="auto" w:sz="6" w:space="0"/>
              <w:left w:val="single" w:color="auto" w:sz="6" w:space="0"/>
              <w:bottom w:val="single" w:color="auto" w:sz="6" w:space="0"/>
              <w:right w:val="single" w:color="auto" w:sz="6" w:space="0"/>
            </w:tcBorders>
            <w:vAlign w:val="center"/>
          </w:tcPr>
          <w:p w14:paraId="5FB359F6">
            <w:pPr>
              <w:rPr>
                <w:szCs w:val="21"/>
              </w:rPr>
            </w:pPr>
            <w:r>
              <w:rPr>
                <w:szCs w:val="21"/>
              </w:rPr>
              <w:t>2024</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7E8F127F">
            <w:pPr>
              <w:rPr>
                <w:szCs w:val="21"/>
              </w:rPr>
            </w:pPr>
            <w:r>
              <w:rPr>
                <w:szCs w:val="21"/>
              </w:rPr>
              <w:t>0</w:t>
            </w:r>
          </w:p>
        </w:tc>
      </w:tr>
      <w:tr w14:paraId="19154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23CE024E">
            <w:pPr>
              <w:rPr>
                <w:szCs w:val="21"/>
              </w:rPr>
            </w:pPr>
            <w:r>
              <w:rPr>
                <w:szCs w:val="21"/>
              </w:rPr>
              <w:t>Yiwei Qian, Xiaodong Yang, Shaoqing Xu, Pei Huang, Binyin Li, Juanjuan Du, Yixi He, Binghua Su, Li-Ming Xu, Liang Wang, Ruocheng Huang, Shengdi Chen, Qin Xiao</w:t>
            </w:r>
          </w:p>
        </w:tc>
        <w:tc>
          <w:tcPr>
            <w:tcW w:w="2835" w:type="dxa"/>
            <w:tcBorders>
              <w:top w:val="single" w:color="auto" w:sz="6" w:space="0"/>
              <w:left w:val="single" w:color="auto" w:sz="6" w:space="0"/>
              <w:bottom w:val="single" w:color="auto" w:sz="6" w:space="0"/>
              <w:right w:val="single" w:color="auto" w:sz="6" w:space="0"/>
            </w:tcBorders>
            <w:vAlign w:val="center"/>
          </w:tcPr>
          <w:p w14:paraId="25CA424D">
            <w:pPr>
              <w:rPr>
                <w:szCs w:val="21"/>
              </w:rPr>
            </w:pPr>
            <w:r>
              <w:rPr>
                <w:szCs w:val="21"/>
              </w:rPr>
              <w:t>Gut metagenomics-derived genes as potential biomarkers of Parkinson's disease</w:t>
            </w:r>
          </w:p>
          <w:p w14:paraId="313B31AB">
            <w:pPr>
              <w:rPr>
                <w:szCs w:val="21"/>
              </w:rPr>
            </w:pPr>
            <w:r>
              <w:rPr>
                <w:szCs w:val="21"/>
              </w:rPr>
              <w:t>BRAIN</w:t>
            </w:r>
          </w:p>
        </w:tc>
        <w:tc>
          <w:tcPr>
            <w:tcW w:w="1262" w:type="dxa"/>
            <w:tcBorders>
              <w:top w:val="single" w:color="auto" w:sz="6" w:space="0"/>
              <w:left w:val="single" w:color="auto" w:sz="6" w:space="0"/>
              <w:bottom w:val="single" w:color="auto" w:sz="6" w:space="0"/>
              <w:right w:val="single" w:color="auto" w:sz="6" w:space="0"/>
            </w:tcBorders>
            <w:vAlign w:val="center"/>
          </w:tcPr>
          <w:p w14:paraId="0CEF3F96">
            <w:pPr>
              <w:spacing w:after="0"/>
              <w:rPr>
                <w:szCs w:val="21"/>
              </w:rPr>
            </w:pPr>
            <w:r>
              <w:rPr>
                <w:szCs w:val="21"/>
              </w:rPr>
              <w:t>Year:2020 Volume: 143</w:t>
            </w:r>
          </w:p>
          <w:p w14:paraId="46ED43F6">
            <w:pPr>
              <w:spacing w:after="0"/>
              <w:rPr>
                <w:szCs w:val="21"/>
              </w:rPr>
            </w:pPr>
            <w:r>
              <w:rPr>
                <w:szCs w:val="21"/>
              </w:rPr>
              <w:t>Issue:8 Page:2474-2489</w:t>
            </w:r>
          </w:p>
        </w:tc>
        <w:tc>
          <w:tcPr>
            <w:tcW w:w="993" w:type="dxa"/>
            <w:tcBorders>
              <w:top w:val="single" w:color="auto" w:sz="6" w:space="0"/>
              <w:left w:val="single" w:color="auto" w:sz="6" w:space="0"/>
              <w:bottom w:val="single" w:color="auto" w:sz="6" w:space="0"/>
              <w:right w:val="single" w:color="auto" w:sz="6" w:space="0"/>
            </w:tcBorders>
            <w:vAlign w:val="center"/>
          </w:tcPr>
          <w:p w14:paraId="17552237">
            <w:pPr>
              <w:jc w:val="left"/>
              <w:rPr>
                <w:szCs w:val="21"/>
              </w:rPr>
            </w:pPr>
            <w:r>
              <w:rPr>
                <w:szCs w:val="21"/>
              </w:rPr>
              <w:t>2020</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380E5666">
            <w:pPr>
              <w:jc w:val="left"/>
              <w:rPr>
                <w:szCs w:val="21"/>
              </w:rPr>
            </w:pPr>
            <w:r>
              <w:rPr>
                <w:szCs w:val="21"/>
              </w:rPr>
              <w:t>52</w:t>
            </w:r>
          </w:p>
        </w:tc>
      </w:tr>
      <w:tr w14:paraId="22D61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603690C6">
            <w:pPr>
              <w:rPr>
                <w:szCs w:val="21"/>
              </w:rPr>
            </w:pPr>
            <w:r>
              <w:rPr>
                <w:szCs w:val="21"/>
              </w:rPr>
              <w:t>Ran Zheng, Yiqun Yan, Shaobing Dai, Yang Ruan, Ying Chen, Chenjun Hu, Zhihao Lin, Naijia Xue, Zhe Song, Yi Liu, Baorong Zhang, Jiali Pu</w:t>
            </w:r>
          </w:p>
        </w:tc>
        <w:tc>
          <w:tcPr>
            <w:tcW w:w="2835" w:type="dxa"/>
            <w:tcBorders>
              <w:top w:val="single" w:color="auto" w:sz="6" w:space="0"/>
              <w:left w:val="single" w:color="auto" w:sz="6" w:space="0"/>
              <w:bottom w:val="single" w:color="auto" w:sz="6" w:space="0"/>
              <w:right w:val="single" w:color="auto" w:sz="6" w:space="0"/>
            </w:tcBorders>
            <w:vAlign w:val="center"/>
          </w:tcPr>
          <w:p w14:paraId="4EC956DB">
            <w:pPr>
              <w:rPr>
                <w:szCs w:val="21"/>
              </w:rPr>
            </w:pPr>
            <w:r>
              <w:rPr>
                <w:szCs w:val="21"/>
              </w:rPr>
              <w:t>ASC specks exacerbate α-synuclein pathology via amplifying NLRP3 inflammasome activities</w:t>
            </w:r>
          </w:p>
          <w:p w14:paraId="285CDA7E">
            <w:pPr>
              <w:rPr>
                <w:szCs w:val="21"/>
              </w:rPr>
            </w:pPr>
            <w:r>
              <w:rPr>
                <w:szCs w:val="21"/>
              </w:rPr>
              <w:t>JOURNAL OF NEUROINFLAMMATION</w:t>
            </w:r>
          </w:p>
        </w:tc>
        <w:tc>
          <w:tcPr>
            <w:tcW w:w="1262" w:type="dxa"/>
            <w:tcBorders>
              <w:top w:val="single" w:color="auto" w:sz="6" w:space="0"/>
              <w:left w:val="single" w:color="auto" w:sz="6" w:space="0"/>
              <w:bottom w:val="single" w:color="auto" w:sz="6" w:space="0"/>
              <w:right w:val="single" w:color="auto" w:sz="6" w:space="0"/>
            </w:tcBorders>
            <w:vAlign w:val="center"/>
          </w:tcPr>
          <w:p w14:paraId="74B43EFC">
            <w:pPr>
              <w:spacing w:after="0"/>
              <w:rPr>
                <w:szCs w:val="21"/>
              </w:rPr>
            </w:pPr>
            <w:r>
              <w:rPr>
                <w:szCs w:val="21"/>
              </w:rPr>
              <w:t>Year:2023 Volume:20 Issue: 1</w:t>
            </w:r>
          </w:p>
          <w:p w14:paraId="0D36D018">
            <w:pPr>
              <w:spacing w:after="0"/>
              <w:rPr>
                <w:szCs w:val="21"/>
              </w:rPr>
            </w:pPr>
            <w:r>
              <w:rPr>
                <w:szCs w:val="21"/>
              </w:rPr>
              <w:t>Page:26</w:t>
            </w:r>
          </w:p>
        </w:tc>
        <w:tc>
          <w:tcPr>
            <w:tcW w:w="993" w:type="dxa"/>
            <w:tcBorders>
              <w:top w:val="single" w:color="auto" w:sz="6" w:space="0"/>
              <w:left w:val="single" w:color="auto" w:sz="6" w:space="0"/>
              <w:bottom w:val="single" w:color="auto" w:sz="6" w:space="0"/>
              <w:right w:val="single" w:color="auto" w:sz="6" w:space="0"/>
            </w:tcBorders>
            <w:vAlign w:val="center"/>
          </w:tcPr>
          <w:p w14:paraId="0AD9E4AA">
            <w:pPr>
              <w:jc w:val="left"/>
              <w:rPr>
                <w:szCs w:val="21"/>
              </w:rPr>
            </w:pPr>
            <w:r>
              <w:rPr>
                <w:szCs w:val="21"/>
              </w:rPr>
              <w:t>2023</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64260D38">
            <w:pPr>
              <w:jc w:val="left"/>
              <w:rPr>
                <w:szCs w:val="21"/>
              </w:rPr>
            </w:pPr>
            <w:r>
              <w:rPr>
                <w:szCs w:val="21"/>
              </w:rPr>
              <w:t>16</w:t>
            </w:r>
          </w:p>
        </w:tc>
      </w:tr>
      <w:tr w14:paraId="6F3BD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7" w:type="dxa"/>
            <w:tcBorders>
              <w:top w:val="single" w:color="auto" w:sz="6" w:space="0"/>
              <w:left w:val="single" w:color="auto" w:sz="12" w:space="0"/>
              <w:bottom w:val="single" w:color="auto" w:sz="6" w:space="0"/>
              <w:right w:val="single" w:color="auto" w:sz="6" w:space="0"/>
            </w:tcBorders>
            <w:vAlign w:val="center"/>
          </w:tcPr>
          <w:p w14:paraId="0A5AFF7E">
            <w:pPr>
              <w:rPr>
                <w:szCs w:val="21"/>
              </w:rPr>
            </w:pPr>
            <w:r>
              <w:rPr>
                <w:szCs w:val="21"/>
              </w:rPr>
              <w:t>Yi-Qun Yan, Ran Zheng, Yi Liu, Yang Ruan, Zhi-Hao Lin, Nai-Jia Xue, Ying Chen, Bao-Rong Zhang, Jia-Li Pu</w:t>
            </w:r>
          </w:p>
        </w:tc>
        <w:tc>
          <w:tcPr>
            <w:tcW w:w="2835" w:type="dxa"/>
            <w:tcBorders>
              <w:top w:val="single" w:color="auto" w:sz="6" w:space="0"/>
              <w:left w:val="single" w:color="auto" w:sz="6" w:space="0"/>
              <w:bottom w:val="single" w:color="auto" w:sz="6" w:space="0"/>
              <w:right w:val="single" w:color="auto" w:sz="6" w:space="0"/>
            </w:tcBorders>
            <w:vAlign w:val="center"/>
          </w:tcPr>
          <w:p w14:paraId="4003ABE7">
            <w:pPr>
              <w:rPr>
                <w:szCs w:val="21"/>
              </w:rPr>
            </w:pPr>
            <w:r>
              <w:rPr>
                <w:szCs w:val="21"/>
              </w:rPr>
              <w:t>Parkin regulates microglial NLRP3 and represses neurodegeneration in Parkinson's disease</w:t>
            </w:r>
          </w:p>
          <w:p w14:paraId="60084237">
            <w:pPr>
              <w:rPr>
                <w:szCs w:val="21"/>
              </w:rPr>
            </w:pPr>
            <w:r>
              <w:rPr>
                <w:szCs w:val="21"/>
              </w:rPr>
              <w:t>AGING CELL</w:t>
            </w:r>
          </w:p>
        </w:tc>
        <w:tc>
          <w:tcPr>
            <w:tcW w:w="1262" w:type="dxa"/>
            <w:tcBorders>
              <w:top w:val="single" w:color="auto" w:sz="6" w:space="0"/>
              <w:left w:val="single" w:color="auto" w:sz="6" w:space="0"/>
              <w:bottom w:val="single" w:color="auto" w:sz="6" w:space="0"/>
              <w:right w:val="single" w:color="auto" w:sz="6" w:space="0"/>
            </w:tcBorders>
            <w:vAlign w:val="center"/>
          </w:tcPr>
          <w:p w14:paraId="37E10FB9">
            <w:pPr>
              <w:spacing w:after="0"/>
              <w:rPr>
                <w:szCs w:val="21"/>
              </w:rPr>
            </w:pPr>
            <w:r>
              <w:rPr>
                <w:szCs w:val="21"/>
              </w:rPr>
              <w:t>Year:2023 Volume:22 Issue:6</w:t>
            </w:r>
          </w:p>
        </w:tc>
        <w:tc>
          <w:tcPr>
            <w:tcW w:w="993" w:type="dxa"/>
            <w:tcBorders>
              <w:top w:val="single" w:color="auto" w:sz="6" w:space="0"/>
              <w:left w:val="single" w:color="auto" w:sz="6" w:space="0"/>
              <w:bottom w:val="single" w:color="auto" w:sz="6" w:space="0"/>
              <w:right w:val="single" w:color="auto" w:sz="6" w:space="0"/>
            </w:tcBorders>
            <w:vAlign w:val="center"/>
          </w:tcPr>
          <w:p w14:paraId="5024FA95">
            <w:pPr>
              <w:jc w:val="left"/>
              <w:rPr>
                <w:szCs w:val="21"/>
              </w:rPr>
            </w:pPr>
            <w:r>
              <w:rPr>
                <w:szCs w:val="21"/>
              </w:rPr>
              <w:t>2023</w:t>
            </w:r>
            <w:r>
              <w:rPr>
                <w:rFonts w:hint="eastAsia"/>
                <w:sz w:val="24"/>
              </w:rPr>
              <w:t>年</w:t>
            </w:r>
          </w:p>
        </w:tc>
        <w:tc>
          <w:tcPr>
            <w:tcW w:w="864" w:type="dxa"/>
            <w:gridSpan w:val="2"/>
            <w:tcBorders>
              <w:top w:val="single" w:color="auto" w:sz="6" w:space="0"/>
              <w:left w:val="single" w:color="auto" w:sz="6" w:space="0"/>
              <w:bottom w:val="single" w:color="auto" w:sz="6" w:space="0"/>
              <w:right w:val="single" w:color="auto" w:sz="6" w:space="0"/>
            </w:tcBorders>
            <w:vAlign w:val="center"/>
          </w:tcPr>
          <w:p w14:paraId="35ADFFD2">
            <w:pPr>
              <w:jc w:val="left"/>
              <w:rPr>
                <w:szCs w:val="21"/>
              </w:rPr>
            </w:pPr>
            <w:r>
              <w:rPr>
                <w:szCs w:val="21"/>
              </w:rPr>
              <w:t>39</w:t>
            </w:r>
          </w:p>
        </w:tc>
      </w:tr>
      <w:tr w14:paraId="23204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8499" w:type="dxa"/>
            <w:gridSpan w:val="5"/>
            <w:tcBorders>
              <w:top w:val="single" w:color="auto" w:sz="6" w:space="0"/>
              <w:left w:val="single" w:color="auto" w:sz="12" w:space="0"/>
              <w:bottom w:val="single" w:color="auto" w:sz="12" w:space="0"/>
              <w:right w:val="single" w:color="auto" w:sz="6" w:space="0"/>
            </w:tcBorders>
            <w:vAlign w:val="center"/>
          </w:tcPr>
          <w:p w14:paraId="66E7CACF">
            <w:pPr>
              <w:jc w:val="right"/>
              <w:rPr>
                <w:szCs w:val="21"/>
              </w:rPr>
            </w:pPr>
            <w:r>
              <w:rPr>
                <w:szCs w:val="21"/>
              </w:rPr>
              <w:t>合  计:</w:t>
            </w:r>
          </w:p>
        </w:tc>
        <w:tc>
          <w:tcPr>
            <w:tcW w:w="842" w:type="dxa"/>
            <w:tcBorders>
              <w:top w:val="single" w:color="auto" w:sz="6" w:space="0"/>
              <w:left w:val="single" w:color="auto" w:sz="6" w:space="0"/>
              <w:bottom w:val="single" w:color="auto" w:sz="12" w:space="0"/>
              <w:right w:val="single" w:color="auto" w:sz="6" w:space="0"/>
            </w:tcBorders>
            <w:vAlign w:val="center"/>
          </w:tcPr>
          <w:p w14:paraId="655C5B1D">
            <w:pPr>
              <w:ind w:right="210"/>
              <w:jc w:val="right"/>
              <w:rPr>
                <w:szCs w:val="21"/>
              </w:rPr>
            </w:pPr>
            <w:r>
              <w:rPr>
                <w:szCs w:val="21"/>
              </w:rPr>
              <w:t>387</w:t>
            </w:r>
          </w:p>
        </w:tc>
      </w:tr>
    </w:tbl>
    <w:p w14:paraId="672D7767">
      <w:pPr>
        <w:adjustRightInd w:val="0"/>
        <w:snapToGrid w:val="0"/>
        <w:spacing w:line="560" w:lineRule="exact"/>
        <w:rPr>
          <w:rFonts w:eastAsia="仿宋_GB2312"/>
          <w:sz w:val="32"/>
          <w:szCs w:val="32"/>
        </w:rPr>
      </w:pPr>
    </w:p>
    <w:sectPr>
      <w:headerReference r:id="rId7" w:type="first"/>
      <w:headerReference r:id="rId5" w:type="default"/>
      <w:footerReference r:id="rId8" w:type="default"/>
      <w:headerReference r:id="rId6" w:type="even"/>
      <w:footerReference r:id="rId9" w:type="even"/>
      <w:pgSz w:w="11906" w:h="16838"/>
      <w:pgMar w:top="1418" w:right="1247" w:bottom="1134" w:left="124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6D95286-4224-4F8C-80BC-55BCA4F4AF7E}"/>
  </w:font>
  <w:font w:name="Arial">
    <w:panose1 w:val="020B0604020202020204"/>
    <w:charset w:val="01"/>
    <w:family w:val="swiss"/>
    <w:pitch w:val="default"/>
    <w:sig w:usb0="E0002EFF" w:usb1="C000785B" w:usb2="00000009" w:usb3="00000000" w:csb0="400001FF" w:csb1="FFFF0000"/>
    <w:embedRegular r:id="rId2" w:fontKey="{FA3346E0-91FD-49C2-8E95-2B551E6A046A}"/>
  </w:font>
  <w:font w:name="黑体">
    <w:panose1 w:val="02010609060101010101"/>
    <w:charset w:val="86"/>
    <w:family w:val="auto"/>
    <w:pitch w:val="default"/>
    <w:sig w:usb0="800002BF" w:usb1="38CF7CFA" w:usb2="00000016" w:usb3="00000000" w:csb0="00040001" w:csb1="00000000"/>
    <w:embedRegular r:id="rId3" w:fontKey="{FEA1E52F-4E1A-4882-8387-01E2F76071F8}"/>
  </w:font>
  <w:font w:name="Courier New">
    <w:panose1 w:val="02070309020205020404"/>
    <w:charset w:val="01"/>
    <w:family w:val="modern"/>
    <w:pitch w:val="default"/>
    <w:sig w:usb0="E0002EFF" w:usb1="C0007843" w:usb2="00000009" w:usb3="00000000" w:csb0="400001FF" w:csb1="FFFF0000"/>
    <w:embedRegular r:id="rId4" w:fontKey="{0283E894-996D-4CD4-A671-6C58DD58AD1B}"/>
  </w:font>
  <w:font w:name="Symbol">
    <w:panose1 w:val="05050102010706020507"/>
    <w:charset w:val="02"/>
    <w:family w:val="roman"/>
    <w:pitch w:val="default"/>
    <w:sig w:usb0="00000000" w:usb1="00000000" w:usb2="00000000" w:usb3="00000000" w:csb0="80000000" w:csb1="00000000"/>
    <w:embedRegular r:id="rId5" w:fontKey="{D85541F9-B8FF-4A12-9803-2B2BF27B1F2E}"/>
  </w:font>
  <w:font w:name="Calibri">
    <w:panose1 w:val="020F0502020204030204"/>
    <w:charset w:val="00"/>
    <w:family w:val="swiss"/>
    <w:pitch w:val="default"/>
    <w:sig w:usb0="E4002EFF" w:usb1="C000247B" w:usb2="00000009" w:usb3="00000000" w:csb0="200001FF" w:csb1="00000000"/>
    <w:embedRegular r:id="rId6" w:fontKey="{6D3C0320-598E-4645-B24D-52D2D615A7F3}"/>
  </w:font>
  <w:font w:name="Cambria">
    <w:panose1 w:val="02040503050406030204"/>
    <w:charset w:val="00"/>
    <w:family w:val="roman"/>
    <w:pitch w:val="default"/>
    <w:sig w:usb0="E00006FF" w:usb1="420024FF" w:usb2="02000000" w:usb3="00000000" w:csb0="2000019F" w:csb1="00000000"/>
    <w:embedRegular r:id="rId7" w:fontKey="{0BC01F4A-8C50-44E7-A80A-6FE5D8E742CC}"/>
  </w:font>
  <w:font w:name="仿宋_GB2312">
    <w:panose1 w:val="02010609030101010101"/>
    <w:charset w:val="86"/>
    <w:family w:val="modern"/>
    <w:pitch w:val="default"/>
    <w:sig w:usb0="00000001" w:usb1="080E0000" w:usb2="00000000" w:usb3="00000000" w:csb0="00040000" w:csb1="00000000"/>
    <w:embedRegular r:id="rId8" w:fontKey="{CF3C713E-0D6D-483C-805C-DEE75E8AB838}"/>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9" w:fontKey="{8D467B80-AA7B-4EFA-B462-EC912391F38A}"/>
  </w:font>
  <w:font w:name="仿宋">
    <w:panose1 w:val="02010609060101010101"/>
    <w:charset w:val="86"/>
    <w:family w:val="modern"/>
    <w:pitch w:val="default"/>
    <w:sig w:usb0="800002BF" w:usb1="38CF7CFA" w:usb2="00000016" w:usb3="00000000" w:csb0="00040001" w:csb1="00000000"/>
    <w:embedRegular r:id="rId10" w:fontKey="{69B1438F-87C1-414B-8FC6-CB608396ED07}"/>
  </w:font>
  <w:font w:name="方正黑体简体">
    <w:panose1 w:val="02000000000000000000"/>
    <w:charset w:val="86"/>
    <w:family w:val="auto"/>
    <w:pitch w:val="default"/>
    <w:sig w:usb0="A00002BF" w:usb1="184F6CFA" w:usb2="00000012" w:usb3="00000000" w:csb0="00040001" w:csb1="00000000"/>
    <w:embedRegular r:id="rId11" w:fontKey="{ADBFC1BB-2A9C-4E92-B48F-2BDDC96F6B8F}"/>
  </w:font>
  <w:font w:name="微软雅黑">
    <w:panose1 w:val="020B0503020204020204"/>
    <w:charset w:val="86"/>
    <w:family w:val="swiss"/>
    <w:pitch w:val="default"/>
    <w:sig w:usb0="80000287" w:usb1="2ACF3C50" w:usb2="00000016" w:usb3="00000000" w:csb0="0004001F" w:csb1="00000000"/>
    <w:embedRegular r:id="rId12" w:fontKey="{A4C34FDE-9881-4E7E-B6AC-3729EE337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5B22BDE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CEF13">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AFD8">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A2905">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F4DE">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5C15"/>
    <w:rsid w:val="000C632A"/>
    <w:rsid w:val="000E5F19"/>
    <w:rsid w:val="000F1229"/>
    <w:rsid w:val="000F2CC3"/>
    <w:rsid w:val="000F6066"/>
    <w:rsid w:val="000F6517"/>
    <w:rsid w:val="000F6B39"/>
    <w:rsid w:val="000F7732"/>
    <w:rsid w:val="001039E9"/>
    <w:rsid w:val="00104F03"/>
    <w:rsid w:val="001237EC"/>
    <w:rsid w:val="0012430D"/>
    <w:rsid w:val="00124D61"/>
    <w:rsid w:val="001435CC"/>
    <w:rsid w:val="00153E23"/>
    <w:rsid w:val="00154376"/>
    <w:rsid w:val="001553CE"/>
    <w:rsid w:val="001554C4"/>
    <w:rsid w:val="001614FC"/>
    <w:rsid w:val="0016168D"/>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0786A"/>
    <w:rsid w:val="00212129"/>
    <w:rsid w:val="00213CE9"/>
    <w:rsid w:val="0021734C"/>
    <w:rsid w:val="002242B0"/>
    <w:rsid w:val="002247F4"/>
    <w:rsid w:val="00230FE9"/>
    <w:rsid w:val="0023223F"/>
    <w:rsid w:val="00244749"/>
    <w:rsid w:val="00245384"/>
    <w:rsid w:val="00245BD0"/>
    <w:rsid w:val="00247A49"/>
    <w:rsid w:val="00251808"/>
    <w:rsid w:val="00251F25"/>
    <w:rsid w:val="002579D1"/>
    <w:rsid w:val="00262B3A"/>
    <w:rsid w:val="002745F8"/>
    <w:rsid w:val="00283031"/>
    <w:rsid w:val="002878BB"/>
    <w:rsid w:val="0029509E"/>
    <w:rsid w:val="00296134"/>
    <w:rsid w:val="002A2925"/>
    <w:rsid w:val="002A56A7"/>
    <w:rsid w:val="002A7955"/>
    <w:rsid w:val="002B3198"/>
    <w:rsid w:val="002C6803"/>
    <w:rsid w:val="002C6E65"/>
    <w:rsid w:val="002D1FA7"/>
    <w:rsid w:val="002D3BA3"/>
    <w:rsid w:val="002D58EB"/>
    <w:rsid w:val="002E42A8"/>
    <w:rsid w:val="002E43DB"/>
    <w:rsid w:val="002F0C42"/>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5224"/>
    <w:rsid w:val="0044700B"/>
    <w:rsid w:val="0044760A"/>
    <w:rsid w:val="00453528"/>
    <w:rsid w:val="00453C0E"/>
    <w:rsid w:val="00461A90"/>
    <w:rsid w:val="00461FB7"/>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421D8"/>
    <w:rsid w:val="00552729"/>
    <w:rsid w:val="005563CE"/>
    <w:rsid w:val="005663D6"/>
    <w:rsid w:val="00570701"/>
    <w:rsid w:val="0057414B"/>
    <w:rsid w:val="0057576E"/>
    <w:rsid w:val="0058367D"/>
    <w:rsid w:val="00586D66"/>
    <w:rsid w:val="0059160F"/>
    <w:rsid w:val="0059269B"/>
    <w:rsid w:val="00595A3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31EC1"/>
    <w:rsid w:val="00642EBC"/>
    <w:rsid w:val="00643B2E"/>
    <w:rsid w:val="00646AD1"/>
    <w:rsid w:val="006546AC"/>
    <w:rsid w:val="00670053"/>
    <w:rsid w:val="00673E71"/>
    <w:rsid w:val="006823DB"/>
    <w:rsid w:val="00692309"/>
    <w:rsid w:val="00694DDB"/>
    <w:rsid w:val="006A1E31"/>
    <w:rsid w:val="006A390F"/>
    <w:rsid w:val="006A580A"/>
    <w:rsid w:val="006B34CD"/>
    <w:rsid w:val="006C528F"/>
    <w:rsid w:val="006C691E"/>
    <w:rsid w:val="006C6CA7"/>
    <w:rsid w:val="006D4431"/>
    <w:rsid w:val="006D59C3"/>
    <w:rsid w:val="006E4386"/>
    <w:rsid w:val="006E5310"/>
    <w:rsid w:val="006F0C81"/>
    <w:rsid w:val="006F47D7"/>
    <w:rsid w:val="006F5EED"/>
    <w:rsid w:val="006F7780"/>
    <w:rsid w:val="007116D0"/>
    <w:rsid w:val="00725CE5"/>
    <w:rsid w:val="0073019F"/>
    <w:rsid w:val="007318D9"/>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05021"/>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14B5"/>
    <w:rsid w:val="00862181"/>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E1C81"/>
    <w:rsid w:val="0090595F"/>
    <w:rsid w:val="0090670A"/>
    <w:rsid w:val="00906781"/>
    <w:rsid w:val="00911330"/>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3F9"/>
    <w:rsid w:val="00985B39"/>
    <w:rsid w:val="009866EC"/>
    <w:rsid w:val="009912AB"/>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6C9"/>
    <w:rsid w:val="00A27943"/>
    <w:rsid w:val="00A31D43"/>
    <w:rsid w:val="00A36061"/>
    <w:rsid w:val="00A402C6"/>
    <w:rsid w:val="00A5008B"/>
    <w:rsid w:val="00A65CD4"/>
    <w:rsid w:val="00A70F4C"/>
    <w:rsid w:val="00A736E3"/>
    <w:rsid w:val="00AA6478"/>
    <w:rsid w:val="00AA6A67"/>
    <w:rsid w:val="00AB2670"/>
    <w:rsid w:val="00AB2B0F"/>
    <w:rsid w:val="00AB4711"/>
    <w:rsid w:val="00AC096E"/>
    <w:rsid w:val="00AC5736"/>
    <w:rsid w:val="00AC69B7"/>
    <w:rsid w:val="00AC7691"/>
    <w:rsid w:val="00AD689E"/>
    <w:rsid w:val="00AD7D6F"/>
    <w:rsid w:val="00AE1923"/>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2106"/>
    <w:rsid w:val="00B43F7F"/>
    <w:rsid w:val="00B63A00"/>
    <w:rsid w:val="00B651CC"/>
    <w:rsid w:val="00B732F4"/>
    <w:rsid w:val="00B73F27"/>
    <w:rsid w:val="00B74C14"/>
    <w:rsid w:val="00B92BAD"/>
    <w:rsid w:val="00B9520A"/>
    <w:rsid w:val="00B979F5"/>
    <w:rsid w:val="00BA07A7"/>
    <w:rsid w:val="00BA3056"/>
    <w:rsid w:val="00BB47F3"/>
    <w:rsid w:val="00BC0513"/>
    <w:rsid w:val="00BD0ED0"/>
    <w:rsid w:val="00BE7259"/>
    <w:rsid w:val="00C10571"/>
    <w:rsid w:val="00C13731"/>
    <w:rsid w:val="00C14B11"/>
    <w:rsid w:val="00C24E7B"/>
    <w:rsid w:val="00C36E42"/>
    <w:rsid w:val="00C51DAF"/>
    <w:rsid w:val="00C52425"/>
    <w:rsid w:val="00C555AC"/>
    <w:rsid w:val="00C56CDE"/>
    <w:rsid w:val="00C5764E"/>
    <w:rsid w:val="00C64274"/>
    <w:rsid w:val="00C65487"/>
    <w:rsid w:val="00C65987"/>
    <w:rsid w:val="00C665A5"/>
    <w:rsid w:val="00C74F01"/>
    <w:rsid w:val="00C825A9"/>
    <w:rsid w:val="00C83D98"/>
    <w:rsid w:val="00C87EB0"/>
    <w:rsid w:val="00C9140D"/>
    <w:rsid w:val="00C92139"/>
    <w:rsid w:val="00C94640"/>
    <w:rsid w:val="00C94906"/>
    <w:rsid w:val="00CA0830"/>
    <w:rsid w:val="00CA08E7"/>
    <w:rsid w:val="00CA0BB3"/>
    <w:rsid w:val="00CA1243"/>
    <w:rsid w:val="00CA21F2"/>
    <w:rsid w:val="00CA39F5"/>
    <w:rsid w:val="00CB7557"/>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86974"/>
    <w:rsid w:val="00E93BC2"/>
    <w:rsid w:val="00EA7020"/>
    <w:rsid w:val="00EB2FD4"/>
    <w:rsid w:val="00EB7300"/>
    <w:rsid w:val="00EC5664"/>
    <w:rsid w:val="00ED5AA7"/>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2C0"/>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7F3D08"/>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Revision"/>
    <w:hidden/>
    <w:unhideWhenUsed/>
    <w:qFormat/>
    <w:uiPriority w:val="99"/>
    <w:pPr>
      <w:spacing w:after="0" w:line="240" w:lineRule="auto"/>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1740</Words>
  <Characters>4283</Characters>
  <Lines>35</Lines>
  <Paragraphs>9</Paragraphs>
  <TotalTime>16</TotalTime>
  <ScaleCrop>false</ScaleCrop>
  <LinksUpToDate>false</LinksUpToDate>
  <CharactersWithSpaces>4748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2025-09-10T10:23:00Z</dcterms:created>
  <dc:creator>胡胜链</dc:creator>
  <cp:lastModifiedBy>葛格</cp:lastModifiedBy>
  <cp:lastPrinted>2022-01-28T09:53:00Z</cp:lastPrinted>
  <dcterms:modified xsi:type="dcterms:W3CDTF">2025-09-16T01:21:32Z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AEECF8435F6D48D4B6B218F791854A34_13</vt:lpwstr>
  </property>
</Properties>
</file>