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21F4BD">
      <w:pPr>
        <w:jc w:val="center"/>
        <w:rPr>
          <w:rStyle w:val="37"/>
          <w:rFonts w:eastAsia="仿宋"/>
          <w:bCs w:val="0"/>
          <w:color w:val="000000" w:themeColor="text1"/>
          <w:sz w:val="36"/>
          <w:szCs w:val="36"/>
          <w14:textFill>
            <w14:solidFill>
              <w14:schemeClr w14:val="tx1"/>
            </w14:solidFill>
          </w14:textFill>
        </w:rPr>
      </w:pPr>
      <w:bookmarkStart w:id="2" w:name="_GoBack"/>
      <w:bookmarkEnd w:id="2"/>
      <w:r>
        <w:rPr>
          <w:rStyle w:val="37"/>
          <w:rFonts w:eastAsia="仿宋"/>
          <w:bCs w:val="0"/>
          <w:color w:val="000000" w:themeColor="text1"/>
          <w:sz w:val="36"/>
          <w:szCs w:val="36"/>
          <w14:textFill>
            <w14:solidFill>
              <w14:schemeClr w14:val="tx1"/>
            </w14:solidFill>
          </w14:textFill>
        </w:rPr>
        <w:t>浙江省科学技术奖公示信息表</w:t>
      </w:r>
      <w:r>
        <w:rPr>
          <w:rStyle w:val="37"/>
          <w:rFonts w:eastAsia="仿宋"/>
          <w:bCs w:val="0"/>
          <w:color w:val="000000" w:themeColor="text1"/>
          <w:sz w:val="32"/>
          <w:szCs w:val="32"/>
          <w14:textFill>
            <w14:solidFill>
              <w14:schemeClr w14:val="tx1"/>
            </w14:solidFill>
          </w14:textFill>
        </w:rPr>
        <w:t>（单位提名）</w:t>
      </w:r>
    </w:p>
    <w:p w14:paraId="20B6D97E">
      <w:pPr>
        <w:spacing w:line="440" w:lineRule="exact"/>
        <w:rPr>
          <w:rFonts w:eastAsia="仿宋"/>
          <w:color w:val="000000" w:themeColor="text1"/>
          <w:sz w:val="28"/>
          <w:szCs w:val="24"/>
          <w14:textFill>
            <w14:solidFill>
              <w14:schemeClr w14:val="tx1"/>
            </w14:solidFill>
          </w14:textFill>
        </w:rPr>
      </w:pPr>
      <w:r>
        <w:rPr>
          <w:rFonts w:eastAsia="仿宋"/>
          <w:color w:val="000000" w:themeColor="text1"/>
          <w:sz w:val="28"/>
          <w:szCs w:val="24"/>
          <w14:textFill>
            <w14:solidFill>
              <w14:schemeClr w14:val="tx1"/>
            </w14:solidFill>
          </w14:textFill>
        </w:rPr>
        <w:t>提名奖项：自然科学奖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69"/>
        <w:gridCol w:w="6237"/>
      </w:tblGrid>
      <w:tr w14:paraId="31E8E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269" w:type="dxa"/>
            <w:vAlign w:val="center"/>
          </w:tcPr>
          <w:p w14:paraId="21C280A8">
            <w:pPr>
              <w:jc w:val="center"/>
              <w:rPr>
                <w:rStyle w:val="37"/>
                <w:rFonts w:eastAsia="仿宋"/>
                <w:b w:val="0"/>
                <w:color w:val="000000" w:themeColor="text1"/>
                <w:sz w:val="28"/>
                <w14:textFill>
                  <w14:solidFill>
                    <w14:schemeClr w14:val="tx1"/>
                  </w14:solidFill>
                </w14:textFill>
              </w:rPr>
            </w:pPr>
            <w:r>
              <w:rPr>
                <w:rStyle w:val="37"/>
                <w:rFonts w:eastAsia="仿宋"/>
                <w:b w:val="0"/>
                <w:bCs w:val="0"/>
                <w:color w:val="000000" w:themeColor="text1"/>
                <w:sz w:val="28"/>
                <w14:textFill>
                  <w14:solidFill>
                    <w14:schemeClr w14:val="tx1"/>
                  </w14:solidFill>
                </w14:textFill>
              </w:rPr>
              <w:t>成果名称</w:t>
            </w:r>
          </w:p>
        </w:tc>
        <w:tc>
          <w:tcPr>
            <w:tcW w:w="6237" w:type="dxa"/>
            <w:vAlign w:val="center"/>
          </w:tcPr>
          <w:p w14:paraId="3DCE6441">
            <w:pPr>
              <w:rPr>
                <w:rStyle w:val="37"/>
                <w:rFonts w:eastAsia="仿宋"/>
                <w:b w:val="0"/>
                <w:color w:val="000000" w:themeColor="text1"/>
                <w:sz w:val="28"/>
                <w14:textFill>
                  <w14:solidFill>
                    <w14:schemeClr w14:val="tx1"/>
                  </w14:solidFill>
                </w14:textFill>
              </w:rPr>
            </w:pPr>
            <w:r>
              <w:rPr>
                <w:rFonts w:eastAsia="仿宋"/>
                <w:bCs/>
                <w:color w:val="000000" w:themeColor="text1"/>
                <w:sz w:val="28"/>
                <w:szCs w:val="24"/>
                <w14:textFill>
                  <w14:solidFill>
                    <w14:schemeClr w14:val="tx1"/>
                  </w14:solidFill>
                </w14:textFill>
              </w:rPr>
              <w:t>脓毒症诱发重要脏器功能障碍机制及干预研究</w:t>
            </w:r>
          </w:p>
        </w:tc>
      </w:tr>
      <w:tr w14:paraId="6B4F7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2269" w:type="dxa"/>
            <w:vAlign w:val="center"/>
          </w:tcPr>
          <w:p w14:paraId="4EDCFB7A">
            <w:pPr>
              <w:jc w:val="center"/>
              <w:rPr>
                <w:rStyle w:val="37"/>
                <w:rFonts w:eastAsia="仿宋"/>
                <w:b w:val="0"/>
                <w:color w:val="000000" w:themeColor="text1"/>
                <w:sz w:val="28"/>
                <w14:textFill>
                  <w14:solidFill>
                    <w14:schemeClr w14:val="tx1"/>
                  </w14:solidFill>
                </w14:textFill>
              </w:rPr>
            </w:pPr>
            <w:r>
              <w:rPr>
                <w:rStyle w:val="37"/>
                <w:rFonts w:eastAsia="仿宋"/>
                <w:b w:val="0"/>
                <w:bCs w:val="0"/>
                <w:color w:val="000000" w:themeColor="text1"/>
                <w:sz w:val="28"/>
                <w14:textFill>
                  <w14:solidFill>
                    <w14:schemeClr w14:val="tx1"/>
                  </w14:solidFill>
                </w14:textFill>
              </w:rPr>
              <w:t>提名等级</w:t>
            </w:r>
          </w:p>
        </w:tc>
        <w:tc>
          <w:tcPr>
            <w:tcW w:w="6237" w:type="dxa"/>
            <w:vAlign w:val="center"/>
          </w:tcPr>
          <w:p w14:paraId="0EA85848">
            <w:pPr>
              <w:rPr>
                <w:rStyle w:val="37"/>
                <w:rFonts w:eastAsia="仿宋"/>
                <w:b w:val="0"/>
                <w:color w:val="000000" w:themeColor="text1"/>
                <w:sz w:val="28"/>
                <w14:textFill>
                  <w14:solidFill>
                    <w14:schemeClr w14:val="tx1"/>
                  </w14:solidFill>
                </w14:textFill>
              </w:rPr>
            </w:pPr>
            <w:r>
              <w:rPr>
                <w:rFonts w:eastAsia="仿宋"/>
                <w:bCs/>
                <w:color w:val="000000" w:themeColor="text1"/>
                <w:sz w:val="28"/>
                <w:szCs w:val="24"/>
                <w14:textFill>
                  <w14:solidFill>
                    <w14:schemeClr w14:val="tx1"/>
                  </w14:solidFill>
                </w14:textFill>
              </w:rPr>
              <w:t xml:space="preserve">一等奖 </w:t>
            </w:r>
          </w:p>
        </w:tc>
      </w:tr>
      <w:tr w14:paraId="7F1BA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2269" w:type="dxa"/>
            <w:vAlign w:val="center"/>
          </w:tcPr>
          <w:p w14:paraId="629FD6AD">
            <w:pPr>
              <w:spacing w:after="0" w:line="240" w:lineRule="auto"/>
              <w:jc w:val="center"/>
              <w:rPr>
                <w:rFonts w:eastAsia="仿宋"/>
                <w:bCs/>
                <w:color w:val="000000" w:themeColor="text1"/>
                <w:sz w:val="28"/>
                <w:szCs w:val="24"/>
                <w14:textFill>
                  <w14:solidFill>
                    <w14:schemeClr w14:val="tx1"/>
                  </w14:solidFill>
                </w14:textFill>
              </w:rPr>
            </w:pPr>
            <w:r>
              <w:rPr>
                <w:rFonts w:eastAsia="仿宋"/>
                <w:bCs/>
                <w:color w:val="000000" w:themeColor="text1"/>
                <w:sz w:val="28"/>
                <w:szCs w:val="24"/>
                <w14:textFill>
                  <w14:solidFill>
                    <w14:schemeClr w14:val="tx1"/>
                  </w14:solidFill>
                </w14:textFill>
              </w:rPr>
              <w:t>提名书</w:t>
            </w:r>
          </w:p>
          <w:p w14:paraId="28FB9CAA">
            <w:pPr>
              <w:spacing w:after="0" w:line="240" w:lineRule="auto"/>
              <w:jc w:val="center"/>
              <w:rPr>
                <w:rFonts w:eastAsia="仿宋"/>
                <w:bCs/>
                <w:color w:val="000000" w:themeColor="text1"/>
                <w:sz w:val="28"/>
                <w:szCs w:val="24"/>
                <w14:textFill>
                  <w14:solidFill>
                    <w14:schemeClr w14:val="tx1"/>
                  </w14:solidFill>
                </w14:textFill>
              </w:rPr>
            </w:pPr>
            <w:r>
              <w:rPr>
                <w:rFonts w:eastAsia="仿宋"/>
                <w:bCs/>
                <w:color w:val="000000" w:themeColor="text1"/>
                <w:sz w:val="28"/>
                <w:szCs w:val="24"/>
                <w14:textFill>
                  <w14:solidFill>
                    <w14:schemeClr w14:val="tx1"/>
                  </w14:solidFill>
                </w14:textFill>
              </w:rPr>
              <w:t>相关内容</w:t>
            </w:r>
          </w:p>
        </w:tc>
        <w:tc>
          <w:tcPr>
            <w:tcW w:w="6237" w:type="dxa"/>
            <w:vAlign w:val="center"/>
          </w:tcPr>
          <w:p w14:paraId="1B45C62F">
            <w:pPr>
              <w:spacing w:after="0" w:line="240" w:lineRule="auto"/>
              <w:jc w:val="left"/>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自然科学奖：提名书的代表性论文专著目录、主要知识产权和标准规范目录</w:t>
            </w:r>
          </w:p>
          <w:p w14:paraId="2CE413F4">
            <w:pPr>
              <w:spacing w:after="0" w:line="240" w:lineRule="auto"/>
              <w:jc w:val="left"/>
              <w:rPr>
                <w:rFonts w:eastAsia="仿宋"/>
                <w:bCs/>
                <w:color w:val="000000" w:themeColor="text1"/>
                <w:sz w:val="24"/>
                <w:szCs w:val="24"/>
                <w14:textFill>
                  <w14:solidFill>
                    <w14:schemeClr w14:val="tx1"/>
                  </w14:solidFill>
                </w14:textFill>
              </w:rPr>
            </w:pPr>
          </w:p>
          <w:p w14:paraId="5F3493EC">
            <w:pPr>
              <w:spacing w:after="0" w:line="240" w:lineRule="auto"/>
              <w:rPr>
                <w:rFonts w:eastAsia="仿宋"/>
                <w:b/>
                <w:bCs/>
                <w:color w:val="000000" w:themeColor="text1"/>
                <w:sz w:val="24"/>
                <w:szCs w:val="24"/>
                <w14:textFill>
                  <w14:solidFill>
                    <w14:schemeClr w14:val="tx1"/>
                  </w14:solidFill>
                </w14:textFill>
              </w:rPr>
            </w:pPr>
            <w:r>
              <w:rPr>
                <w:rFonts w:eastAsia="仿宋"/>
                <w:b/>
                <w:bCs/>
                <w:color w:val="000000" w:themeColor="text1"/>
                <w:sz w:val="24"/>
                <w:szCs w:val="24"/>
                <w14:textFill>
                  <w14:solidFill>
                    <w14:schemeClr w14:val="tx1"/>
                  </w14:solidFill>
                </w14:textFill>
              </w:rPr>
              <w:t xml:space="preserve">见附件 </w:t>
            </w:r>
          </w:p>
        </w:tc>
      </w:tr>
      <w:tr w14:paraId="10B0B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269" w:type="dxa"/>
            <w:tcBorders>
              <w:right w:val="single" w:color="auto" w:sz="4" w:space="0"/>
            </w:tcBorders>
            <w:vAlign w:val="center"/>
          </w:tcPr>
          <w:p w14:paraId="631AAE00">
            <w:pPr>
              <w:spacing w:after="0" w:line="240" w:lineRule="auto"/>
              <w:jc w:val="center"/>
              <w:rPr>
                <w:rFonts w:eastAsia="仿宋"/>
                <w:bCs/>
                <w:color w:val="000000" w:themeColor="text1"/>
                <w:sz w:val="28"/>
                <w:szCs w:val="24"/>
                <w14:textFill>
                  <w14:solidFill>
                    <w14:schemeClr w14:val="tx1"/>
                  </w14:solidFill>
                </w14:textFill>
              </w:rPr>
            </w:pPr>
            <w:r>
              <w:rPr>
                <w:rFonts w:eastAsia="仿宋"/>
                <w:bCs/>
                <w:color w:val="000000" w:themeColor="text1"/>
                <w:sz w:val="28"/>
                <w:szCs w:val="24"/>
                <w14:textFill>
                  <w14:solidFill>
                    <w14:schemeClr w14:val="tx1"/>
                  </w14:solidFill>
                </w14:textFill>
              </w:rPr>
              <w:t>主要完成人</w:t>
            </w:r>
          </w:p>
        </w:tc>
        <w:tc>
          <w:tcPr>
            <w:tcW w:w="6237" w:type="dxa"/>
            <w:tcBorders>
              <w:left w:val="single" w:color="auto" w:sz="4" w:space="0"/>
            </w:tcBorders>
            <w:vAlign w:val="center"/>
          </w:tcPr>
          <w:p w14:paraId="11922F03">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张召才，排名1，主任医师，浙江大学医学院附属第二医院</w:t>
            </w:r>
          </w:p>
          <w:p w14:paraId="302246FB">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田宝平，排名2，副主任医师，浙江大学医学院附属第二医院</w:t>
            </w:r>
          </w:p>
          <w:p w14:paraId="5D20362D">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徐银川，排名3，副主任医师，浙江大学医学院附属第二医院</w:t>
            </w:r>
          </w:p>
          <w:p w14:paraId="60B9E0A0">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宣南霞，排名4，主治医师，浙江大学医学院附属第二医院</w:t>
            </w:r>
          </w:p>
          <w:p w14:paraId="489ED726">
            <w:pPr>
              <w:spacing w:after="0" w:line="240" w:lineRule="auto"/>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戎佳炳，排名5，主治医师，浙江大学医学院附属第二医院</w:t>
            </w:r>
          </w:p>
        </w:tc>
      </w:tr>
      <w:tr w14:paraId="02AD8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3" w:hRule="atLeast"/>
        </w:trPr>
        <w:tc>
          <w:tcPr>
            <w:tcW w:w="2269" w:type="dxa"/>
            <w:tcBorders>
              <w:right w:val="single" w:color="auto" w:sz="4" w:space="0"/>
            </w:tcBorders>
            <w:vAlign w:val="center"/>
          </w:tcPr>
          <w:p w14:paraId="66853C20">
            <w:pPr>
              <w:spacing w:after="0" w:line="240" w:lineRule="auto"/>
              <w:jc w:val="center"/>
              <w:rPr>
                <w:rFonts w:eastAsia="仿宋"/>
                <w:bCs/>
                <w:color w:val="000000" w:themeColor="text1"/>
                <w:sz w:val="24"/>
                <w:szCs w:val="24"/>
                <w14:textFill>
                  <w14:solidFill>
                    <w14:schemeClr w14:val="tx1"/>
                  </w14:solidFill>
                </w14:textFill>
              </w:rPr>
            </w:pPr>
            <w:r>
              <w:rPr>
                <w:rFonts w:eastAsia="仿宋"/>
                <w:bCs/>
                <w:color w:val="000000" w:themeColor="text1"/>
                <w:sz w:val="28"/>
                <w:szCs w:val="24"/>
                <w14:textFill>
                  <w14:solidFill>
                    <w14:schemeClr w14:val="tx1"/>
                  </w14:solidFill>
                </w14:textFill>
              </w:rPr>
              <w:t>主要完成单位</w:t>
            </w:r>
          </w:p>
        </w:tc>
        <w:tc>
          <w:tcPr>
            <w:tcW w:w="6237" w:type="dxa"/>
            <w:tcBorders>
              <w:left w:val="single" w:color="auto" w:sz="4" w:space="0"/>
            </w:tcBorders>
            <w:vAlign w:val="center"/>
          </w:tcPr>
          <w:p w14:paraId="2F80FE6E">
            <w:pPr>
              <w:spacing w:after="0" w:line="240" w:lineRule="auto"/>
              <w:jc w:val="left"/>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浙江大学医学院附属第二医院</w:t>
            </w:r>
          </w:p>
        </w:tc>
      </w:tr>
      <w:tr w14:paraId="08EADE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269" w:type="dxa"/>
            <w:vAlign w:val="center"/>
          </w:tcPr>
          <w:p w14:paraId="5550C668">
            <w:pPr>
              <w:spacing w:after="0" w:line="240" w:lineRule="auto"/>
              <w:jc w:val="center"/>
              <w:rPr>
                <w:rStyle w:val="37"/>
                <w:rFonts w:eastAsia="仿宋"/>
                <w:b w:val="0"/>
                <w:color w:val="000000" w:themeColor="text1"/>
                <w:sz w:val="28"/>
                <w:szCs w:val="28"/>
                <w14:textFill>
                  <w14:solidFill>
                    <w14:schemeClr w14:val="tx1"/>
                  </w14:solidFill>
                </w14:textFill>
              </w:rPr>
            </w:pPr>
            <w:r>
              <w:rPr>
                <w:rStyle w:val="37"/>
                <w:rFonts w:eastAsia="仿宋"/>
                <w:b w:val="0"/>
                <w:color w:val="000000" w:themeColor="text1"/>
                <w:sz w:val="28"/>
                <w:szCs w:val="28"/>
                <w14:textFill>
                  <w14:solidFill>
                    <w14:schemeClr w14:val="tx1"/>
                  </w14:solidFill>
                </w14:textFill>
              </w:rPr>
              <w:t>提名单位</w:t>
            </w:r>
          </w:p>
        </w:tc>
        <w:tc>
          <w:tcPr>
            <w:tcW w:w="6237" w:type="dxa"/>
            <w:vAlign w:val="center"/>
          </w:tcPr>
          <w:p w14:paraId="16D8741B">
            <w:pPr>
              <w:spacing w:after="0" w:line="240" w:lineRule="auto"/>
              <w:contextualSpacing/>
              <w:rPr>
                <w:rStyle w:val="37"/>
                <w:rFonts w:eastAsia="仿宋"/>
                <w:b w:val="0"/>
                <w:color w:val="000000" w:themeColor="text1"/>
                <w14:textFill>
                  <w14:solidFill>
                    <w14:schemeClr w14:val="tx1"/>
                  </w14:solidFill>
                </w14:textFill>
              </w:rPr>
            </w:pPr>
            <w:r>
              <w:rPr>
                <w:rStyle w:val="37"/>
                <w:rFonts w:eastAsia="仿宋"/>
                <w:b w:val="0"/>
                <w:color w:val="000000" w:themeColor="text1"/>
                <w14:textFill>
                  <w14:solidFill>
                    <w14:schemeClr w14:val="tx1"/>
                  </w14:solidFill>
                </w14:textFill>
              </w:rPr>
              <w:t>浙江大学</w:t>
            </w:r>
          </w:p>
        </w:tc>
      </w:tr>
      <w:tr w14:paraId="790447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86" w:hRule="atLeast"/>
        </w:trPr>
        <w:tc>
          <w:tcPr>
            <w:tcW w:w="2269" w:type="dxa"/>
            <w:vAlign w:val="center"/>
          </w:tcPr>
          <w:p w14:paraId="356C0136">
            <w:pPr>
              <w:spacing w:after="0" w:line="240" w:lineRule="auto"/>
              <w:jc w:val="center"/>
              <w:rPr>
                <w:rStyle w:val="37"/>
                <w:rFonts w:eastAsia="仿宋"/>
                <w:b w:val="0"/>
                <w:color w:val="000000" w:themeColor="text1"/>
                <w:sz w:val="28"/>
                <w:szCs w:val="28"/>
                <w14:textFill>
                  <w14:solidFill>
                    <w14:schemeClr w14:val="tx1"/>
                  </w14:solidFill>
                </w14:textFill>
              </w:rPr>
            </w:pPr>
            <w:r>
              <w:rPr>
                <w:rStyle w:val="37"/>
                <w:rFonts w:eastAsia="仿宋"/>
                <w:b w:val="0"/>
                <w:color w:val="000000" w:themeColor="text1"/>
                <w:sz w:val="28"/>
                <w:szCs w:val="28"/>
                <w14:textFill>
                  <w14:solidFill>
                    <w14:schemeClr w14:val="tx1"/>
                  </w14:solidFill>
                </w14:textFill>
              </w:rPr>
              <w:t>提名意见</w:t>
            </w:r>
          </w:p>
        </w:tc>
        <w:tc>
          <w:tcPr>
            <w:tcW w:w="6237" w:type="dxa"/>
            <w:vAlign w:val="center"/>
          </w:tcPr>
          <w:p w14:paraId="0DEC7514">
            <w:pPr>
              <w:spacing w:after="0" w:line="240" w:lineRule="auto"/>
              <w:ind w:firstLine="480" w:firstLineChars="200"/>
              <w:contextualSpacing/>
              <w:rPr>
                <w:rFonts w:eastAsia="仿宋"/>
                <w:bCs/>
                <w:color w:val="000000" w:themeColor="text1"/>
                <w:sz w:val="24"/>
                <w:szCs w:val="24"/>
                <w14:textFill>
                  <w14:solidFill>
                    <w14:schemeClr w14:val="tx1"/>
                  </w14:solidFill>
                </w14:textFill>
              </w:rPr>
            </w:pPr>
            <w:r>
              <w:rPr>
                <w:rFonts w:eastAsia="仿宋"/>
                <w:bCs/>
                <w:color w:val="000000" w:themeColor="text1"/>
                <w:sz w:val="24"/>
                <w:szCs w:val="24"/>
                <w14:textFill>
                  <w14:solidFill>
                    <w14:schemeClr w14:val="tx1"/>
                  </w14:solidFill>
                </w14:textFill>
              </w:rPr>
              <w:t>本项目深入研究了脓毒症诱发的重要脏器功能障碍核心机制及其干预策略。通过构建多种脓毒症动物模型，揭示了自噬、肝源性血管紧张素原（AGT）及Sirt3在脓毒症心肌功能障碍中的关键作用，并探索了相应的干预手段，发现增强自噬、抑制AGT及激活Sirt3均可显著改善脓毒症心肌功能。研发了新型纳米制剂，有效缓解了炎症细胞浸润和肺损伤。此外，项目还开发了多生物标志物联合检测策略，提升了脓毒症心肌功能障碍的诊断和死亡率预测准确性。这些研究为脓毒症诱发的重要脏器功能障碍的机制理解和临床治疗提供了创新性方案，具有重要的科学价值和临床应用潜力，推荐申报浙江省科学技术奖自然科学奖。</w:t>
            </w:r>
          </w:p>
          <w:p w14:paraId="0B7740F9">
            <w:pPr>
              <w:spacing w:after="0" w:line="240" w:lineRule="auto"/>
              <w:contextualSpacing/>
              <w:jc w:val="center"/>
              <w:rPr>
                <w:rStyle w:val="37"/>
                <w:rFonts w:eastAsia="仿宋"/>
                <w:b w:val="0"/>
                <w:color w:val="000000" w:themeColor="text1"/>
                <w14:textFill>
                  <w14:solidFill>
                    <w14:schemeClr w14:val="tx1"/>
                  </w14:solidFill>
                </w14:textFill>
              </w:rPr>
            </w:pPr>
          </w:p>
        </w:tc>
      </w:tr>
    </w:tbl>
    <w:p w14:paraId="75D0490B">
      <w:pPr>
        <w:adjustRightInd w:val="0"/>
        <w:snapToGrid w:val="0"/>
        <w:spacing w:line="560" w:lineRule="exact"/>
        <w:rPr>
          <w:rFonts w:eastAsia="仿宋"/>
          <w:color w:val="000000" w:themeColor="text1"/>
          <w:sz w:val="32"/>
          <w:szCs w:val="32"/>
          <w14:textFill>
            <w14:solidFill>
              <w14:schemeClr w14:val="tx1"/>
            </w14:solidFill>
          </w14:textFill>
        </w:rPr>
      </w:pPr>
    </w:p>
    <w:p w14:paraId="57B5C9A7">
      <w:pPr>
        <w:adjustRightInd w:val="0"/>
        <w:snapToGrid w:val="0"/>
        <w:spacing w:line="560" w:lineRule="exact"/>
        <w:rPr>
          <w:rFonts w:eastAsia="仿宋"/>
          <w:color w:val="000000" w:themeColor="text1"/>
          <w:sz w:val="32"/>
          <w:szCs w:val="32"/>
          <w14:textFill>
            <w14:solidFill>
              <w14:schemeClr w14:val="tx1"/>
            </w14:solidFill>
          </w14:textFill>
        </w:rPr>
      </w:pPr>
    </w:p>
    <w:p w14:paraId="5BF5EA0C">
      <w:pPr>
        <w:adjustRightInd w:val="0"/>
        <w:snapToGrid w:val="0"/>
        <w:spacing w:line="560" w:lineRule="exact"/>
        <w:rPr>
          <w:rFonts w:eastAsia="仿宋"/>
          <w:color w:val="000000" w:themeColor="text1"/>
          <w:sz w:val="32"/>
          <w:szCs w:val="32"/>
          <w14:textFill>
            <w14:solidFill>
              <w14:schemeClr w14:val="tx1"/>
            </w14:solidFill>
          </w14:textFill>
        </w:rPr>
        <w:sectPr>
          <w:headerReference r:id="rId7"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14:paraId="1249584D">
      <w:pPr>
        <w:jc w:val="center"/>
        <w:rPr>
          <w:rFonts w:eastAsia="仿宋"/>
          <w:color w:val="000000" w:themeColor="text1"/>
          <w:sz w:val="32"/>
          <w:szCs w:val="22"/>
          <w14:textFill>
            <w14:solidFill>
              <w14:schemeClr w14:val="tx1"/>
            </w14:solidFill>
          </w14:textFill>
        </w:rPr>
      </w:pPr>
      <w:bookmarkStart w:id="0" w:name="XM_SOSIETY"/>
      <w:bookmarkEnd w:id="0"/>
      <w:r>
        <w:rPr>
          <w:rFonts w:eastAsia="仿宋"/>
          <w:color w:val="000000" w:themeColor="text1"/>
          <w:sz w:val="32"/>
          <w:szCs w:val="22"/>
          <w14:textFill>
            <w14:solidFill>
              <w14:schemeClr w14:val="tx1"/>
            </w14:solidFill>
          </w14:textFill>
        </w:rPr>
        <w:t>六、代表性论文专著目录（不超过8篇）</w:t>
      </w:r>
    </w:p>
    <w:tbl>
      <w:tblPr>
        <w:tblStyle w:val="16"/>
        <w:tblW w:w="141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8"/>
        <w:gridCol w:w="3321"/>
        <w:gridCol w:w="1985"/>
        <w:gridCol w:w="1276"/>
        <w:gridCol w:w="1275"/>
        <w:gridCol w:w="1276"/>
        <w:gridCol w:w="2529"/>
        <w:gridCol w:w="923"/>
        <w:gridCol w:w="921"/>
      </w:tblGrid>
      <w:tr w14:paraId="030F7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638" w:type="dxa"/>
            <w:tcMar>
              <w:top w:w="0" w:type="dxa"/>
              <w:left w:w="0" w:type="dxa"/>
              <w:bottom w:w="0" w:type="dxa"/>
              <w:right w:w="0" w:type="dxa"/>
            </w:tcMar>
            <w:vAlign w:val="center"/>
          </w:tcPr>
          <w:p w14:paraId="22CD2EB5">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序号</w:t>
            </w:r>
          </w:p>
        </w:tc>
        <w:tc>
          <w:tcPr>
            <w:tcW w:w="3321" w:type="dxa"/>
            <w:tcMar>
              <w:top w:w="0" w:type="dxa"/>
              <w:left w:w="0" w:type="dxa"/>
              <w:bottom w:w="0" w:type="dxa"/>
              <w:right w:w="0" w:type="dxa"/>
            </w:tcMar>
            <w:vAlign w:val="center"/>
          </w:tcPr>
          <w:p w14:paraId="34859A1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论文专著名称/刊名</w:t>
            </w:r>
          </w:p>
        </w:tc>
        <w:tc>
          <w:tcPr>
            <w:tcW w:w="1985" w:type="dxa"/>
            <w:tcMar>
              <w:top w:w="0" w:type="dxa"/>
              <w:left w:w="0" w:type="dxa"/>
              <w:bottom w:w="0" w:type="dxa"/>
              <w:right w:w="0" w:type="dxa"/>
            </w:tcMar>
            <w:vAlign w:val="center"/>
          </w:tcPr>
          <w:p w14:paraId="0475310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年卷页码（xx年xx卷xx页）</w:t>
            </w:r>
          </w:p>
        </w:tc>
        <w:tc>
          <w:tcPr>
            <w:tcW w:w="1276" w:type="dxa"/>
            <w:tcMar>
              <w:top w:w="0" w:type="dxa"/>
              <w:left w:w="0" w:type="dxa"/>
              <w:bottom w:w="0" w:type="dxa"/>
              <w:right w:w="0" w:type="dxa"/>
            </w:tcMar>
            <w:vAlign w:val="center"/>
          </w:tcPr>
          <w:p w14:paraId="1EE5EC99">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发表</w:t>
            </w:r>
          </w:p>
          <w:p w14:paraId="75B27F5F">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时间</w:t>
            </w:r>
          </w:p>
          <w:p w14:paraId="5BCD5EE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（年、月）</w:t>
            </w:r>
          </w:p>
        </w:tc>
        <w:tc>
          <w:tcPr>
            <w:tcW w:w="1275" w:type="dxa"/>
            <w:tcMar>
              <w:top w:w="0" w:type="dxa"/>
              <w:left w:w="0" w:type="dxa"/>
              <w:bottom w:w="0" w:type="dxa"/>
              <w:right w:w="0" w:type="dxa"/>
            </w:tcMar>
            <w:vAlign w:val="center"/>
          </w:tcPr>
          <w:p w14:paraId="70BE2292">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通讯</w:t>
            </w:r>
          </w:p>
          <w:p w14:paraId="494141C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作者</w:t>
            </w:r>
          </w:p>
        </w:tc>
        <w:tc>
          <w:tcPr>
            <w:tcW w:w="1276" w:type="dxa"/>
            <w:tcMar>
              <w:top w:w="0" w:type="dxa"/>
              <w:left w:w="0" w:type="dxa"/>
              <w:bottom w:w="0" w:type="dxa"/>
              <w:right w:w="0" w:type="dxa"/>
            </w:tcMar>
            <w:vAlign w:val="center"/>
          </w:tcPr>
          <w:p w14:paraId="6784A017">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第一</w:t>
            </w:r>
          </w:p>
          <w:p w14:paraId="65FE92C8">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作者</w:t>
            </w:r>
          </w:p>
        </w:tc>
        <w:tc>
          <w:tcPr>
            <w:tcW w:w="2529" w:type="dxa"/>
            <w:tcMar>
              <w:top w:w="0" w:type="dxa"/>
              <w:left w:w="0" w:type="dxa"/>
              <w:bottom w:w="0" w:type="dxa"/>
              <w:right w:w="0" w:type="dxa"/>
            </w:tcMar>
            <w:vAlign w:val="center"/>
          </w:tcPr>
          <w:p w14:paraId="7251E93B">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所有作者（按排序）</w:t>
            </w:r>
          </w:p>
        </w:tc>
        <w:tc>
          <w:tcPr>
            <w:tcW w:w="923" w:type="dxa"/>
            <w:tcMar>
              <w:top w:w="0" w:type="dxa"/>
              <w:left w:w="0" w:type="dxa"/>
              <w:bottom w:w="0" w:type="dxa"/>
              <w:right w:w="0" w:type="dxa"/>
            </w:tcMar>
            <w:vAlign w:val="center"/>
          </w:tcPr>
          <w:p w14:paraId="4B6D6FD3">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他引</w:t>
            </w:r>
          </w:p>
          <w:p w14:paraId="4067C100">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总次数</w:t>
            </w:r>
          </w:p>
        </w:tc>
        <w:tc>
          <w:tcPr>
            <w:tcW w:w="921" w:type="dxa"/>
            <w:tcMar>
              <w:top w:w="0" w:type="dxa"/>
              <w:left w:w="0" w:type="dxa"/>
              <w:bottom w:w="0" w:type="dxa"/>
              <w:right w:w="0" w:type="dxa"/>
            </w:tcMar>
            <w:vAlign w:val="center"/>
          </w:tcPr>
          <w:p w14:paraId="6764048C">
            <w:pPr>
              <w:jc w:val="center"/>
              <w:rPr>
                <w:rFonts w:eastAsia="仿宋"/>
                <w:color w:val="000000" w:themeColor="text1"/>
                <w:szCs w:val="21"/>
                <w14:textFill>
                  <w14:solidFill>
                    <w14:schemeClr w14:val="tx1"/>
                  </w14:solidFill>
                </w14:textFill>
              </w:rPr>
            </w:pPr>
            <w:r>
              <w:rPr>
                <w:rFonts w:eastAsia="仿宋"/>
                <w:color w:val="000000" w:themeColor="text1"/>
                <w:szCs w:val="21"/>
                <w14:textFill>
                  <w14:solidFill>
                    <w14:schemeClr w14:val="tx1"/>
                  </w14:solidFill>
                </w14:textFill>
              </w:rPr>
              <w:t>检索数据库</w:t>
            </w:r>
          </w:p>
        </w:tc>
      </w:tr>
      <w:tr w14:paraId="1210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5" w:hRule="exact"/>
          <w:jc w:val="center"/>
        </w:trPr>
        <w:tc>
          <w:tcPr>
            <w:tcW w:w="638" w:type="dxa"/>
            <w:vAlign w:val="center"/>
          </w:tcPr>
          <w:p w14:paraId="0BB203D4">
            <w:pPr>
              <w:spacing w:after="0" w:line="240" w:lineRule="auto"/>
              <w:jc w:val="left"/>
              <w:rPr>
                <w:rFonts w:eastAsia="仿宋"/>
                <w:color w:val="000000" w:themeColor="text1"/>
                <w:sz w:val="18"/>
                <w:szCs w:val="18"/>
                <w14:textFill>
                  <w14:solidFill>
                    <w14:schemeClr w14:val="tx1"/>
                  </w14:solidFill>
                </w14:textFill>
              </w:rPr>
            </w:pPr>
            <w:r>
              <w:rPr>
                <w:rFonts w:hint="eastAsia" w:eastAsia="仿宋"/>
                <w:color w:val="000000" w:themeColor="text1"/>
                <w:sz w:val="18"/>
                <w:szCs w:val="18"/>
                <w14:textFill>
                  <w14:solidFill>
                    <w14:schemeClr w14:val="tx1"/>
                  </w14:solidFill>
                </w14:textFill>
              </w:rPr>
              <w:t>1</w:t>
            </w:r>
          </w:p>
        </w:tc>
        <w:tc>
          <w:tcPr>
            <w:tcW w:w="3321" w:type="dxa"/>
            <w:vAlign w:val="center"/>
          </w:tcPr>
          <w:p w14:paraId="759912EA">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w:t>
            </w:r>
            <w:r>
              <w:rPr>
                <w:rFonts w:hint="eastAsia" w:eastAsia="仿宋"/>
                <w:color w:val="000000" w:themeColor="text1"/>
                <w:sz w:val="18"/>
                <w:szCs w:val="18"/>
                <w14:textFill>
                  <w14:solidFill>
                    <w14:schemeClr w14:val="tx1"/>
                  </w14:solidFill>
                </w14:textFill>
              </w:rPr>
              <w:t>：</w:t>
            </w:r>
            <w:r>
              <w:rPr>
                <w:rFonts w:eastAsia="仿宋"/>
                <w:color w:val="000000" w:themeColor="text1"/>
                <w:sz w:val="18"/>
                <w:szCs w:val="18"/>
                <w14:textFill>
                  <w14:solidFill>
                    <w14:schemeClr w14:val="tx1"/>
                  </w14:solidFill>
                </w14:textFill>
              </w:rPr>
              <w:t>The attenuation of Th1 and Th17 responses via autophagy protects against methicillin-resistant Staphylococcus aureus-induced sepsis</w:t>
            </w:r>
          </w:p>
          <w:p w14:paraId="47498CA5">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刊名：Microbes And Infection</w:t>
            </w:r>
          </w:p>
        </w:tc>
        <w:tc>
          <w:tcPr>
            <w:tcW w:w="1985" w:type="dxa"/>
            <w:vAlign w:val="center"/>
          </w:tcPr>
          <w:p w14:paraId="635C3A6E">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 23 (8): 104833.</w:t>
            </w:r>
          </w:p>
          <w:p w14:paraId="6BA56B5B">
            <w:pPr>
              <w:spacing w:after="0" w:line="360" w:lineRule="auto"/>
              <w:contextualSpacing/>
              <w:jc w:val="left"/>
              <w:rPr>
                <w:rFonts w:eastAsia="仿宋"/>
                <w:color w:val="000000" w:themeColor="text1"/>
                <w:sz w:val="18"/>
                <w:szCs w:val="18"/>
                <w14:textFill>
                  <w14:solidFill>
                    <w14:schemeClr w14:val="tx1"/>
                  </w14:solidFill>
                </w14:textFill>
              </w:rPr>
            </w:pPr>
          </w:p>
        </w:tc>
        <w:tc>
          <w:tcPr>
            <w:tcW w:w="1276" w:type="dxa"/>
            <w:vAlign w:val="center"/>
          </w:tcPr>
          <w:p w14:paraId="441484F5">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2021.09</w:t>
            </w:r>
          </w:p>
        </w:tc>
        <w:tc>
          <w:tcPr>
            <w:tcW w:w="1275" w:type="dxa"/>
            <w:vAlign w:val="center"/>
          </w:tcPr>
          <w:p w14:paraId="623D916E">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Gensheng Zhang, Meixiang Xiang</w:t>
            </w:r>
          </w:p>
        </w:tc>
        <w:tc>
          <w:tcPr>
            <w:tcW w:w="1276" w:type="dxa"/>
            <w:vAlign w:val="center"/>
          </w:tcPr>
          <w:p w14:paraId="6F010E69">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Shufang Zhang, Xiaofang Huang, Huiqing Xiu</w:t>
            </w:r>
          </w:p>
        </w:tc>
        <w:tc>
          <w:tcPr>
            <w:tcW w:w="2529" w:type="dxa"/>
            <w:vAlign w:val="center"/>
          </w:tcPr>
          <w:p w14:paraId="1692D01A">
            <w:pPr>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Shufang Zhang, Xiaofang Huang, Huiqing Xiu, Zhongheng Zhang, Kai Zhang, Jiachang Cai, Zhijian Cai, Zhanghui Chen, Zhaocai Zhang, Wei Cui, Gensheng Zhang, Meixiang Xiang</w:t>
            </w:r>
          </w:p>
        </w:tc>
        <w:tc>
          <w:tcPr>
            <w:tcW w:w="923" w:type="dxa"/>
            <w:vAlign w:val="center"/>
          </w:tcPr>
          <w:p w14:paraId="194635F6">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13</w:t>
            </w:r>
          </w:p>
        </w:tc>
        <w:tc>
          <w:tcPr>
            <w:tcW w:w="921" w:type="dxa"/>
            <w:vAlign w:val="center"/>
          </w:tcPr>
          <w:p w14:paraId="3590E0E8">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EF9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8" w:hRule="exact"/>
          <w:jc w:val="center"/>
        </w:trPr>
        <w:tc>
          <w:tcPr>
            <w:tcW w:w="638" w:type="dxa"/>
            <w:vAlign w:val="center"/>
          </w:tcPr>
          <w:p w14:paraId="54671B27">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w:t>
            </w:r>
          </w:p>
        </w:tc>
        <w:tc>
          <w:tcPr>
            <w:tcW w:w="3321" w:type="dxa"/>
            <w:vAlign w:val="center"/>
          </w:tcPr>
          <w:p w14:paraId="36CDC41B">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论文名称：Loss of Hepatic Angiotensinogen Attenuates Sepsis-Induced Myocardial Dysfunction</w:t>
            </w:r>
          </w:p>
          <w:p w14:paraId="12897732">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刊名：Circulation Research</w:t>
            </w:r>
          </w:p>
        </w:tc>
        <w:tc>
          <w:tcPr>
            <w:tcW w:w="1985" w:type="dxa"/>
            <w:vAlign w:val="center"/>
          </w:tcPr>
          <w:p w14:paraId="3EAE6C57">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2021;129 (5): 547-564.</w:t>
            </w:r>
          </w:p>
        </w:tc>
        <w:tc>
          <w:tcPr>
            <w:tcW w:w="1276" w:type="dxa"/>
            <w:vAlign w:val="center"/>
          </w:tcPr>
          <w:p w14:paraId="447F21C4">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2021.08</w:t>
            </w:r>
          </w:p>
        </w:tc>
        <w:tc>
          <w:tcPr>
            <w:tcW w:w="1275" w:type="dxa"/>
            <w:vAlign w:val="center"/>
          </w:tcPr>
          <w:p w14:paraId="5C3F4613">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 Yinchuan Xu, Jian'an Wang</w:t>
            </w:r>
          </w:p>
        </w:tc>
        <w:tc>
          <w:tcPr>
            <w:tcW w:w="1276" w:type="dxa"/>
            <w:vAlign w:val="center"/>
          </w:tcPr>
          <w:p w14:paraId="027039FF">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Jiabing Rong, Xinran Tao</w:t>
            </w:r>
          </w:p>
        </w:tc>
        <w:tc>
          <w:tcPr>
            <w:tcW w:w="2529" w:type="dxa"/>
            <w:vAlign w:val="center"/>
          </w:tcPr>
          <w:p w14:paraId="71C58835">
            <w:pPr>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Jiabing Rong, Xinran Tao, Yao Lin, Haiqiong Zheng, Le Ning, Hong S Lu, Alan Daugherty, Peng Shi, Adam E Mullick, Sicong Chen, Zhaocai Zhang, Yinchuan Xu, Jian'an Wang</w:t>
            </w:r>
          </w:p>
          <w:p w14:paraId="266D9F1D">
            <w:pPr>
              <w:jc w:val="left"/>
              <w:rPr>
                <w:rFonts w:eastAsia="仿宋"/>
                <w:color w:val="000000" w:themeColor="text1"/>
                <w:sz w:val="18"/>
                <w:szCs w:val="18"/>
                <w14:textFill>
                  <w14:solidFill>
                    <w14:schemeClr w14:val="tx1"/>
                  </w14:solidFill>
                </w14:textFill>
              </w:rPr>
            </w:pPr>
          </w:p>
        </w:tc>
        <w:tc>
          <w:tcPr>
            <w:tcW w:w="923" w:type="dxa"/>
            <w:vAlign w:val="center"/>
          </w:tcPr>
          <w:p w14:paraId="567DED35">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31</w:t>
            </w:r>
          </w:p>
        </w:tc>
        <w:tc>
          <w:tcPr>
            <w:tcW w:w="921" w:type="dxa"/>
            <w:vAlign w:val="center"/>
          </w:tcPr>
          <w:p w14:paraId="3801FAA6">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1DF5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exact"/>
          <w:jc w:val="center"/>
        </w:trPr>
        <w:tc>
          <w:tcPr>
            <w:tcW w:w="638" w:type="dxa"/>
            <w:vAlign w:val="center"/>
          </w:tcPr>
          <w:p w14:paraId="2F4E2C11">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3</w:t>
            </w:r>
          </w:p>
        </w:tc>
        <w:tc>
          <w:tcPr>
            <w:tcW w:w="3321" w:type="dxa"/>
            <w:vAlign w:val="center"/>
          </w:tcPr>
          <w:p w14:paraId="3D6937A6">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论文名称：Sirt3 is a novel target to treat sepsis induced myocardial dysfunction by acetylated modulation of critical enzymes within cardiac tricarboxylic acid cycle</w:t>
            </w:r>
          </w:p>
          <w:p w14:paraId="64FD4DDB">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刊名：Pharmacological Research</w:t>
            </w:r>
          </w:p>
        </w:tc>
        <w:tc>
          <w:tcPr>
            <w:tcW w:w="1985" w:type="dxa"/>
            <w:vAlign w:val="center"/>
          </w:tcPr>
          <w:p w14:paraId="075C6BFE">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 xml:space="preserve">2020; 159:104887. </w:t>
            </w:r>
          </w:p>
          <w:p w14:paraId="64A0C7E9">
            <w:pPr>
              <w:spacing w:after="0" w:line="240" w:lineRule="auto"/>
              <w:jc w:val="left"/>
              <w:rPr>
                <w:rFonts w:eastAsia="仿宋"/>
                <w:color w:val="000000" w:themeColor="text1"/>
                <w:sz w:val="18"/>
                <w:szCs w:val="18"/>
                <w14:textFill>
                  <w14:solidFill>
                    <w14:schemeClr w14:val="tx1"/>
                  </w14:solidFill>
                </w14:textFill>
              </w:rPr>
            </w:pPr>
          </w:p>
        </w:tc>
        <w:tc>
          <w:tcPr>
            <w:tcW w:w="1276" w:type="dxa"/>
            <w:vAlign w:val="center"/>
          </w:tcPr>
          <w:p w14:paraId="0722316E">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2020.09</w:t>
            </w:r>
          </w:p>
        </w:tc>
        <w:tc>
          <w:tcPr>
            <w:tcW w:w="1275" w:type="dxa"/>
            <w:vAlign w:val="center"/>
          </w:tcPr>
          <w:p w14:paraId="45CEFF22">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 Wang, Zhaocai Zhang</w:t>
            </w:r>
          </w:p>
        </w:tc>
        <w:tc>
          <w:tcPr>
            <w:tcW w:w="1276" w:type="dxa"/>
            <w:vAlign w:val="center"/>
          </w:tcPr>
          <w:p w14:paraId="311EA1B4">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Yinchuan Xu</w:t>
            </w:r>
          </w:p>
        </w:tc>
        <w:tc>
          <w:tcPr>
            <w:tcW w:w="2529" w:type="dxa"/>
            <w:vAlign w:val="center"/>
          </w:tcPr>
          <w:p w14:paraId="43905503">
            <w:pPr>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Yinchuan Xu, Shujing Zhang, Jiabing Rong, Yao Lin, Linlin Du, Yi Wang, Zhaocai Zhang</w:t>
            </w:r>
          </w:p>
          <w:p w14:paraId="7F2E54DF">
            <w:pPr>
              <w:spacing w:after="0" w:line="240" w:lineRule="auto"/>
              <w:jc w:val="left"/>
              <w:rPr>
                <w:rFonts w:eastAsia="仿宋"/>
                <w:color w:val="000000" w:themeColor="text1"/>
                <w:sz w:val="18"/>
                <w:szCs w:val="18"/>
                <w14:textFill>
                  <w14:solidFill>
                    <w14:schemeClr w14:val="tx1"/>
                  </w14:solidFill>
                </w14:textFill>
              </w:rPr>
            </w:pPr>
          </w:p>
        </w:tc>
        <w:tc>
          <w:tcPr>
            <w:tcW w:w="923" w:type="dxa"/>
            <w:vAlign w:val="center"/>
          </w:tcPr>
          <w:p w14:paraId="2F7AF117">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35</w:t>
            </w:r>
          </w:p>
        </w:tc>
        <w:tc>
          <w:tcPr>
            <w:tcW w:w="921" w:type="dxa"/>
            <w:vAlign w:val="center"/>
          </w:tcPr>
          <w:p w14:paraId="1A7FBF6C">
            <w:pPr>
              <w:spacing w:after="0" w:line="240" w:lineRule="auto"/>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7A89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jc w:val="center"/>
        </w:trPr>
        <w:tc>
          <w:tcPr>
            <w:tcW w:w="638" w:type="dxa"/>
            <w:vAlign w:val="center"/>
          </w:tcPr>
          <w:p w14:paraId="5F3FB4BE">
            <w:pPr>
              <w:spacing w:after="0" w:line="240" w:lineRule="auto"/>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4</w:t>
            </w:r>
          </w:p>
        </w:tc>
        <w:tc>
          <w:tcPr>
            <w:tcW w:w="3321" w:type="dxa"/>
            <w:vAlign w:val="center"/>
          </w:tcPr>
          <w:p w14:paraId="61D4C301">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论文名称：Multi-biomarker strategy for prediction of myocardial dysfunction and mortality in sepsis</w:t>
            </w:r>
          </w:p>
          <w:p w14:paraId="2A05C3D4">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刊名：Journal of Zhejiang University-science b.</w:t>
            </w:r>
          </w:p>
        </w:tc>
        <w:tc>
          <w:tcPr>
            <w:tcW w:w="1985" w:type="dxa"/>
            <w:vAlign w:val="center"/>
          </w:tcPr>
          <w:p w14:paraId="3A365796">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2020; 21(7):537-548.</w:t>
            </w:r>
          </w:p>
        </w:tc>
        <w:tc>
          <w:tcPr>
            <w:tcW w:w="1276" w:type="dxa"/>
            <w:vAlign w:val="center"/>
          </w:tcPr>
          <w:p w14:paraId="51CAD87A">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2020.07</w:t>
            </w:r>
          </w:p>
        </w:tc>
        <w:tc>
          <w:tcPr>
            <w:tcW w:w="1275" w:type="dxa"/>
            <w:vAlign w:val="center"/>
          </w:tcPr>
          <w:p w14:paraId="6DDFA8FE">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Yinchuan Xu, Zhaocai Zhang</w:t>
            </w:r>
          </w:p>
        </w:tc>
        <w:tc>
          <w:tcPr>
            <w:tcW w:w="1276" w:type="dxa"/>
            <w:vAlign w:val="center"/>
          </w:tcPr>
          <w:p w14:paraId="38630EF6">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Fachao Chen</w:t>
            </w:r>
          </w:p>
        </w:tc>
        <w:tc>
          <w:tcPr>
            <w:tcW w:w="2529" w:type="dxa"/>
            <w:vAlign w:val="center"/>
          </w:tcPr>
          <w:p w14:paraId="4B41C26B">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Fachao Chen, Yinchuan Xu, Zhaocai Zhang</w:t>
            </w:r>
          </w:p>
        </w:tc>
        <w:tc>
          <w:tcPr>
            <w:tcW w:w="923" w:type="dxa"/>
            <w:vAlign w:val="center"/>
          </w:tcPr>
          <w:p w14:paraId="34CC4E8D">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16</w:t>
            </w:r>
          </w:p>
        </w:tc>
        <w:tc>
          <w:tcPr>
            <w:tcW w:w="921" w:type="dxa"/>
            <w:vAlign w:val="center"/>
          </w:tcPr>
          <w:p w14:paraId="1CEE3C3C">
            <w:pPr>
              <w:spacing w:after="0" w:line="24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75C0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exact"/>
          <w:jc w:val="center"/>
        </w:trPr>
        <w:tc>
          <w:tcPr>
            <w:tcW w:w="638" w:type="dxa"/>
            <w:vAlign w:val="center"/>
          </w:tcPr>
          <w:p w14:paraId="094404D6">
            <w:pPr>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5</w:t>
            </w:r>
          </w:p>
        </w:tc>
        <w:tc>
          <w:tcPr>
            <w:tcW w:w="3321" w:type="dxa"/>
            <w:vAlign w:val="center"/>
          </w:tcPr>
          <w:p w14:paraId="117A389F">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论文名称：Elevated pregnancy-associated plasma protein A predicts myocardial dysfunction and death in severe sepsis</w:t>
            </w:r>
            <w:r>
              <w:rPr>
                <w:rFonts w:eastAsia="仿宋"/>
                <w:color w:val="000000" w:themeColor="text1"/>
                <w:sz w:val="18"/>
                <w:szCs w:val="18"/>
                <w14:textFill>
                  <w14:solidFill>
                    <w14:schemeClr w14:val="tx1"/>
                  </w14:solidFill>
                </w14:textFill>
              </w:rPr>
              <w:br w:type="textWrapping"/>
            </w:r>
            <w:r>
              <w:rPr>
                <w:rFonts w:eastAsia="仿宋"/>
                <w:color w:val="000000" w:themeColor="text1"/>
                <w:sz w:val="18"/>
                <w:szCs w:val="18"/>
                <w14:textFill>
                  <w14:solidFill>
                    <w14:schemeClr w14:val="tx1"/>
                  </w14:solidFill>
                </w14:textFill>
              </w:rPr>
              <w:t>刊名：Annals of Clinical Biochemistry.</w:t>
            </w:r>
          </w:p>
        </w:tc>
        <w:tc>
          <w:tcPr>
            <w:tcW w:w="1985" w:type="dxa"/>
            <w:vAlign w:val="center"/>
          </w:tcPr>
          <w:p w14:paraId="692E3441">
            <w:pPr>
              <w:spacing w:after="0" w:line="360" w:lineRule="auto"/>
              <w:contextualSpacing/>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2014; 51(Pt 1):22-9.</w:t>
            </w:r>
          </w:p>
          <w:p w14:paraId="18DAEC0E">
            <w:pPr>
              <w:rPr>
                <w:rFonts w:eastAsia="仿宋"/>
                <w:color w:val="000000" w:themeColor="text1"/>
                <w:sz w:val="18"/>
                <w:szCs w:val="18"/>
                <w14:textFill>
                  <w14:solidFill>
                    <w14:schemeClr w14:val="tx1"/>
                  </w14:solidFill>
                </w14:textFill>
              </w:rPr>
            </w:pPr>
          </w:p>
        </w:tc>
        <w:tc>
          <w:tcPr>
            <w:tcW w:w="1276" w:type="dxa"/>
            <w:vAlign w:val="center"/>
          </w:tcPr>
          <w:p w14:paraId="219E82B8">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2014.01</w:t>
            </w:r>
          </w:p>
        </w:tc>
        <w:tc>
          <w:tcPr>
            <w:tcW w:w="1275" w:type="dxa"/>
            <w:vAlign w:val="center"/>
          </w:tcPr>
          <w:p w14:paraId="59099812">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1276" w:type="dxa"/>
            <w:vAlign w:val="center"/>
          </w:tcPr>
          <w:p w14:paraId="601BD277">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2529" w:type="dxa"/>
            <w:vAlign w:val="center"/>
          </w:tcPr>
          <w:p w14:paraId="2665F699">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 Haiwen Dai, Yihua Yu, Jidong Yang, Jin Chen, Liang Wu</w:t>
            </w:r>
          </w:p>
        </w:tc>
        <w:tc>
          <w:tcPr>
            <w:tcW w:w="923" w:type="dxa"/>
            <w:vAlign w:val="center"/>
          </w:tcPr>
          <w:p w14:paraId="30B21D7B">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10</w:t>
            </w:r>
          </w:p>
        </w:tc>
        <w:tc>
          <w:tcPr>
            <w:tcW w:w="921" w:type="dxa"/>
            <w:vAlign w:val="center"/>
          </w:tcPr>
          <w:p w14:paraId="3C21BF9E">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644A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3" w:hRule="exact"/>
          <w:jc w:val="center"/>
        </w:trPr>
        <w:tc>
          <w:tcPr>
            <w:tcW w:w="638" w:type="dxa"/>
            <w:vAlign w:val="center"/>
          </w:tcPr>
          <w:p w14:paraId="014F2138">
            <w:pPr>
              <w:spacing w:after="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6</w:t>
            </w:r>
          </w:p>
        </w:tc>
        <w:tc>
          <w:tcPr>
            <w:tcW w:w="3321" w:type="dxa"/>
            <w:vAlign w:val="center"/>
          </w:tcPr>
          <w:p w14:paraId="3776B1AF">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论文名称：Usefulness of heart-type fatty acid-binding protein in patients with severe sepsis</w:t>
            </w:r>
          </w:p>
          <w:p w14:paraId="53BA22E8">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刊名：Journal of Critical Care</w:t>
            </w:r>
          </w:p>
        </w:tc>
        <w:tc>
          <w:tcPr>
            <w:tcW w:w="1985" w:type="dxa"/>
            <w:vAlign w:val="center"/>
          </w:tcPr>
          <w:p w14:paraId="7D44F0B3">
            <w:pPr>
              <w:spacing w:after="0" w:line="360" w:lineRule="auto"/>
              <w:contextualSpacing/>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2012; 27(4): 415.e13-8.</w:t>
            </w:r>
          </w:p>
          <w:p w14:paraId="26D9F5A7">
            <w:pPr>
              <w:spacing w:after="0"/>
              <w:rPr>
                <w:rFonts w:eastAsia="仿宋"/>
                <w:color w:val="000000" w:themeColor="text1"/>
                <w:sz w:val="18"/>
                <w:szCs w:val="18"/>
                <w14:textFill>
                  <w14:solidFill>
                    <w14:schemeClr w14:val="tx1"/>
                  </w14:solidFill>
                </w14:textFill>
              </w:rPr>
            </w:pPr>
          </w:p>
        </w:tc>
        <w:tc>
          <w:tcPr>
            <w:tcW w:w="1276" w:type="dxa"/>
            <w:vAlign w:val="center"/>
          </w:tcPr>
          <w:p w14:paraId="12B1BEAB">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2012.08</w:t>
            </w:r>
          </w:p>
        </w:tc>
        <w:tc>
          <w:tcPr>
            <w:tcW w:w="1275" w:type="dxa"/>
            <w:vAlign w:val="center"/>
          </w:tcPr>
          <w:p w14:paraId="47EC6609">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1276" w:type="dxa"/>
            <w:vAlign w:val="center"/>
          </w:tcPr>
          <w:p w14:paraId="53133EC9">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w:t>
            </w:r>
          </w:p>
        </w:tc>
        <w:tc>
          <w:tcPr>
            <w:tcW w:w="2529" w:type="dxa"/>
            <w:vAlign w:val="center"/>
          </w:tcPr>
          <w:p w14:paraId="245C84DB">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Zhaocai Zhang, Haiwen Dai, Yihua Yu, Jidong Yang, Caibao Hu</w:t>
            </w:r>
          </w:p>
        </w:tc>
        <w:tc>
          <w:tcPr>
            <w:tcW w:w="923" w:type="dxa"/>
            <w:vAlign w:val="center"/>
          </w:tcPr>
          <w:p w14:paraId="0C618540">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28</w:t>
            </w:r>
          </w:p>
        </w:tc>
        <w:tc>
          <w:tcPr>
            <w:tcW w:w="921" w:type="dxa"/>
            <w:vAlign w:val="center"/>
          </w:tcPr>
          <w:p w14:paraId="1441AADD">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0316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1" w:hRule="exact"/>
          <w:jc w:val="center"/>
        </w:trPr>
        <w:tc>
          <w:tcPr>
            <w:tcW w:w="638" w:type="dxa"/>
            <w:vAlign w:val="center"/>
          </w:tcPr>
          <w:p w14:paraId="02A5B1D5">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7</w:t>
            </w:r>
          </w:p>
        </w:tc>
        <w:tc>
          <w:tcPr>
            <w:tcW w:w="3321" w:type="dxa"/>
            <w:vAlign w:val="center"/>
          </w:tcPr>
          <w:p w14:paraId="29A3DF32">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论文名称：Nanoformulated ABT-199 to effectively target Bcl-2 at mitochondrial membrane alleviates airway inflammation by inducing apoptosis</w:t>
            </w:r>
            <w:r>
              <w:rPr>
                <w:rFonts w:eastAsia="仿宋"/>
                <w:color w:val="000000" w:themeColor="text1"/>
                <w:sz w:val="18"/>
                <w:szCs w:val="18"/>
                <w14:textFill>
                  <w14:solidFill>
                    <w14:schemeClr w14:val="tx1"/>
                  </w14:solidFill>
                </w14:textFill>
              </w:rPr>
              <w:br w:type="textWrapping"/>
            </w:r>
            <w:r>
              <w:rPr>
                <w:rFonts w:eastAsia="仿宋"/>
                <w:color w:val="000000" w:themeColor="text1"/>
                <w:sz w:val="18"/>
                <w:szCs w:val="18"/>
                <w14:textFill>
                  <w14:solidFill>
                    <w14:schemeClr w14:val="tx1"/>
                  </w14:solidFill>
                </w14:textFill>
              </w:rPr>
              <w:t>刊名：Biomaterials</w:t>
            </w:r>
          </w:p>
        </w:tc>
        <w:tc>
          <w:tcPr>
            <w:tcW w:w="1985" w:type="dxa"/>
            <w:vAlign w:val="center"/>
          </w:tcPr>
          <w:p w14:paraId="181522C0">
            <w:pPr>
              <w:spacing w:after="0" w:line="360" w:lineRule="auto"/>
              <w:contextualSpacing/>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2019; 192:429-439.</w:t>
            </w:r>
          </w:p>
          <w:p w14:paraId="0EB63818">
            <w:pPr>
              <w:spacing w:after="0"/>
              <w:jc w:val="left"/>
              <w:rPr>
                <w:rFonts w:eastAsia="仿宋"/>
                <w:color w:val="000000" w:themeColor="text1"/>
                <w:sz w:val="18"/>
                <w:szCs w:val="18"/>
                <w14:textFill>
                  <w14:solidFill>
                    <w14:schemeClr w14:val="tx1"/>
                  </w14:solidFill>
                </w14:textFill>
              </w:rPr>
            </w:pPr>
          </w:p>
        </w:tc>
        <w:tc>
          <w:tcPr>
            <w:tcW w:w="1276" w:type="dxa"/>
            <w:vAlign w:val="center"/>
          </w:tcPr>
          <w:p w14:paraId="7F929A4D">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2019.02</w:t>
            </w:r>
          </w:p>
        </w:tc>
        <w:tc>
          <w:tcPr>
            <w:tcW w:w="1275" w:type="dxa"/>
            <w:vAlign w:val="center"/>
          </w:tcPr>
          <w:p w14:paraId="363674E8">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Songmin Ying, Daishun Ling, Huahao Shen</w:t>
            </w:r>
          </w:p>
        </w:tc>
        <w:tc>
          <w:tcPr>
            <w:tcW w:w="1276" w:type="dxa"/>
            <w:vAlign w:val="center"/>
          </w:tcPr>
          <w:p w14:paraId="622FC8B6">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Bao-Ping Tian, Fangyuan Li, Ruiqing Li</w:t>
            </w:r>
          </w:p>
        </w:tc>
        <w:tc>
          <w:tcPr>
            <w:tcW w:w="2529" w:type="dxa"/>
            <w:vAlign w:val="center"/>
          </w:tcPr>
          <w:p w14:paraId="5E33E58D">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Bao-Ping Tian, Fangyuan Li, Ruiqing Li, Xi Hu, Tian-Wen Lai, Jingxiong Lu, Yun Zhao, Yang Du, Zeyu Liang, Chen Zhu, Wei Shao, Wen Li, Zhi-Hua Chen, Xiaolian Sun, Xiaoyuan Chen, Songmin Ying, Daishun Ling, Huahao Shen</w:t>
            </w:r>
          </w:p>
        </w:tc>
        <w:tc>
          <w:tcPr>
            <w:tcW w:w="923" w:type="dxa"/>
            <w:vAlign w:val="center"/>
          </w:tcPr>
          <w:p w14:paraId="07FA4099">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26</w:t>
            </w:r>
          </w:p>
        </w:tc>
        <w:tc>
          <w:tcPr>
            <w:tcW w:w="921" w:type="dxa"/>
            <w:vAlign w:val="center"/>
          </w:tcPr>
          <w:p w14:paraId="268CD00D">
            <w:pPr>
              <w:spacing w:after="0"/>
              <w:jc w:val="lef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SCI</w:t>
            </w:r>
          </w:p>
        </w:tc>
      </w:tr>
      <w:tr w14:paraId="362E5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6" w:hRule="exact"/>
          <w:jc w:val="center"/>
        </w:trPr>
        <w:tc>
          <w:tcPr>
            <w:tcW w:w="638" w:type="dxa"/>
            <w:vAlign w:val="center"/>
          </w:tcPr>
          <w:p w14:paraId="095A6F79">
            <w:pPr>
              <w:spacing w:after="0"/>
              <w:jc w:val="cente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8</w:t>
            </w:r>
          </w:p>
        </w:tc>
        <w:tc>
          <w:tcPr>
            <w:tcW w:w="3321" w:type="dxa"/>
            <w:vAlign w:val="center"/>
          </w:tcPr>
          <w:p w14:paraId="3AD02759">
            <w:pPr>
              <w:spacing w:after="0" w:line="360" w:lineRule="auto"/>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论文名称：脓毒症大鼠心脏基质金属蛋白酶及其抑制物基因的表达变化</w:t>
            </w:r>
            <w:r>
              <w:rPr>
                <w:rFonts w:eastAsia="仿宋"/>
                <w:color w:val="000000" w:themeColor="text1"/>
                <w:sz w:val="18"/>
                <w:szCs w:val="18"/>
                <w14:textFill>
                  <w14:solidFill>
                    <w14:schemeClr w14:val="tx1"/>
                  </w14:solidFill>
                </w14:textFill>
              </w:rPr>
              <w:br w:type="textWrapping"/>
            </w:r>
            <w:r>
              <w:rPr>
                <w:rFonts w:eastAsia="仿宋"/>
                <w:color w:val="000000" w:themeColor="text1"/>
                <w:sz w:val="18"/>
                <w:szCs w:val="18"/>
                <w14:textFill>
                  <w14:solidFill>
                    <w14:schemeClr w14:val="tx1"/>
                  </w14:solidFill>
                </w14:textFill>
              </w:rPr>
              <w:t>刊名：</w:t>
            </w:r>
            <w:bookmarkStart w:id="1" w:name="OLE_LINK3"/>
            <w:r>
              <w:rPr>
                <w:rFonts w:eastAsia="仿宋"/>
                <w:color w:val="000000" w:themeColor="text1"/>
                <w:sz w:val="18"/>
                <w:szCs w:val="18"/>
                <w14:textFill>
                  <w14:solidFill>
                    <w14:schemeClr w14:val="tx1"/>
                  </w14:solidFill>
                </w14:textFill>
              </w:rPr>
              <w:t>中国病理生理杂志</w:t>
            </w:r>
            <w:bookmarkEnd w:id="1"/>
          </w:p>
          <w:p w14:paraId="6D733ADD">
            <w:pPr>
              <w:spacing w:after="0"/>
              <w:rPr>
                <w:rFonts w:eastAsia="仿宋"/>
                <w:color w:val="000000" w:themeColor="text1"/>
                <w:sz w:val="18"/>
                <w:szCs w:val="18"/>
                <w14:textFill>
                  <w14:solidFill>
                    <w14:schemeClr w14:val="tx1"/>
                  </w14:solidFill>
                </w14:textFill>
              </w:rPr>
            </w:pPr>
          </w:p>
        </w:tc>
        <w:tc>
          <w:tcPr>
            <w:tcW w:w="1985" w:type="dxa"/>
            <w:vAlign w:val="center"/>
          </w:tcPr>
          <w:p w14:paraId="03F01CC4">
            <w:pPr>
              <w:spacing w:after="0" w:line="360" w:lineRule="auto"/>
              <w:contextualSpacing/>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2008, 24 (8):1641-1643.</w:t>
            </w:r>
          </w:p>
          <w:p w14:paraId="78A6332C">
            <w:pPr>
              <w:spacing w:after="0"/>
              <w:rPr>
                <w:rFonts w:eastAsia="仿宋"/>
                <w:color w:val="000000" w:themeColor="text1"/>
                <w:sz w:val="18"/>
                <w:szCs w:val="18"/>
                <w14:textFill>
                  <w14:solidFill>
                    <w14:schemeClr w14:val="tx1"/>
                  </w14:solidFill>
                </w14:textFill>
              </w:rPr>
            </w:pPr>
          </w:p>
        </w:tc>
        <w:tc>
          <w:tcPr>
            <w:tcW w:w="1276" w:type="dxa"/>
            <w:vAlign w:val="center"/>
          </w:tcPr>
          <w:p w14:paraId="1B061C7E">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2008.08</w:t>
            </w:r>
          </w:p>
        </w:tc>
        <w:tc>
          <w:tcPr>
            <w:tcW w:w="1275" w:type="dxa"/>
            <w:vAlign w:val="center"/>
          </w:tcPr>
          <w:p w14:paraId="547FCAD7">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张召才</w:t>
            </w:r>
          </w:p>
        </w:tc>
        <w:tc>
          <w:tcPr>
            <w:tcW w:w="1276" w:type="dxa"/>
            <w:vAlign w:val="center"/>
          </w:tcPr>
          <w:p w14:paraId="4595755E">
            <w:pPr>
              <w:spacing w:after="0"/>
              <w:rPr>
                <w:rFonts w:eastAsia="仿宋"/>
                <w:color w:val="000000" w:themeColor="text1"/>
                <w:sz w:val="18"/>
                <w:szCs w:val="18"/>
                <w14:textFill>
                  <w14:solidFill>
                    <w14:schemeClr w14:val="tx1"/>
                  </w14:solidFill>
                </w14:textFill>
              </w:rPr>
            </w:pPr>
            <w:r>
              <w:fldChar w:fldCharType="begin"/>
            </w:r>
            <w:r>
              <w:instrText xml:space="preserve"> HYPERLINK "https://lib.cqvip.com/Qikan/Search/Index?key=A%3d%e5%bc%a0%e5%8f%ac%e6%89%8d&amp;from=Qikan_Article_Detail" \o "张召才" </w:instrText>
            </w:r>
            <w:r>
              <w:fldChar w:fldCharType="separate"/>
            </w:r>
            <w:r>
              <w:rPr>
                <w:rStyle w:val="22"/>
                <w:rFonts w:eastAsia="仿宋"/>
                <w:color w:val="000000" w:themeColor="text1"/>
                <w:sz w:val="18"/>
                <w:szCs w:val="18"/>
                <w:u w:val="none"/>
                <w14:textFill>
                  <w14:solidFill>
                    <w14:schemeClr w14:val="tx1"/>
                  </w14:solidFill>
                </w14:textFill>
              </w:rPr>
              <w:t>张召才</w:t>
            </w:r>
            <w:r>
              <w:rPr>
                <w:rStyle w:val="22"/>
                <w:rFonts w:eastAsia="仿宋"/>
                <w:color w:val="000000" w:themeColor="text1"/>
                <w:sz w:val="18"/>
                <w:szCs w:val="18"/>
                <w:u w:val="none"/>
                <w14:textFill>
                  <w14:solidFill>
                    <w14:schemeClr w14:val="tx1"/>
                  </w14:solidFill>
                </w14:textFill>
              </w:rPr>
              <w:fldChar w:fldCharType="end"/>
            </w:r>
          </w:p>
        </w:tc>
        <w:tc>
          <w:tcPr>
            <w:tcW w:w="2529" w:type="dxa"/>
            <w:vAlign w:val="center"/>
          </w:tcPr>
          <w:p w14:paraId="546AAE48">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张召才，严静，蔡国龙，虞意华，胡才宝</w:t>
            </w:r>
          </w:p>
          <w:p w14:paraId="11C47A22">
            <w:pPr>
              <w:spacing w:after="0"/>
              <w:rPr>
                <w:rFonts w:eastAsia="仿宋"/>
                <w:color w:val="000000" w:themeColor="text1"/>
                <w:sz w:val="18"/>
                <w:szCs w:val="18"/>
                <w14:textFill>
                  <w14:solidFill>
                    <w14:schemeClr w14:val="tx1"/>
                  </w14:solidFill>
                </w14:textFill>
              </w:rPr>
            </w:pPr>
          </w:p>
        </w:tc>
        <w:tc>
          <w:tcPr>
            <w:tcW w:w="923" w:type="dxa"/>
            <w:vAlign w:val="center"/>
          </w:tcPr>
          <w:p w14:paraId="398E1BCE">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w:t>
            </w:r>
          </w:p>
        </w:tc>
        <w:tc>
          <w:tcPr>
            <w:tcW w:w="921" w:type="dxa"/>
            <w:vAlign w:val="center"/>
          </w:tcPr>
          <w:p w14:paraId="1BCD832F">
            <w:pPr>
              <w:spacing w:after="0"/>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w:t>
            </w:r>
          </w:p>
        </w:tc>
      </w:tr>
      <w:tr w14:paraId="6125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exact"/>
          <w:jc w:val="center"/>
        </w:trPr>
        <w:tc>
          <w:tcPr>
            <w:tcW w:w="638" w:type="dxa"/>
            <w:vAlign w:val="center"/>
          </w:tcPr>
          <w:p w14:paraId="29F0FB45">
            <w:pPr>
              <w:jc w:val="center"/>
              <w:rPr>
                <w:rFonts w:eastAsia="仿宋"/>
                <w:color w:val="000000" w:themeColor="text1"/>
                <w:sz w:val="18"/>
                <w:szCs w:val="18"/>
                <w14:textFill>
                  <w14:solidFill>
                    <w14:schemeClr w14:val="tx1"/>
                  </w14:solidFill>
                </w14:textFill>
              </w:rPr>
            </w:pPr>
          </w:p>
        </w:tc>
        <w:tc>
          <w:tcPr>
            <w:tcW w:w="11662" w:type="dxa"/>
            <w:gridSpan w:val="6"/>
            <w:vAlign w:val="center"/>
          </w:tcPr>
          <w:p w14:paraId="1CE43DD1">
            <w:pPr>
              <w:jc w:val="right"/>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合计</w:t>
            </w:r>
          </w:p>
        </w:tc>
        <w:tc>
          <w:tcPr>
            <w:tcW w:w="923" w:type="dxa"/>
            <w:vAlign w:val="center"/>
          </w:tcPr>
          <w:p w14:paraId="7B2433CB">
            <w:pPr>
              <w:rPr>
                <w:rFonts w:eastAsia="仿宋"/>
                <w:color w:val="000000" w:themeColor="text1"/>
                <w:sz w:val="18"/>
                <w:szCs w:val="18"/>
                <w14:textFill>
                  <w14:solidFill>
                    <w14:schemeClr w14:val="tx1"/>
                  </w14:solidFill>
                </w14:textFill>
              </w:rPr>
            </w:pPr>
            <w:r>
              <w:rPr>
                <w:rFonts w:eastAsia="仿宋"/>
                <w:color w:val="000000" w:themeColor="text1"/>
                <w:sz w:val="18"/>
                <w:szCs w:val="18"/>
                <w14:textFill>
                  <w14:solidFill>
                    <w14:schemeClr w14:val="tx1"/>
                  </w14:solidFill>
                </w14:textFill>
              </w:rPr>
              <w:t>159</w:t>
            </w:r>
          </w:p>
        </w:tc>
        <w:tc>
          <w:tcPr>
            <w:tcW w:w="921" w:type="dxa"/>
            <w:vAlign w:val="center"/>
          </w:tcPr>
          <w:p w14:paraId="36E3EDC7">
            <w:pPr>
              <w:rPr>
                <w:rFonts w:eastAsia="仿宋"/>
                <w:color w:val="000000" w:themeColor="text1"/>
                <w:sz w:val="18"/>
                <w:szCs w:val="18"/>
                <w14:textFill>
                  <w14:solidFill>
                    <w14:schemeClr w14:val="tx1"/>
                  </w14:solidFill>
                </w14:textFill>
              </w:rPr>
            </w:pPr>
          </w:p>
        </w:tc>
      </w:tr>
    </w:tbl>
    <w:p w14:paraId="22818F8C">
      <w:pPr>
        <w:rPr>
          <w:rFonts w:eastAsia="仿宋"/>
          <w:color w:val="000000" w:themeColor="text1"/>
          <w14:textFill>
            <w14:solidFill>
              <w14:schemeClr w14:val="tx1"/>
            </w14:solidFill>
          </w14:textFill>
        </w:rPr>
      </w:pPr>
    </w:p>
    <w:sectPr>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E4B9BD8-D24C-4AE4-B628-188A0C355BA7}"/>
  </w:font>
  <w:font w:name="Arial">
    <w:panose1 w:val="020B0604020202020204"/>
    <w:charset w:val="01"/>
    <w:family w:val="swiss"/>
    <w:pitch w:val="default"/>
    <w:sig w:usb0="E0002EFF" w:usb1="C000785B" w:usb2="00000009" w:usb3="00000000" w:csb0="400001FF" w:csb1="FFFF0000"/>
    <w:embedRegular r:id="rId2" w:fontKey="{A909611E-A998-422F-A7A9-1C04B0F5F0B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78925AD-7B7F-44FF-8E6B-4D32F000B85F}"/>
  </w:font>
  <w:font w:name="Symbol">
    <w:panose1 w:val="05050102010706020507"/>
    <w:charset w:val="02"/>
    <w:family w:val="roman"/>
    <w:pitch w:val="default"/>
    <w:sig w:usb0="00000000" w:usb1="00000000" w:usb2="00000000" w:usb3="00000000" w:csb0="80000000" w:csb1="00000000"/>
    <w:embedRegular r:id="rId4" w:fontKey="{FDF7530D-2732-428F-AE57-E53D50833785}"/>
  </w:font>
  <w:font w:name="Calibri">
    <w:panose1 w:val="020F0502020204030204"/>
    <w:charset w:val="00"/>
    <w:family w:val="swiss"/>
    <w:pitch w:val="default"/>
    <w:sig w:usb0="E4002EFF" w:usb1="C000247B" w:usb2="00000009" w:usb3="00000000" w:csb0="200001FF" w:csb1="00000000"/>
    <w:embedRegular r:id="rId5" w:fontKey="{6896194B-6337-4D75-8EC0-3FE2B2707824}"/>
  </w:font>
  <w:font w:name="Cambria">
    <w:panose1 w:val="02040503050406030204"/>
    <w:charset w:val="00"/>
    <w:family w:val="roman"/>
    <w:pitch w:val="default"/>
    <w:sig w:usb0="E00006FF" w:usb1="420024FF" w:usb2="02000000" w:usb3="00000000" w:csb0="2000019F" w:csb1="00000000"/>
    <w:embedRegular r:id="rId6" w:fontKey="{7C7F46C1-5490-4364-9AAD-40E8E9578403}"/>
  </w:font>
  <w:font w:name="仿宋_GB2312">
    <w:panose1 w:val="02010609030101010101"/>
    <w:charset w:val="86"/>
    <w:family w:val="modern"/>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embedRegular r:id="rId7" w:fontKey="{C4BF94A8-C637-4313-8DD6-3ADAA6790E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5B22BDE4">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FCEF13">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5AFD8">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A2905">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0F4DE">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JhNDgxZDBiYzczNDM2YjM1OGQzM2RlOTYzN2FiZTQifQ=="/>
    <w:docVar w:name="KSO_WPS_MARK_KEY" w:val="02f6fdb2-0872-4f38-94b1-cc8e195e9e73"/>
  </w:docVars>
  <w:rsids>
    <w:rsidRoot w:val="007C28FF"/>
    <w:rsid w:val="0000529B"/>
    <w:rsid w:val="00006056"/>
    <w:rsid w:val="00007BBE"/>
    <w:rsid w:val="0001064C"/>
    <w:rsid w:val="000165DC"/>
    <w:rsid w:val="00020739"/>
    <w:rsid w:val="00031E44"/>
    <w:rsid w:val="00033288"/>
    <w:rsid w:val="0004004D"/>
    <w:rsid w:val="00051BE3"/>
    <w:rsid w:val="00053F24"/>
    <w:rsid w:val="0006546D"/>
    <w:rsid w:val="00067E32"/>
    <w:rsid w:val="00083906"/>
    <w:rsid w:val="000847FC"/>
    <w:rsid w:val="000929AE"/>
    <w:rsid w:val="000A0FE4"/>
    <w:rsid w:val="000B2E39"/>
    <w:rsid w:val="000B70B3"/>
    <w:rsid w:val="000C5D6B"/>
    <w:rsid w:val="000C632A"/>
    <w:rsid w:val="000E7370"/>
    <w:rsid w:val="000F1229"/>
    <w:rsid w:val="000F2CC3"/>
    <w:rsid w:val="000F6066"/>
    <w:rsid w:val="000F6517"/>
    <w:rsid w:val="000F68D1"/>
    <w:rsid w:val="000F6B39"/>
    <w:rsid w:val="000F7732"/>
    <w:rsid w:val="001039E9"/>
    <w:rsid w:val="00104F03"/>
    <w:rsid w:val="001168E4"/>
    <w:rsid w:val="0012430D"/>
    <w:rsid w:val="001435CC"/>
    <w:rsid w:val="00153E23"/>
    <w:rsid w:val="00154376"/>
    <w:rsid w:val="001553CE"/>
    <w:rsid w:val="001614FC"/>
    <w:rsid w:val="0016168D"/>
    <w:rsid w:val="00165962"/>
    <w:rsid w:val="0017168F"/>
    <w:rsid w:val="00172167"/>
    <w:rsid w:val="001806B8"/>
    <w:rsid w:val="001829B2"/>
    <w:rsid w:val="00185449"/>
    <w:rsid w:val="00185BA7"/>
    <w:rsid w:val="00192701"/>
    <w:rsid w:val="0019371C"/>
    <w:rsid w:val="001A5554"/>
    <w:rsid w:val="001A55E6"/>
    <w:rsid w:val="001B0C22"/>
    <w:rsid w:val="001B454D"/>
    <w:rsid w:val="001B46F5"/>
    <w:rsid w:val="001C4D6D"/>
    <w:rsid w:val="001D3908"/>
    <w:rsid w:val="001F032B"/>
    <w:rsid w:val="001F2C76"/>
    <w:rsid w:val="001F7F40"/>
    <w:rsid w:val="0021154E"/>
    <w:rsid w:val="00212129"/>
    <w:rsid w:val="00213CE9"/>
    <w:rsid w:val="0021734C"/>
    <w:rsid w:val="002242B0"/>
    <w:rsid w:val="002247F4"/>
    <w:rsid w:val="00230FE9"/>
    <w:rsid w:val="0023223F"/>
    <w:rsid w:val="00244749"/>
    <w:rsid w:val="00247A49"/>
    <w:rsid w:val="00251808"/>
    <w:rsid w:val="002579D1"/>
    <w:rsid w:val="002745F8"/>
    <w:rsid w:val="00281A25"/>
    <w:rsid w:val="00283031"/>
    <w:rsid w:val="0029509E"/>
    <w:rsid w:val="00296134"/>
    <w:rsid w:val="002A2925"/>
    <w:rsid w:val="002A7955"/>
    <w:rsid w:val="002B3198"/>
    <w:rsid w:val="002B3F03"/>
    <w:rsid w:val="002C6803"/>
    <w:rsid w:val="002C6E65"/>
    <w:rsid w:val="002D1FA7"/>
    <w:rsid w:val="002D3BA3"/>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70977"/>
    <w:rsid w:val="00377C1C"/>
    <w:rsid w:val="00382214"/>
    <w:rsid w:val="00382EDD"/>
    <w:rsid w:val="00386D85"/>
    <w:rsid w:val="00391EE6"/>
    <w:rsid w:val="003A08CF"/>
    <w:rsid w:val="003A33B6"/>
    <w:rsid w:val="003A343A"/>
    <w:rsid w:val="003A466E"/>
    <w:rsid w:val="003A5D0E"/>
    <w:rsid w:val="003A60A7"/>
    <w:rsid w:val="003B0906"/>
    <w:rsid w:val="003B2A50"/>
    <w:rsid w:val="003B3345"/>
    <w:rsid w:val="003C1234"/>
    <w:rsid w:val="003C4124"/>
    <w:rsid w:val="003D4642"/>
    <w:rsid w:val="003E263B"/>
    <w:rsid w:val="003E6BFB"/>
    <w:rsid w:val="003F0278"/>
    <w:rsid w:val="003F1E9D"/>
    <w:rsid w:val="003F76A0"/>
    <w:rsid w:val="00401E30"/>
    <w:rsid w:val="00413666"/>
    <w:rsid w:val="004179C8"/>
    <w:rsid w:val="0042367A"/>
    <w:rsid w:val="00427A6E"/>
    <w:rsid w:val="004300EE"/>
    <w:rsid w:val="0043284D"/>
    <w:rsid w:val="00442705"/>
    <w:rsid w:val="00444A55"/>
    <w:rsid w:val="004459B7"/>
    <w:rsid w:val="0044700B"/>
    <w:rsid w:val="0044760A"/>
    <w:rsid w:val="00447DF3"/>
    <w:rsid w:val="00452C0A"/>
    <w:rsid w:val="00453528"/>
    <w:rsid w:val="00453C0E"/>
    <w:rsid w:val="00461A90"/>
    <w:rsid w:val="004820BD"/>
    <w:rsid w:val="00484A1D"/>
    <w:rsid w:val="00484D69"/>
    <w:rsid w:val="004929AC"/>
    <w:rsid w:val="00492EAC"/>
    <w:rsid w:val="0049432F"/>
    <w:rsid w:val="004A4CF8"/>
    <w:rsid w:val="004A6419"/>
    <w:rsid w:val="004B13A5"/>
    <w:rsid w:val="004B531C"/>
    <w:rsid w:val="004C2337"/>
    <w:rsid w:val="004C4399"/>
    <w:rsid w:val="004D3106"/>
    <w:rsid w:val="004D4913"/>
    <w:rsid w:val="004D55B5"/>
    <w:rsid w:val="004E11C6"/>
    <w:rsid w:val="004E36AB"/>
    <w:rsid w:val="004F503B"/>
    <w:rsid w:val="004F551A"/>
    <w:rsid w:val="004F680F"/>
    <w:rsid w:val="005002DF"/>
    <w:rsid w:val="00500EBD"/>
    <w:rsid w:val="00504232"/>
    <w:rsid w:val="00510C66"/>
    <w:rsid w:val="00511F4B"/>
    <w:rsid w:val="0051372C"/>
    <w:rsid w:val="00521ED7"/>
    <w:rsid w:val="00526964"/>
    <w:rsid w:val="00532D5A"/>
    <w:rsid w:val="005354E4"/>
    <w:rsid w:val="00544F66"/>
    <w:rsid w:val="00552729"/>
    <w:rsid w:val="005530D5"/>
    <w:rsid w:val="005563CE"/>
    <w:rsid w:val="005663D6"/>
    <w:rsid w:val="00570701"/>
    <w:rsid w:val="0057414B"/>
    <w:rsid w:val="0057576E"/>
    <w:rsid w:val="0058367D"/>
    <w:rsid w:val="00586D66"/>
    <w:rsid w:val="0059269B"/>
    <w:rsid w:val="00595A36"/>
    <w:rsid w:val="005A0877"/>
    <w:rsid w:val="005A17EC"/>
    <w:rsid w:val="005A1A1D"/>
    <w:rsid w:val="005A485B"/>
    <w:rsid w:val="005A6276"/>
    <w:rsid w:val="005A6B7D"/>
    <w:rsid w:val="005B5550"/>
    <w:rsid w:val="005B65F0"/>
    <w:rsid w:val="005C0A66"/>
    <w:rsid w:val="005D2A14"/>
    <w:rsid w:val="005D36E9"/>
    <w:rsid w:val="005E0059"/>
    <w:rsid w:val="005E261D"/>
    <w:rsid w:val="005E49A6"/>
    <w:rsid w:val="005E6D32"/>
    <w:rsid w:val="005F0DC8"/>
    <w:rsid w:val="005F1A3D"/>
    <w:rsid w:val="00600FA4"/>
    <w:rsid w:val="00605720"/>
    <w:rsid w:val="00611BDC"/>
    <w:rsid w:val="006177DC"/>
    <w:rsid w:val="00623BD2"/>
    <w:rsid w:val="00626265"/>
    <w:rsid w:val="006269F8"/>
    <w:rsid w:val="0063203B"/>
    <w:rsid w:val="00642EBC"/>
    <w:rsid w:val="00643B2E"/>
    <w:rsid w:val="00646AD1"/>
    <w:rsid w:val="006546AC"/>
    <w:rsid w:val="00660E71"/>
    <w:rsid w:val="00670053"/>
    <w:rsid w:val="00673E71"/>
    <w:rsid w:val="006823DB"/>
    <w:rsid w:val="00692309"/>
    <w:rsid w:val="00694DDB"/>
    <w:rsid w:val="006A1E31"/>
    <w:rsid w:val="006A390F"/>
    <w:rsid w:val="006A580A"/>
    <w:rsid w:val="006B34CD"/>
    <w:rsid w:val="006B41E8"/>
    <w:rsid w:val="006C528F"/>
    <w:rsid w:val="006C691E"/>
    <w:rsid w:val="006C6CA7"/>
    <w:rsid w:val="006D00E0"/>
    <w:rsid w:val="006D0A31"/>
    <w:rsid w:val="006D59C3"/>
    <w:rsid w:val="006E4386"/>
    <w:rsid w:val="006E5310"/>
    <w:rsid w:val="006F0C81"/>
    <w:rsid w:val="006F5EED"/>
    <w:rsid w:val="006F7780"/>
    <w:rsid w:val="007116D0"/>
    <w:rsid w:val="00717F9D"/>
    <w:rsid w:val="00725CE5"/>
    <w:rsid w:val="0073019F"/>
    <w:rsid w:val="00734046"/>
    <w:rsid w:val="00735560"/>
    <w:rsid w:val="00736027"/>
    <w:rsid w:val="007370E0"/>
    <w:rsid w:val="007466B8"/>
    <w:rsid w:val="00751448"/>
    <w:rsid w:val="00751A09"/>
    <w:rsid w:val="007523F2"/>
    <w:rsid w:val="0075383C"/>
    <w:rsid w:val="00754147"/>
    <w:rsid w:val="00756C08"/>
    <w:rsid w:val="00756D75"/>
    <w:rsid w:val="00760A58"/>
    <w:rsid w:val="00763073"/>
    <w:rsid w:val="0076560D"/>
    <w:rsid w:val="00767A99"/>
    <w:rsid w:val="00784D44"/>
    <w:rsid w:val="00793C8C"/>
    <w:rsid w:val="00793E7F"/>
    <w:rsid w:val="007940D2"/>
    <w:rsid w:val="00794B04"/>
    <w:rsid w:val="0079610B"/>
    <w:rsid w:val="00797739"/>
    <w:rsid w:val="007A5E60"/>
    <w:rsid w:val="007B0382"/>
    <w:rsid w:val="007B0416"/>
    <w:rsid w:val="007B7CAA"/>
    <w:rsid w:val="007C21F3"/>
    <w:rsid w:val="007C28FF"/>
    <w:rsid w:val="007C5A7E"/>
    <w:rsid w:val="007C5AC5"/>
    <w:rsid w:val="007D26E7"/>
    <w:rsid w:val="007D58D1"/>
    <w:rsid w:val="007D68D7"/>
    <w:rsid w:val="007E17CF"/>
    <w:rsid w:val="007F026B"/>
    <w:rsid w:val="007F5A15"/>
    <w:rsid w:val="0080157D"/>
    <w:rsid w:val="0080490A"/>
    <w:rsid w:val="00805021"/>
    <w:rsid w:val="00813788"/>
    <w:rsid w:val="008200C1"/>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1CD2"/>
    <w:rsid w:val="00872CCF"/>
    <w:rsid w:val="00890A44"/>
    <w:rsid w:val="00891DDA"/>
    <w:rsid w:val="00894724"/>
    <w:rsid w:val="008A09D1"/>
    <w:rsid w:val="008A37FE"/>
    <w:rsid w:val="008B5468"/>
    <w:rsid w:val="008B5F0B"/>
    <w:rsid w:val="008B78AD"/>
    <w:rsid w:val="008C37F3"/>
    <w:rsid w:val="008C5BE5"/>
    <w:rsid w:val="008C7FED"/>
    <w:rsid w:val="0090595F"/>
    <w:rsid w:val="0090670A"/>
    <w:rsid w:val="00906781"/>
    <w:rsid w:val="00911330"/>
    <w:rsid w:val="00914820"/>
    <w:rsid w:val="009211BA"/>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9382A"/>
    <w:rsid w:val="00994C12"/>
    <w:rsid w:val="009A3A67"/>
    <w:rsid w:val="009D1070"/>
    <w:rsid w:val="009D2804"/>
    <w:rsid w:val="009D3350"/>
    <w:rsid w:val="009D66DD"/>
    <w:rsid w:val="009E39FC"/>
    <w:rsid w:val="009F0766"/>
    <w:rsid w:val="009F19B6"/>
    <w:rsid w:val="009F4B40"/>
    <w:rsid w:val="00A03853"/>
    <w:rsid w:val="00A06BB0"/>
    <w:rsid w:val="00A11F99"/>
    <w:rsid w:val="00A156D9"/>
    <w:rsid w:val="00A243BC"/>
    <w:rsid w:val="00A276C9"/>
    <w:rsid w:val="00A27943"/>
    <w:rsid w:val="00A31D43"/>
    <w:rsid w:val="00A36061"/>
    <w:rsid w:val="00A402C6"/>
    <w:rsid w:val="00A5008B"/>
    <w:rsid w:val="00A65CD4"/>
    <w:rsid w:val="00A70998"/>
    <w:rsid w:val="00A70F4C"/>
    <w:rsid w:val="00A736E3"/>
    <w:rsid w:val="00A74384"/>
    <w:rsid w:val="00AA6478"/>
    <w:rsid w:val="00AA6A67"/>
    <w:rsid w:val="00AB2670"/>
    <w:rsid w:val="00AB2B0F"/>
    <w:rsid w:val="00AC096E"/>
    <w:rsid w:val="00AC5736"/>
    <w:rsid w:val="00AC69B7"/>
    <w:rsid w:val="00AC7691"/>
    <w:rsid w:val="00AD5F87"/>
    <w:rsid w:val="00AD689E"/>
    <w:rsid w:val="00AD7D6F"/>
    <w:rsid w:val="00AE0C65"/>
    <w:rsid w:val="00AE5A16"/>
    <w:rsid w:val="00AF0A71"/>
    <w:rsid w:val="00AF2833"/>
    <w:rsid w:val="00AF2A0E"/>
    <w:rsid w:val="00B03355"/>
    <w:rsid w:val="00B0469B"/>
    <w:rsid w:val="00B127DF"/>
    <w:rsid w:val="00B14566"/>
    <w:rsid w:val="00B237EB"/>
    <w:rsid w:val="00B24D94"/>
    <w:rsid w:val="00B268E1"/>
    <w:rsid w:val="00B269D7"/>
    <w:rsid w:val="00B27BCA"/>
    <w:rsid w:val="00B303C2"/>
    <w:rsid w:val="00B362C3"/>
    <w:rsid w:val="00B362CE"/>
    <w:rsid w:val="00B43F7F"/>
    <w:rsid w:val="00B62608"/>
    <w:rsid w:val="00B63A00"/>
    <w:rsid w:val="00B651CC"/>
    <w:rsid w:val="00B73F27"/>
    <w:rsid w:val="00B74C14"/>
    <w:rsid w:val="00B92BAD"/>
    <w:rsid w:val="00B9520A"/>
    <w:rsid w:val="00B979F5"/>
    <w:rsid w:val="00BA07A7"/>
    <w:rsid w:val="00BA3056"/>
    <w:rsid w:val="00BA43AB"/>
    <w:rsid w:val="00BB47F3"/>
    <w:rsid w:val="00BC0513"/>
    <w:rsid w:val="00BC48B9"/>
    <w:rsid w:val="00BD0ED0"/>
    <w:rsid w:val="00BE7259"/>
    <w:rsid w:val="00C10571"/>
    <w:rsid w:val="00C14B11"/>
    <w:rsid w:val="00C24E7B"/>
    <w:rsid w:val="00C36E42"/>
    <w:rsid w:val="00C51DAF"/>
    <w:rsid w:val="00C52425"/>
    <w:rsid w:val="00C555AC"/>
    <w:rsid w:val="00C56CDE"/>
    <w:rsid w:val="00C5764E"/>
    <w:rsid w:val="00C64274"/>
    <w:rsid w:val="00C65487"/>
    <w:rsid w:val="00C65987"/>
    <w:rsid w:val="00C74F01"/>
    <w:rsid w:val="00C76157"/>
    <w:rsid w:val="00C83D98"/>
    <w:rsid w:val="00C87EB0"/>
    <w:rsid w:val="00C9140D"/>
    <w:rsid w:val="00C92139"/>
    <w:rsid w:val="00C94906"/>
    <w:rsid w:val="00CA0830"/>
    <w:rsid w:val="00CA08E7"/>
    <w:rsid w:val="00CA0BB3"/>
    <w:rsid w:val="00CA21F2"/>
    <w:rsid w:val="00CB7617"/>
    <w:rsid w:val="00CC2CF9"/>
    <w:rsid w:val="00CC55CE"/>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719D"/>
    <w:rsid w:val="00D47863"/>
    <w:rsid w:val="00D51301"/>
    <w:rsid w:val="00D619CB"/>
    <w:rsid w:val="00D63EA8"/>
    <w:rsid w:val="00D66E92"/>
    <w:rsid w:val="00D75966"/>
    <w:rsid w:val="00D76DA8"/>
    <w:rsid w:val="00D76EB9"/>
    <w:rsid w:val="00D97840"/>
    <w:rsid w:val="00DB0E6F"/>
    <w:rsid w:val="00DB66DC"/>
    <w:rsid w:val="00DC0F80"/>
    <w:rsid w:val="00DC1C67"/>
    <w:rsid w:val="00DD7D0E"/>
    <w:rsid w:val="00DF02D4"/>
    <w:rsid w:val="00DF2AD8"/>
    <w:rsid w:val="00DF7FCB"/>
    <w:rsid w:val="00E066BD"/>
    <w:rsid w:val="00E1736F"/>
    <w:rsid w:val="00E17FF5"/>
    <w:rsid w:val="00E26009"/>
    <w:rsid w:val="00E3162A"/>
    <w:rsid w:val="00E37C85"/>
    <w:rsid w:val="00E407C9"/>
    <w:rsid w:val="00E41A9B"/>
    <w:rsid w:val="00E46BD6"/>
    <w:rsid w:val="00E5280E"/>
    <w:rsid w:val="00E5401A"/>
    <w:rsid w:val="00E55EDB"/>
    <w:rsid w:val="00E56172"/>
    <w:rsid w:val="00E60002"/>
    <w:rsid w:val="00E63C4E"/>
    <w:rsid w:val="00E730DF"/>
    <w:rsid w:val="00E74D76"/>
    <w:rsid w:val="00E754A7"/>
    <w:rsid w:val="00E81909"/>
    <w:rsid w:val="00E83D4E"/>
    <w:rsid w:val="00E84A18"/>
    <w:rsid w:val="00E84C25"/>
    <w:rsid w:val="00E84FF9"/>
    <w:rsid w:val="00E93BC2"/>
    <w:rsid w:val="00E95899"/>
    <w:rsid w:val="00EA7020"/>
    <w:rsid w:val="00EB2FD4"/>
    <w:rsid w:val="00EB435A"/>
    <w:rsid w:val="00EB7300"/>
    <w:rsid w:val="00EC5664"/>
    <w:rsid w:val="00EC6E3A"/>
    <w:rsid w:val="00EE0CE1"/>
    <w:rsid w:val="00EE1078"/>
    <w:rsid w:val="00EF79B0"/>
    <w:rsid w:val="00F024DB"/>
    <w:rsid w:val="00F11FA5"/>
    <w:rsid w:val="00F143B1"/>
    <w:rsid w:val="00F1451E"/>
    <w:rsid w:val="00F172F4"/>
    <w:rsid w:val="00F205F9"/>
    <w:rsid w:val="00F23CF0"/>
    <w:rsid w:val="00F3777D"/>
    <w:rsid w:val="00F45942"/>
    <w:rsid w:val="00F45AE1"/>
    <w:rsid w:val="00F5192E"/>
    <w:rsid w:val="00F53F01"/>
    <w:rsid w:val="00F57D63"/>
    <w:rsid w:val="00F640B5"/>
    <w:rsid w:val="00F67176"/>
    <w:rsid w:val="00F711B9"/>
    <w:rsid w:val="00F71340"/>
    <w:rsid w:val="00F765BA"/>
    <w:rsid w:val="00F76AA6"/>
    <w:rsid w:val="00F81F40"/>
    <w:rsid w:val="00F8284A"/>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69C6113"/>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B20836"/>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4"/>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30"/>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1"/>
    <w:qFormat/>
    <w:uiPriority w:val="0"/>
    <w:pPr>
      <w:spacing w:line="360" w:lineRule="auto"/>
      <w:ind w:firstLine="480" w:firstLineChars="200"/>
    </w:pPr>
    <w:rPr>
      <w:rFonts w:ascii="仿宋_GB2312"/>
      <w:sz w:val="24"/>
    </w:rPr>
  </w:style>
  <w:style w:type="paragraph" w:styleId="7">
    <w:name w:val="Body Text Indent 2"/>
    <w:basedOn w:val="1"/>
    <w:link w:val="34"/>
    <w:qFormat/>
    <w:uiPriority w:val="0"/>
    <w:pPr>
      <w:widowControl/>
      <w:ind w:firstLine="562" w:firstLineChars="200"/>
      <w:jc w:val="left"/>
    </w:pPr>
    <w:rPr>
      <w:b/>
      <w:bCs/>
      <w:sz w:val="28"/>
      <w:szCs w:val="24"/>
    </w:rPr>
  </w:style>
  <w:style w:type="paragraph" w:styleId="8">
    <w:name w:val="Balloon Text"/>
    <w:basedOn w:val="1"/>
    <w:link w:val="29"/>
    <w:semiHidden/>
    <w:unhideWhenUsed/>
    <w:qFormat/>
    <w:uiPriority w:val="99"/>
    <w:rPr>
      <w:sz w:val="18"/>
      <w:szCs w:val="18"/>
    </w:rPr>
  </w:style>
  <w:style w:type="paragraph" w:styleId="9">
    <w:name w:val="footer"/>
    <w:basedOn w:val="1"/>
    <w:link w:val="27"/>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5"/>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6"/>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FollowedHyperlink"/>
    <w:basedOn w:val="18"/>
    <w:semiHidden/>
    <w:unhideWhenUsed/>
    <w:qFormat/>
    <w:uiPriority w:val="99"/>
    <w:rPr>
      <w:color w:val="800080" w:themeColor="followedHyperlink"/>
      <w:u w:val="single"/>
      <w14:textFill>
        <w14:solidFill>
          <w14:schemeClr w14:val="folHlink"/>
        </w14:solidFill>
      </w14:textFill>
    </w:rPr>
  </w:style>
  <w:style w:type="character" w:styleId="22">
    <w:name w:val="Hyperlink"/>
    <w:qFormat/>
    <w:uiPriority w:val="99"/>
    <w:rPr>
      <w:color w:val="0000FF"/>
      <w:u w:val="single"/>
    </w:rPr>
  </w:style>
  <w:style w:type="character" w:styleId="23">
    <w:name w:val="annotation reference"/>
    <w:basedOn w:val="18"/>
    <w:semiHidden/>
    <w:unhideWhenUsed/>
    <w:qFormat/>
    <w:uiPriority w:val="99"/>
    <w:rPr>
      <w:sz w:val="21"/>
      <w:szCs w:val="21"/>
    </w:rPr>
  </w:style>
  <w:style w:type="character" w:customStyle="1" w:styleId="24">
    <w:name w:val="标题 1 字符"/>
    <w:basedOn w:val="18"/>
    <w:link w:val="2"/>
    <w:qFormat/>
    <w:uiPriority w:val="9"/>
    <w:rPr>
      <w:rFonts w:ascii="Times New Roman" w:hAnsi="Times New Roman" w:eastAsia="宋体" w:cs="Times New Roman"/>
      <w:b/>
      <w:bCs/>
      <w:kern w:val="44"/>
      <w:sz w:val="44"/>
      <w:szCs w:val="44"/>
    </w:rPr>
  </w:style>
  <w:style w:type="character" w:customStyle="1" w:styleId="25">
    <w:name w:val="标题 2 字符"/>
    <w:basedOn w:val="18"/>
    <w:link w:val="3"/>
    <w:qFormat/>
    <w:uiPriority w:val="9"/>
    <w:rPr>
      <w:rFonts w:asciiTheme="majorHAnsi" w:hAnsiTheme="majorHAnsi" w:eastAsiaTheme="majorEastAsia" w:cstheme="majorBidi"/>
      <w:b/>
      <w:bCs/>
      <w:sz w:val="32"/>
      <w:szCs w:val="32"/>
    </w:rPr>
  </w:style>
  <w:style w:type="character" w:customStyle="1" w:styleId="26">
    <w:name w:val="页眉 字符"/>
    <w:basedOn w:val="18"/>
    <w:link w:val="10"/>
    <w:qFormat/>
    <w:uiPriority w:val="0"/>
    <w:rPr>
      <w:sz w:val="18"/>
      <w:szCs w:val="18"/>
    </w:rPr>
  </w:style>
  <w:style w:type="character" w:customStyle="1" w:styleId="27">
    <w:name w:val="页脚 字符"/>
    <w:basedOn w:val="18"/>
    <w:link w:val="9"/>
    <w:qFormat/>
    <w:uiPriority w:val="99"/>
    <w:rPr>
      <w:sz w:val="18"/>
      <w:szCs w:val="18"/>
    </w:rPr>
  </w:style>
  <w:style w:type="paragraph" w:customStyle="1" w:styleId="28">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9">
    <w:name w:val="批注框文本 字符"/>
    <w:basedOn w:val="18"/>
    <w:link w:val="8"/>
    <w:semiHidden/>
    <w:qFormat/>
    <w:uiPriority w:val="99"/>
    <w:rPr>
      <w:rFonts w:ascii="Times New Roman" w:hAnsi="Times New Roman" w:eastAsia="宋体" w:cs="Times New Roman"/>
      <w:sz w:val="18"/>
      <w:szCs w:val="18"/>
    </w:rPr>
  </w:style>
  <w:style w:type="character" w:customStyle="1" w:styleId="30">
    <w:name w:val="批注文字 字符"/>
    <w:basedOn w:val="18"/>
    <w:link w:val="4"/>
    <w:semiHidden/>
    <w:qFormat/>
    <w:uiPriority w:val="99"/>
    <w:rPr>
      <w:rFonts w:ascii="Times New Roman" w:hAnsi="Times New Roman" w:eastAsia="宋体" w:cs="Times New Roman"/>
      <w:szCs w:val="20"/>
    </w:rPr>
  </w:style>
  <w:style w:type="character" w:customStyle="1" w:styleId="31">
    <w:name w:val="纯文本 字符"/>
    <w:basedOn w:val="18"/>
    <w:link w:val="6"/>
    <w:qFormat/>
    <w:uiPriority w:val="0"/>
    <w:rPr>
      <w:rFonts w:ascii="仿宋_GB2312" w:hAnsi="Times New Roman" w:eastAsia="宋体" w:cs="Times New Roman"/>
      <w:sz w:val="24"/>
      <w:szCs w:val="20"/>
    </w:rPr>
  </w:style>
  <w:style w:type="paragraph" w:customStyle="1" w:styleId="32">
    <w:name w:val="_Style 8"/>
    <w:basedOn w:val="1"/>
    <w:next w:val="1"/>
    <w:qFormat/>
    <w:uiPriority w:val="0"/>
    <w:pPr>
      <w:spacing w:line="360" w:lineRule="auto"/>
      <w:ind w:firstLine="480" w:firstLineChars="200"/>
    </w:pPr>
    <w:rPr>
      <w:rFonts w:ascii="仿宋_GB2312"/>
      <w:sz w:val="24"/>
    </w:rPr>
  </w:style>
  <w:style w:type="paragraph" w:styleId="33">
    <w:name w:val="List Paragraph"/>
    <w:basedOn w:val="1"/>
    <w:qFormat/>
    <w:uiPriority w:val="34"/>
    <w:pPr>
      <w:ind w:firstLine="420" w:firstLineChars="200"/>
    </w:pPr>
    <w:rPr>
      <w:rFonts w:ascii="仿宋_GB2312" w:eastAsia="仿宋_GB2312"/>
      <w:spacing w:val="-4"/>
      <w:sz w:val="32"/>
    </w:rPr>
  </w:style>
  <w:style w:type="character" w:customStyle="1" w:styleId="34">
    <w:name w:val="正文文本缩进 2 字符"/>
    <w:basedOn w:val="18"/>
    <w:link w:val="7"/>
    <w:qFormat/>
    <w:uiPriority w:val="0"/>
    <w:rPr>
      <w:rFonts w:ascii="Times New Roman" w:hAnsi="Times New Roman" w:eastAsia="宋体" w:cs="Times New Roman"/>
      <w:b/>
      <w:bCs/>
      <w:sz w:val="28"/>
      <w:szCs w:val="24"/>
    </w:rPr>
  </w:style>
  <w:style w:type="character" w:customStyle="1" w:styleId="35">
    <w:name w:val="标题 字符"/>
    <w:basedOn w:val="18"/>
    <w:link w:val="14"/>
    <w:qFormat/>
    <w:uiPriority w:val="0"/>
    <w:rPr>
      <w:rFonts w:ascii="Cambria" w:hAnsi="Cambria" w:eastAsia="黑体" w:cs="Times New Roman"/>
      <w:b/>
      <w:bCs/>
      <w:sz w:val="52"/>
      <w:szCs w:val="32"/>
    </w:rPr>
  </w:style>
  <w:style w:type="character" w:customStyle="1" w:styleId="36">
    <w:name w:val="批注主题 字符"/>
    <w:basedOn w:val="30"/>
    <w:link w:val="15"/>
    <w:semiHidden/>
    <w:qFormat/>
    <w:uiPriority w:val="99"/>
    <w:rPr>
      <w:rFonts w:ascii="Times New Roman" w:hAnsi="Times New Roman" w:eastAsia="宋体" w:cs="Times New Roman"/>
      <w:b/>
      <w:bCs/>
      <w:szCs w:val="20"/>
    </w:rPr>
  </w:style>
  <w:style w:type="character" w:customStyle="1" w:styleId="37">
    <w:name w:val="title1"/>
    <w:qFormat/>
    <w:uiPriority w:val="0"/>
    <w:rPr>
      <w:b/>
      <w:bCs/>
      <w:color w:val="999900"/>
      <w:sz w:val="24"/>
      <w:szCs w:val="24"/>
    </w:rPr>
  </w:style>
  <w:style w:type="paragraph" w:customStyle="1" w:styleId="38">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9">
    <w:name w:val="Revision"/>
    <w:hidden/>
    <w:unhideWhenUsed/>
    <w:qFormat/>
    <w:uiPriority w:val="99"/>
    <w:pPr>
      <w:spacing w:after="0" w:line="240" w:lineRule="auto"/>
    </w:pPr>
    <w:rPr>
      <w:rFonts w:ascii="Times New Roman" w:hAnsi="Times New Roman" w:eastAsia="宋体" w:cs="Times New Roman"/>
      <w:kern w:val="2"/>
      <w:sz w:val="21"/>
      <w:lang w:val="en-US" w:eastAsia="zh-CN" w:bidi="ar-SA"/>
    </w:rPr>
  </w:style>
  <w:style w:type="character" w:customStyle="1" w:styleId="40">
    <w:name w:val="Unresolved Mention"/>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2D5566-C546-C741-A83D-E0C68B4E684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Pages>
  <Words>1095</Words>
  <Characters>2829</Characters>
  <Lines>24</Lines>
  <Paragraphs>6</Paragraphs>
  <TotalTime>84</TotalTime>
  <ScaleCrop>false</ScaleCrop>
  <LinksUpToDate>false</LinksUpToDate>
  <CharactersWithSpaces>3109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2025-09-10T01:09:00Z</dcterms:created>
  <dc:creator>胡胜链</dc:creator>
  <cp:lastModifiedBy>葛格</cp:lastModifiedBy>
  <cp:lastPrinted>2022-01-28T09:53:00Z</cp:lastPrinted>
  <dcterms:modified xsi:type="dcterms:W3CDTF">2025-09-16T02:02:43Z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893623D15EC24BD0B968C3FECBEDC2D9_13</vt:lpwstr>
  </property>
  <property fmtid="{D5CDD505-2E9C-101B-9397-08002B2CF9AE}" pid="4" name="KSOTemplateDocerSaveRecord">
    <vt:lpwstr>eyJoZGlkIjoiZTllYjc3MGRiNzI1MDY1NDgwNjBjYzEyMDk3NjZlNGEiLCJ1c2VySWQiOiI3OTg2NTM2NTgifQ==</vt:lpwstr>
  </property>
</Properties>
</file>